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lotextu"/>
        <w:spacing w:before="0" w:after="0"/>
        <w:jc w:val="center"/>
        <w:rPr>
          <w:rFonts w:ascii="Arial" w:hAnsi="Arial" w:cs="Arial"/>
          <w:b/>
          <w:b/>
          <w:color w:val="000000"/>
          <w:szCs w:val="24"/>
        </w:rPr>
      </w:pPr>
      <w:r>
        <w:rPr>
          <w:rFonts w:cs="Arial" w:ascii="Arial" w:hAnsi="Arial"/>
          <w:b/>
          <w:color w:val="000000"/>
          <w:szCs w:val="24"/>
        </w:rPr>
        <w:t>Obec Kozlany</w:t>
      </w:r>
    </w:p>
    <w:p>
      <w:pPr>
        <w:pStyle w:val="NormlnIMP"/>
        <w:spacing w:lineRule="auto" w:line="240" w:before="0" w:after="60"/>
        <w:jc w:val="center"/>
        <w:rPr>
          <w:rFonts w:ascii="Arial" w:hAnsi="Arial" w:cs="Arial"/>
          <w:b/>
          <w:b/>
          <w:szCs w:val="24"/>
        </w:rPr>
      </w:pPr>
      <w:r>
        <w:rPr>
          <w:rFonts w:cs="Arial" w:ascii="Arial" w:hAnsi="Arial"/>
          <w:b/>
          <w:color w:val="000000"/>
          <w:szCs w:val="24"/>
        </w:rPr>
        <w:t xml:space="preserve">Zastupitelstvo obce </w:t>
      </w:r>
      <w:r>
        <w:rPr>
          <w:rFonts w:cs="Arial" w:ascii="Arial" w:hAnsi="Arial"/>
          <w:b/>
          <w:szCs w:val="24"/>
        </w:rPr>
        <w:t>Kozlany</w:t>
      </w:r>
    </w:p>
    <w:p>
      <w:pPr>
        <w:pStyle w:val="Normal"/>
        <w:spacing w:lineRule="auto" w:line="276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Obecně závazná vyhláška obce Kozlany,</w:t>
      </w:r>
    </w:p>
    <w:p>
      <w:pPr>
        <w:pStyle w:val="Odsazentlatextu"/>
        <w:spacing w:before="0" w:after="60"/>
        <w:ind w:left="708" w:hanging="0"/>
        <w:jc w:val="center"/>
        <w:rPr>
          <w:rFonts w:ascii="Arial" w:hAnsi="Arial" w:cs="Arial"/>
          <w:b/>
          <w:b/>
          <w:szCs w:val="24"/>
        </w:rPr>
      </w:pPr>
      <w:r>
        <w:rPr>
          <w:rFonts w:cs="Arial" w:ascii="Arial" w:hAnsi="Arial"/>
          <w:b/>
          <w:szCs w:val="24"/>
        </w:rPr>
        <w:t>kterou se vydává požární řád obce</w:t>
      </w:r>
    </w:p>
    <w:p>
      <w:pPr>
        <w:pStyle w:val="Odsazentlatextu"/>
        <w:ind w:left="0" w:hanging="0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Web"/>
        <w:spacing w:beforeAutospacing="0" w:before="0" w:afterAutospacing="0" w:after="0"/>
        <w:ind w:hanging="0"/>
        <w:rPr>
          <w:rFonts w:ascii="Arial" w:hAnsi="Arial" w:cs="Arial"/>
        </w:rPr>
      </w:pPr>
      <w:r>
        <w:rPr>
          <w:rFonts w:cs="Arial" w:ascii="Arial" w:hAnsi="Arial"/>
        </w:rPr>
        <w:t xml:space="preserve">Zastupitelstvo obce Kozlany se na svém zasedání konaném dne </w:t>
      </w:r>
      <w:r>
        <w:rPr>
          <w:rFonts w:cs="Arial" w:ascii="Arial" w:hAnsi="Arial"/>
        </w:rPr>
        <w:t>27.9.</w:t>
      </w:r>
      <w:r>
        <w:rPr>
          <w:rFonts w:cs="Arial" w:ascii="Arial" w:hAnsi="Arial"/>
        </w:rPr>
        <w:t xml:space="preserve"> 2026 usneslo vydat na základě § 29 odst. 1 písm. o) bod 1 zákona č. 133/1985 Sb., o požární ochraně, ve znění pozdějších předpisů (dále jen „zákon o požární ochraně“), a v souladu s § 10 písm. d) a § 84 odst. 2 písm. h) zákona č. 128/2000 Sb., o obcích (obecní zřízení), ve znění pozdějších předpisů, tuto obecně závaznou vyhlášku (dále jen „vyhláška“):</w:t>
      </w:r>
    </w:p>
    <w:p>
      <w:pPr>
        <w:pStyle w:val="Nadpis4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Čl. 1</w:t>
        <w:br/>
        <w:t>Úvodní ustanovení</w:t>
      </w:r>
    </w:p>
    <w:p>
      <w:pPr>
        <w:pStyle w:val="NormalWeb"/>
        <w:spacing w:beforeAutospacing="0" w:before="0" w:afterAutospacing="0" w:after="0"/>
        <w:ind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numPr>
          <w:ilvl w:val="0"/>
          <w:numId w:val="7"/>
        </w:numPr>
        <w:spacing w:beforeAutospacing="0" w:before="0" w:afterAutospacing="0" w:after="0"/>
        <w:ind w:left="567" w:hanging="567"/>
        <w:rPr>
          <w:rFonts w:ascii="Arial" w:hAnsi="Arial" w:cs="Arial"/>
        </w:rPr>
      </w:pPr>
      <w:r>
        <w:rPr>
          <w:rFonts w:cs="Arial" w:ascii="Arial" w:hAnsi="Arial"/>
        </w:rPr>
        <w:t>Tato vyhláška</w:t>
      </w:r>
      <w:r>
        <w:rPr>
          <w:rFonts w:cs="Arial" w:ascii="Arial" w:hAnsi="Arial"/>
          <w:color w:val="auto"/>
        </w:rPr>
        <w:t xml:space="preserve"> </w:t>
      </w:r>
      <w:r>
        <w:rPr>
          <w:rFonts w:cs="Arial" w:ascii="Arial" w:hAnsi="Arial"/>
        </w:rPr>
        <w:t xml:space="preserve">upravuje organizaci a zásady zabezpečení požární ochrany v obci. </w:t>
      </w:r>
    </w:p>
    <w:p>
      <w:pPr>
        <w:pStyle w:val="NormalWeb"/>
        <w:spacing w:beforeAutospacing="0" w:before="0" w:afterAutospacing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spacing w:beforeAutospacing="0" w:before="0" w:afterAutospacing="0" w:after="0"/>
        <w:ind w:left="567" w:hanging="567"/>
        <w:rPr>
          <w:rFonts w:ascii="Arial" w:hAnsi="Arial" w:cs="Arial"/>
          <w:color w:val="FF0000"/>
        </w:rPr>
      </w:pPr>
      <w:r>
        <w:rPr>
          <w:rFonts w:cs="Arial" w:ascii="Arial" w:hAnsi="Arial"/>
        </w:rPr>
        <w:t>(2)</w:t>
        <w:tab/>
        <w:t>Při zabezpečování požární ochrany spolupracuje obec zejména s hasičským záchranným sborem kraje, občanskými sdruženími a obecně prospěšnými společnostmi působícími na úseku požární ochrany.</w:t>
      </w:r>
    </w:p>
    <w:p>
      <w:pPr>
        <w:pStyle w:val="Nadpis4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Čl. 2</w:t>
        <w:br/>
        <w:t>Vymezení činnosti osob pověřených zabezpečováním požární ochrany v obci</w:t>
      </w:r>
    </w:p>
    <w:p>
      <w:pPr>
        <w:pStyle w:val="NormalWeb"/>
        <w:spacing w:beforeAutospacing="0" w:before="0" w:afterAutospacing="0" w:after="0"/>
        <w:ind w:left="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ind w:left="567" w:hanging="567"/>
        <w:rPr>
          <w:rFonts w:ascii="Arial" w:hAnsi="Arial" w:cs="Arial"/>
        </w:rPr>
      </w:pPr>
      <w:r>
        <w:rPr>
          <w:rFonts w:cs="Arial" w:ascii="Arial" w:hAnsi="Arial"/>
        </w:rPr>
        <w:t>Ochrana životů, zdraví a majetku občanů před požáry, živelními pohromami a jinými mimořádnými událostmi na území obce Kozlany (dále jen „obec“) je zajištěna společnou jednotkou sboru hasičů zřízenou na základě Veřejnoprávní smlouvy o zřízení společné jednotky požární ochrany s městem Hrotovice a dalšími jednotkami požární ochrany uvedenými v příloze č. 1 této vyhlášky.</w:t>
      </w:r>
    </w:p>
    <w:p>
      <w:pPr>
        <w:pStyle w:val="NormalWeb"/>
        <w:spacing w:beforeAutospacing="0" w:before="0" w:afterAutospacing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ind w:left="567" w:hanging="567"/>
        <w:rPr>
          <w:rFonts w:ascii="Arial" w:hAnsi="Arial" w:cs="Arial"/>
        </w:rPr>
      </w:pPr>
      <w:r>
        <w:rPr>
          <w:rFonts w:cs="Arial" w:ascii="Arial" w:hAnsi="Arial"/>
        </w:rPr>
        <w:t>K zabezpečení úkolů na úseku požární ochrany byly na základě usnesení zastupitelstva obce dále pověřeny tyto orgány obce: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851" w:hanging="284"/>
        <w:contextualSpacing/>
        <w:jc w:val="both"/>
        <w:rPr>
          <w:rFonts w:ascii="Arial" w:hAnsi="Arial" w:cs="Arial"/>
          <w:color w:val="FF0000"/>
          <w:sz w:val="24"/>
          <w:szCs w:val="24"/>
          <w:lang w:val="cs-CZ"/>
        </w:rPr>
      </w:pPr>
      <w:r>
        <w:rPr>
          <w:rFonts w:cs="Arial" w:ascii="Arial" w:hAnsi="Arial"/>
          <w:sz w:val="24"/>
          <w:szCs w:val="24"/>
          <w:lang w:val="cs-CZ"/>
        </w:rPr>
        <w:t xml:space="preserve">zastupitelstvo obce – </w:t>
      </w:r>
      <w:r>
        <w:rPr>
          <w:rFonts w:cs="Arial" w:ascii="Arial" w:hAnsi="Arial"/>
          <w:color w:val="000000"/>
          <w:sz w:val="24"/>
          <w:szCs w:val="24"/>
        </w:rPr>
        <w:t>projednáním stavu požární ochrany v obci minimálně 1 x za 12 měsíců nebo vždy po závažné mimořádné události mající vztah k zajištění požární ochrany v obci,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851" w:hanging="284"/>
        <w:contextualSpacing/>
        <w:jc w:val="both"/>
        <w:rPr>
          <w:rFonts w:ascii="Arial" w:hAnsi="Arial" w:cs="Arial"/>
          <w:color w:val="FF0000"/>
          <w:sz w:val="24"/>
          <w:szCs w:val="24"/>
          <w:lang w:val="cs-CZ"/>
        </w:rPr>
      </w:pPr>
      <w:r>
        <w:rPr>
          <w:rFonts w:cs="Arial" w:ascii="Arial" w:hAnsi="Arial"/>
          <w:sz w:val="24"/>
          <w:szCs w:val="24"/>
        </w:rPr>
        <w:t>starosta –</w:t>
      </w:r>
      <w:r>
        <w:rPr>
          <w:rFonts w:cs="Arial" w:ascii="Arial" w:hAnsi="Arial"/>
          <w:color w:val="FF0000"/>
          <w:sz w:val="24"/>
          <w:szCs w:val="24"/>
        </w:rPr>
        <w:t xml:space="preserve"> </w:t>
      </w:r>
      <w:r>
        <w:rPr>
          <w:rFonts w:cs="Arial" w:ascii="Arial" w:hAnsi="Arial"/>
          <w:color w:val="000000"/>
          <w:sz w:val="24"/>
          <w:szCs w:val="24"/>
        </w:rPr>
        <w:t>zabezpečováním pravidelných kontrol dodržování předpisů a plnění povinností obce na úseku požární ochrany vyplývajících z její samostatné působnosti, a to minimálně 1 x za 12 měsíců.</w:t>
      </w:r>
    </w:p>
    <w:p>
      <w:pPr>
        <w:pStyle w:val="Nadpis4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Čl. 3</w:t>
        <w:br/>
        <w:t>Podmínky požární bezpečnosti při činnostech a objektech se zvýšeným nebezpečím vzniku požáru se zřetelem na místní situaci</w:t>
      </w:r>
    </w:p>
    <w:p>
      <w:pPr>
        <w:pStyle w:val="Nzvylnk"/>
        <w:spacing w:lineRule="auto" w:line="120" w:before="0" w:after="0"/>
        <w:jc w:val="left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numPr>
          <w:ilvl w:val="0"/>
          <w:numId w:val="8"/>
        </w:numPr>
        <w:suppressAutoHyphens w:val="true"/>
        <w:jc w:val="both"/>
        <w:textAlignment w:val="baseline"/>
        <w:rPr>
          <w:rFonts w:ascii="Arial" w:hAnsi="Arial" w:cs="Arial"/>
        </w:rPr>
      </w:pPr>
      <w:r>
        <w:rPr>
          <w:rFonts w:cs="Arial" w:ascii="Arial" w:hAnsi="Arial"/>
        </w:rPr>
        <w:t>Za činnosti, při kterých hrozí zvýšené nebezpečí vzniku požáru, se podle místních podmínek považuje: konání veřejnosti přístupných kulturních a sportovních akcí na veřejných prostranstvích, při nichž dochází k manipulaci s otevřeným ohněm a na něž se nevztahují povinnosti uvedené v § 6 zákona o požární ochraně ani v právnímu předpisu kraje</w:t>
      </w:r>
      <w:r>
        <w:rPr>
          <w:rStyle w:val="Ukotvenpoznmkypodarou"/>
          <w:rFonts w:cs="Arial" w:ascii="Arial" w:hAnsi="Arial"/>
          <w:vertAlign w:val="superscript"/>
        </w:rPr>
        <w:footnoteReference w:id="2"/>
      </w:r>
      <w:r>
        <w:rPr>
          <w:rFonts w:cs="Arial" w:ascii="Arial" w:hAnsi="Arial"/>
        </w:rPr>
        <w:t xml:space="preserve"> či obce vydanému k zabezpečení požární ochrany při akcích, kterých se zúčastňuje větší počet osob.</w:t>
      </w:r>
    </w:p>
    <w:p>
      <w:pPr>
        <w:pStyle w:val="Normal"/>
        <w:numPr>
          <w:ilvl w:val="0"/>
          <w:numId w:val="8"/>
        </w:numPr>
        <w:suppressAutoHyphens w:val="true"/>
        <w:jc w:val="both"/>
        <w:textAlignment w:val="baseline"/>
        <w:rPr>
          <w:rFonts w:ascii="Arial" w:hAnsi="Arial" w:cs="Arial"/>
        </w:rPr>
      </w:pPr>
      <w:r>
        <w:rPr>
          <w:rFonts w:cs="Arial" w:ascii="Arial" w:hAnsi="Arial"/>
        </w:rPr>
        <w:t>Pořadatel akce je povinen konání akce nahlásit min. 2 pracovní dny před jejím započetím Obecnímu úřadu Kozlany. Je-li pořadatelem právnická osoba či fyzická osoba podnikající, je její povinností zřídit preventivní požární hlídku.</w:t>
      </w:r>
    </w:p>
    <w:p>
      <w:pPr>
        <w:pStyle w:val="Nadpis4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Čl. 4</w:t>
        <w:br/>
        <w:t>Způsob nepřetržitého zabezpečení požární ochrany v obci</w:t>
      </w:r>
    </w:p>
    <w:p>
      <w:pPr>
        <w:pStyle w:val="NormalWeb"/>
        <w:spacing w:beforeAutospacing="0" w:before="0" w:afterAutospacing="0" w:after="0"/>
        <w:ind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numPr>
          <w:ilvl w:val="0"/>
          <w:numId w:val="9"/>
        </w:numPr>
        <w:spacing w:beforeAutospacing="0" w:before="0" w:afterAutospacing="0" w:after="0"/>
        <w:ind w:left="567" w:hanging="567"/>
        <w:rPr>
          <w:rFonts w:ascii="Arial" w:hAnsi="Arial" w:cs="Arial"/>
        </w:rPr>
      </w:pPr>
      <w:r>
        <w:rPr>
          <w:rFonts w:cs="Arial" w:ascii="Arial" w:hAnsi="Arial"/>
        </w:rPr>
        <w:t>Přijetí ohlášení požáru, živelní pohromy či jiné mimořádné události na území obce je zabezpečeno systémem ohlašoven požárů uvedených v čl. 7.</w:t>
      </w:r>
    </w:p>
    <w:p>
      <w:pPr>
        <w:pStyle w:val="NormalWeb"/>
        <w:spacing w:beforeAutospacing="0" w:before="0" w:afterAutospacing="0" w:after="0"/>
        <w:ind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numPr>
          <w:ilvl w:val="0"/>
          <w:numId w:val="9"/>
        </w:numPr>
        <w:spacing w:beforeAutospacing="0" w:before="0" w:afterAutospacing="0" w:after="0"/>
        <w:ind w:left="567" w:hanging="567"/>
        <w:rPr>
          <w:rFonts w:ascii="Arial" w:hAnsi="Arial" w:cs="Arial"/>
          <w:color w:val="auto"/>
        </w:rPr>
      </w:pPr>
      <w:r>
        <w:rPr>
          <w:rFonts w:cs="Arial" w:ascii="Arial" w:hAnsi="Arial"/>
        </w:rPr>
        <w:t xml:space="preserve">Ochrana životů, zdraví a majetku občanů před požáry, živelními pohromami a jinými mimořádnými událostmi na území obce je zabezpečena </w:t>
      </w:r>
      <w:r>
        <w:rPr>
          <w:rFonts w:cs="Arial" w:ascii="Arial" w:hAnsi="Arial"/>
          <w:color w:val="auto"/>
        </w:rPr>
        <w:t>společnou jednotkou požární ochrany uvedenou v čl. 5 a dalšími jednotkami uvedenými v příloze č. 1 vyhlášky.</w:t>
      </w:r>
    </w:p>
    <w:p>
      <w:pPr>
        <w:pStyle w:val="Nadpis4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Čl. 5</w:t>
        <w:br/>
        <w:t xml:space="preserve">Kategorie společné jednotky požární ochrany, její početní stav a vybavení </w:t>
      </w:r>
    </w:p>
    <w:p>
      <w:pPr>
        <w:pStyle w:val="NormalWeb"/>
        <w:spacing w:beforeAutospacing="0" w:before="0" w:afterAutospacing="0" w:after="0"/>
        <w:ind w:left="720" w:hanging="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ind w:left="567" w:hanging="567"/>
        <w:rPr>
          <w:rFonts w:ascii="Arial" w:hAnsi="Arial" w:cs="Arial"/>
        </w:rPr>
      </w:pPr>
      <w:r>
        <w:rPr>
          <w:rFonts w:cs="Arial" w:ascii="Arial" w:hAnsi="Arial"/>
        </w:rPr>
        <w:t>Kategorie, početní stav a vybavení společné jednotky požární ochrany (čl. 2 odst. 1) jsou uvedeny v příloze č. 2 vyhlášky.</w:t>
      </w:r>
    </w:p>
    <w:p>
      <w:pPr>
        <w:pStyle w:val="NormalWeb"/>
        <w:spacing w:beforeAutospacing="0" w:before="0" w:afterAutospacing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ind w:left="567" w:hanging="567"/>
        <w:rPr>
          <w:rFonts w:ascii="Arial" w:hAnsi="Arial" w:cs="Arial"/>
        </w:rPr>
      </w:pPr>
      <w:r>
        <w:rPr>
          <w:rFonts w:cs="Arial" w:ascii="Arial" w:hAnsi="Arial"/>
        </w:rPr>
        <w:t xml:space="preserve">Členové </w:t>
      </w:r>
      <w:r>
        <w:rPr>
          <w:rFonts w:cs="Arial" w:ascii="Arial" w:hAnsi="Arial"/>
          <w:color w:val="auto"/>
        </w:rPr>
        <w:t>společné jednotky požární ochrany</w:t>
      </w:r>
      <w:r>
        <w:rPr>
          <w:rFonts w:cs="Arial" w:ascii="Arial" w:hAnsi="Arial"/>
        </w:rPr>
        <w:t xml:space="preserve"> se při vyhlášení požárního poplachu dostaví ve stanoveném čase do požární zbrojnice v obci Kozlany anebo na jiné místo, stanovené velitelem </w:t>
      </w:r>
      <w:r>
        <w:rPr>
          <w:rFonts w:cs="Arial" w:ascii="Arial" w:hAnsi="Arial"/>
          <w:color w:val="auto"/>
        </w:rPr>
        <w:t>této jednotky požární ochrany.</w:t>
      </w:r>
    </w:p>
    <w:p>
      <w:pPr>
        <w:pStyle w:val="Nadpis4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Čl. 6</w:t>
        <w:br/>
        <w:t xml:space="preserve">Přehled o zdrojích vody pro hašení požárů a podmínky jejich trvalé použitelnosti </w:t>
      </w:r>
    </w:p>
    <w:p>
      <w:pPr>
        <w:pStyle w:val="Normal"/>
        <w:rPr/>
      </w:pPr>
      <w:r>
        <w:rPr/>
      </w:r>
    </w:p>
    <w:p>
      <w:pPr>
        <w:pStyle w:val="NormalWeb"/>
        <w:numPr>
          <w:ilvl w:val="0"/>
          <w:numId w:val="5"/>
        </w:numPr>
        <w:spacing w:beforeAutospacing="0" w:before="0" w:afterAutospacing="0" w:after="0"/>
        <w:ind w:left="567" w:hanging="567"/>
        <w:rPr>
          <w:rFonts w:ascii="Arial" w:hAnsi="Arial" w:cs="Arial"/>
        </w:rPr>
      </w:pPr>
      <w:r>
        <w:rPr>
          <w:rFonts w:cs="Arial" w:ascii="Arial" w:hAnsi="Arial"/>
        </w:rPr>
        <w:t>Vlastník nebo uživatel zdrojů vody pro hašení požárů je povinen tyto udržovat v takovém stavu, aby bylo umožněno použití požární techniky a čerpání vody pro hašení požárů. Zdroje vody pro hašení požárů stanoví kraj svým nařízením</w:t>
      </w:r>
      <w:r>
        <w:rPr>
          <w:rStyle w:val="FootnoteCharacters"/>
          <w:rFonts w:cs="Arial" w:ascii="Arial" w:hAnsi="Arial"/>
        </w:rPr>
        <w:t xml:space="preserve"> </w:t>
      </w:r>
      <w:r>
        <w:rPr>
          <w:rStyle w:val="Ukotvenpoznmkypodarou"/>
          <w:rFonts w:cs="Arial" w:ascii="Arial" w:hAnsi="Arial"/>
        </w:rPr>
        <w:footnoteReference w:id="3"/>
      </w:r>
      <w:r>
        <w:rPr>
          <w:rFonts w:cs="Arial" w:ascii="Arial" w:hAnsi="Arial"/>
        </w:rPr>
        <w:t>.</w:t>
      </w:r>
    </w:p>
    <w:p>
      <w:pPr>
        <w:pStyle w:val="NormalWeb"/>
        <w:spacing w:beforeAutospacing="0" w:before="0" w:afterAutospacing="0" w:after="0"/>
        <w:ind w:left="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numPr>
          <w:ilvl w:val="0"/>
          <w:numId w:val="5"/>
        </w:numPr>
        <w:spacing w:beforeAutospacing="0" w:before="0" w:afterAutospacing="0" w:after="0"/>
        <w:ind w:left="567" w:hanging="567"/>
        <w:rPr>
          <w:rFonts w:ascii="Arial" w:hAnsi="Arial" w:cs="Arial"/>
        </w:rPr>
      </w:pPr>
      <w:r>
        <w:rPr>
          <w:rFonts w:cs="Arial" w:ascii="Arial" w:hAnsi="Arial"/>
        </w:rPr>
        <w:t>Zdroje vody pro hašení požárů na území obce jsou uvedeny v příloze č. 3 vyhlášky.</w:t>
      </w:r>
    </w:p>
    <w:p>
      <w:pPr>
        <w:pStyle w:val="Nadpis4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Čl. 7</w:t>
        <w:br/>
        <w:t>Seznam ohlašoven požárů a dalších míst, odkud lze hlásit požár, a způsob jejich označení</w:t>
      </w:r>
    </w:p>
    <w:p>
      <w:pPr>
        <w:pStyle w:val="NormalWeb"/>
        <w:spacing w:beforeAutospacing="0" w:before="0" w:afterAutospacing="0" w:after="0"/>
        <w:ind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numPr>
          <w:ilvl w:val="0"/>
          <w:numId w:val="6"/>
        </w:numPr>
        <w:spacing w:beforeAutospacing="0" w:before="0" w:afterAutospacing="0" w:after="0"/>
        <w:ind w:left="567" w:hanging="567"/>
        <w:rPr>
          <w:rFonts w:ascii="Arial" w:hAnsi="Arial" w:cs="Arial"/>
          <w:color w:val="auto"/>
        </w:rPr>
      </w:pPr>
      <w:r>
        <w:rPr>
          <w:rFonts w:cs="Arial" w:ascii="Arial" w:hAnsi="Arial"/>
        </w:rPr>
        <w:t>Obec zřídila následující ohlašovnu požárů, která je trvale označena tabulkou „Ohlašovna požárů</w:t>
      </w:r>
      <w:r>
        <w:rPr>
          <w:rFonts w:cs="Arial" w:ascii="Arial" w:hAnsi="Arial"/>
          <w:color w:val="auto"/>
        </w:rPr>
        <w:t>”: Budova obecního úřadu Kozlany, č. p. 12, Kozlany.</w:t>
      </w:r>
    </w:p>
    <w:p>
      <w:pPr>
        <w:pStyle w:val="NormalWeb"/>
        <w:spacing w:beforeAutospacing="0" w:before="0" w:afterAutospacing="0" w:after="0"/>
        <w:ind w:left="567" w:hanging="0"/>
        <w:rPr>
          <w:rFonts w:ascii="Arial" w:hAnsi="Arial" w:cs="Arial"/>
          <w:color w:val="auto"/>
        </w:rPr>
      </w:pPr>
      <w:r>
        <w:rPr>
          <w:rFonts w:cs="Arial" w:ascii="Arial" w:hAnsi="Arial"/>
          <w:color w:val="auto"/>
        </w:rPr>
      </w:r>
    </w:p>
    <w:p>
      <w:pPr>
        <w:pStyle w:val="NormalWeb"/>
        <w:numPr>
          <w:ilvl w:val="0"/>
          <w:numId w:val="6"/>
        </w:numPr>
        <w:spacing w:beforeAutospacing="0" w:before="0" w:afterAutospacing="0" w:after="0"/>
        <w:ind w:left="567" w:hanging="567"/>
        <w:rPr>
          <w:rFonts w:ascii="Arial" w:hAnsi="Arial" w:cs="Arial"/>
          <w:color w:val="auto"/>
        </w:rPr>
      </w:pPr>
      <w:r>
        <w:rPr>
          <w:rFonts w:cs="Arial" w:ascii="Arial" w:hAnsi="Arial"/>
        </w:rPr>
        <w:t>Dalšími místy zřízenými obcí, odkud lze hlásit požár a která jsou trvale označena tabulkou „Zde hlaste požár“ nebo symbolem telefonního čísla „150“ či „112“.</w:t>
      </w:r>
    </w:p>
    <w:p>
      <w:pPr>
        <w:pStyle w:val="NormalWeb"/>
        <w:spacing w:beforeAutospacing="0" w:before="0" w:afterAutospacing="0" w:after="0"/>
        <w:ind w:left="567" w:hanging="0"/>
        <w:rPr>
          <w:rFonts w:ascii="Arial" w:hAnsi="Arial" w:cs="Arial"/>
          <w:color w:val="auto"/>
        </w:rPr>
      </w:pPr>
      <w:r>
        <w:rPr>
          <w:rFonts w:cs="Arial" w:ascii="Arial" w:hAnsi="Arial"/>
          <w:color w:val="auto"/>
        </w:rPr>
      </w:r>
    </w:p>
    <w:p>
      <w:pPr>
        <w:pStyle w:val="NormalWeb"/>
        <w:spacing w:beforeAutospacing="0" w:before="0" w:afterAutospacing="0" w:after="0"/>
        <w:ind w:left="567" w:hanging="0"/>
        <w:rPr>
          <w:rFonts w:ascii="Arial" w:hAnsi="Arial" w:cs="Arial"/>
          <w:color w:val="auto"/>
        </w:rPr>
      </w:pPr>
      <w:r>
        <w:rPr>
          <w:rFonts w:cs="Arial" w:ascii="Arial" w:hAnsi="Arial"/>
          <w:color w:val="auto"/>
        </w:rPr>
      </w:r>
    </w:p>
    <w:p>
      <w:pPr>
        <w:pStyle w:val="Nadpis4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Čl. 8</w:t>
      </w:r>
    </w:p>
    <w:p>
      <w:pPr>
        <w:pStyle w:val="Slalnk"/>
        <w:spacing w:before="0" w:after="0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>Způsob vyhlášení požárního poplachu v obci</w:t>
      </w:r>
    </w:p>
    <w:p>
      <w:pPr>
        <w:pStyle w:val="Slalnk"/>
        <w:spacing w:before="0" w:after="0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Slalnk"/>
        <w:spacing w:before="0" w:after="0"/>
        <w:jc w:val="left"/>
        <w:rPr>
          <w:rFonts w:ascii="Arial" w:hAnsi="Arial" w:cs="Arial"/>
          <w:b w:val="false"/>
          <w:b w:val="false"/>
          <w:bCs w:val="false"/>
          <w:szCs w:val="24"/>
        </w:rPr>
      </w:pPr>
      <w:r>
        <w:rPr>
          <w:rFonts w:cs="Arial" w:ascii="Arial" w:hAnsi="Arial"/>
          <w:b w:val="false"/>
          <w:bCs w:val="false"/>
          <w:szCs w:val="24"/>
        </w:rPr>
        <w:t>Vyhlášení požárního poplachu v obci se provádí:</w:t>
      </w:r>
    </w:p>
    <w:p>
      <w:pPr>
        <w:pStyle w:val="Slalnk"/>
        <w:spacing w:before="0" w:after="0"/>
        <w:jc w:val="left"/>
        <w:rPr>
          <w:rFonts w:ascii="Arial" w:hAnsi="Arial" w:cs="Arial"/>
          <w:b w:val="false"/>
          <w:b w:val="false"/>
          <w:bCs w:val="false"/>
          <w:szCs w:val="24"/>
        </w:rPr>
      </w:pPr>
      <w:r>
        <w:rPr>
          <w:rFonts w:cs="Arial" w:ascii="Arial" w:hAnsi="Arial"/>
          <w:b w:val="false"/>
          <w:bCs w:val="false"/>
          <w:szCs w:val="24"/>
        </w:rPr>
      </w:r>
    </w:p>
    <w:p>
      <w:pPr>
        <w:pStyle w:val="Slalnk"/>
        <w:numPr>
          <w:ilvl w:val="1"/>
          <w:numId w:val="10"/>
        </w:numPr>
        <w:spacing w:before="0" w:after="0"/>
        <w:ind w:left="851" w:hanging="284"/>
        <w:jc w:val="left"/>
        <w:rPr>
          <w:rFonts w:ascii="Arial" w:hAnsi="Arial" w:cs="Arial"/>
          <w:b w:val="false"/>
          <w:b w:val="false"/>
          <w:bCs w:val="false"/>
          <w:szCs w:val="24"/>
        </w:rPr>
      </w:pPr>
      <w:r>
        <w:rPr>
          <w:rFonts w:cs="Arial" w:ascii="Arial" w:hAnsi="Arial"/>
          <w:b w:val="false"/>
          <w:bCs w:val="false"/>
          <w:szCs w:val="24"/>
        </w:rPr>
        <w:t>signálem „požární poplach“, který je vyhlašován přerušovaným tónem sirény po dobu jedné minuty (25 sec. tón – 10 sec. pauza – 25 sec. tón) nebo,</w:t>
      </w:r>
    </w:p>
    <w:p>
      <w:pPr>
        <w:pStyle w:val="Slalnk"/>
        <w:spacing w:before="0" w:after="0"/>
        <w:ind w:left="851" w:hanging="0"/>
        <w:jc w:val="left"/>
        <w:rPr>
          <w:rFonts w:ascii="Arial" w:hAnsi="Arial" w:cs="Arial"/>
          <w:b w:val="false"/>
          <w:b w:val="false"/>
          <w:bCs w:val="false"/>
          <w:szCs w:val="24"/>
        </w:rPr>
      </w:pPr>
      <w:r>
        <w:rPr>
          <w:rFonts w:cs="Arial" w:ascii="Arial" w:hAnsi="Arial"/>
          <w:b w:val="false"/>
          <w:bCs w:val="false"/>
          <w:szCs w:val="24"/>
        </w:rPr>
      </w:r>
    </w:p>
    <w:p>
      <w:pPr>
        <w:pStyle w:val="Slalnk"/>
        <w:numPr>
          <w:ilvl w:val="1"/>
          <w:numId w:val="10"/>
        </w:numPr>
        <w:spacing w:before="0" w:after="0"/>
        <w:ind w:left="851" w:hanging="284"/>
        <w:jc w:val="left"/>
        <w:rPr>
          <w:rFonts w:ascii="Arial" w:hAnsi="Arial" w:cs="Arial"/>
          <w:b w:val="false"/>
          <w:b w:val="false"/>
          <w:bCs w:val="false"/>
          <w:szCs w:val="24"/>
        </w:rPr>
      </w:pPr>
      <w:r>
        <w:rPr>
          <w:rFonts w:cs="Arial" w:ascii="Arial" w:hAnsi="Arial"/>
          <w:b w:val="false"/>
          <w:bCs w:val="false"/>
          <w:szCs w:val="24"/>
        </w:rPr>
        <w:t>signálem „POŽÁRNÍ POPLACH“, vyhlašovaným elektronickou sirénou (napodobuje hlas trubky, troubící tón „HO-ŘÍ, HO-ŘÍ“) po dobu jedné minuty (je jednoznačný nezaměnitelný s jinými signály),</w:t>
      </w:r>
    </w:p>
    <w:p>
      <w:pPr>
        <w:pStyle w:val="Slalnk"/>
        <w:spacing w:before="0" w:after="0"/>
        <w:ind w:left="851" w:hanging="0"/>
        <w:jc w:val="left"/>
        <w:rPr>
          <w:rFonts w:ascii="Arial" w:hAnsi="Arial" w:cs="Arial"/>
          <w:b w:val="false"/>
          <w:b w:val="false"/>
          <w:bCs w:val="false"/>
          <w:szCs w:val="24"/>
        </w:rPr>
      </w:pPr>
      <w:r>
        <w:rPr>
          <w:rFonts w:cs="Arial" w:ascii="Arial" w:hAnsi="Arial"/>
          <w:b w:val="false"/>
          <w:bCs w:val="false"/>
          <w:szCs w:val="24"/>
        </w:rPr>
      </w:r>
    </w:p>
    <w:p>
      <w:pPr>
        <w:pStyle w:val="Slalnk"/>
        <w:numPr>
          <w:ilvl w:val="1"/>
          <w:numId w:val="10"/>
        </w:numPr>
        <w:spacing w:before="0" w:after="0"/>
        <w:ind w:left="851" w:hanging="284"/>
        <w:jc w:val="left"/>
        <w:rPr>
          <w:rFonts w:ascii="Arial" w:hAnsi="Arial" w:cs="Arial"/>
          <w:b w:val="false"/>
          <w:b w:val="false"/>
          <w:bCs w:val="false"/>
          <w:szCs w:val="24"/>
        </w:rPr>
      </w:pPr>
      <w:r>
        <w:rPr>
          <w:rFonts w:cs="Arial" w:ascii="Arial" w:hAnsi="Arial"/>
          <w:b w:val="false"/>
          <w:bCs w:val="false"/>
          <w:szCs w:val="24"/>
        </w:rPr>
        <w:t>v případě poruchy technických zařízení po vyhlášení požárního poplachu se požární poplach v obci vyhlašuje obecním rozhlasem.</w:t>
      </w:r>
    </w:p>
    <w:p>
      <w:pPr>
        <w:pStyle w:val="Slalnk"/>
        <w:spacing w:before="0" w:after="0"/>
        <w:jc w:val="left"/>
        <w:rPr>
          <w:rFonts w:ascii="Arial" w:hAnsi="Arial" w:cs="Arial"/>
          <w:b w:val="false"/>
          <w:b w:val="false"/>
          <w:bCs w:val="false"/>
          <w:szCs w:val="24"/>
        </w:rPr>
      </w:pPr>
      <w:r>
        <w:rPr>
          <w:rFonts w:cs="Arial" w:ascii="Arial" w:hAnsi="Arial"/>
          <w:b w:val="false"/>
          <w:bCs w:val="false"/>
          <w:szCs w:val="24"/>
        </w:rPr>
      </w:r>
    </w:p>
    <w:p>
      <w:pPr>
        <w:pStyle w:val="Slalnk"/>
        <w:spacing w:before="0" w:after="0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>Článek 9</w:t>
      </w:r>
    </w:p>
    <w:p>
      <w:pPr>
        <w:pStyle w:val="Nzvylnk"/>
        <w:tabs>
          <w:tab w:val="clear" w:pos="708"/>
          <w:tab w:val="left" w:pos="3015" w:leader="none"/>
          <w:tab w:val="center" w:pos="4536" w:leader="none"/>
        </w:tabs>
        <w:spacing w:before="0" w:after="0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>Seznam sil a prostředků jednotek požární ochrany</w:t>
      </w:r>
    </w:p>
    <w:p>
      <w:pPr>
        <w:pStyle w:val="Nzvylnk"/>
        <w:tabs>
          <w:tab w:val="clear" w:pos="708"/>
          <w:tab w:val="left" w:pos="3015" w:leader="none"/>
          <w:tab w:val="center" w:pos="4536" w:leader="none"/>
        </w:tabs>
        <w:spacing w:before="0" w:after="0"/>
        <w:ind w:left="567" w:hanging="0"/>
        <w:jc w:val="left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zvylnk"/>
        <w:spacing w:before="0" w:after="0"/>
        <w:jc w:val="both"/>
        <w:rPr>
          <w:rFonts w:ascii="Arial" w:hAnsi="Arial" w:cs="Arial"/>
          <w:b w:val="false"/>
          <w:b w:val="false"/>
          <w:bCs w:val="false"/>
          <w:szCs w:val="24"/>
        </w:rPr>
      </w:pPr>
      <w:r>
        <w:rPr>
          <w:rFonts w:cs="Arial" w:ascii="Arial" w:hAnsi="Arial"/>
          <w:b w:val="false"/>
          <w:bCs w:val="false"/>
          <w:szCs w:val="24"/>
        </w:rPr>
        <w:t>Seznam sil a prostředků jednotek požární ochrany podle výpisu z požárního poplachového plánu kraje Vysočina</w:t>
      </w:r>
      <w:r>
        <w:rPr>
          <w:rStyle w:val="Ukotvenpoznmkypodarou"/>
          <w:rFonts w:cs="Arial" w:ascii="Arial" w:hAnsi="Arial"/>
          <w:szCs w:val="24"/>
        </w:rPr>
        <w:footnoteReference w:id="4"/>
      </w:r>
      <w:r>
        <w:rPr>
          <w:rFonts w:cs="Arial" w:ascii="Arial" w:hAnsi="Arial"/>
          <w:b w:val="false"/>
          <w:bCs w:val="false"/>
          <w:szCs w:val="24"/>
        </w:rPr>
        <w:t xml:space="preserve"> je uveden v příloze č. 1 vyhlášky.</w:t>
      </w:r>
    </w:p>
    <w:p>
      <w:pPr>
        <w:pStyle w:val="Nzvylnk"/>
        <w:spacing w:before="0" w:after="0"/>
        <w:jc w:val="both"/>
        <w:rPr>
          <w:rFonts w:ascii="Arial" w:hAnsi="Arial" w:cs="Arial"/>
          <w:b w:val="false"/>
          <w:b w:val="false"/>
          <w:bCs w:val="false"/>
          <w:szCs w:val="24"/>
        </w:rPr>
      </w:pPr>
      <w:r>
        <w:rPr>
          <w:rFonts w:cs="Arial" w:ascii="Arial" w:hAnsi="Arial"/>
          <w:b w:val="false"/>
          <w:bCs w:val="false"/>
          <w:szCs w:val="24"/>
        </w:rPr>
      </w:r>
    </w:p>
    <w:p>
      <w:pPr>
        <w:pStyle w:val="Nzvylnk"/>
        <w:spacing w:before="0" w:after="0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>Čl. 10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Účinnost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Tato vyhláška nabývá účinnosti počátkem patnáctého dne následujícího po dni jejího vyhlášení.</w:t>
      </w:r>
    </w:p>
    <w:p>
      <w:pPr>
        <w:pStyle w:val="Normal"/>
        <w:spacing w:lineRule="auto" w:line="288" w:before="120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88" w:before="120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641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820"/>
        <w:gridCol w:w="4820"/>
      </w:tblGrid>
      <w:tr>
        <w:trPr>
          <w:trHeight w:val="1134" w:hRule="exact"/>
        </w:trPr>
        <w:tc>
          <w:tcPr>
            <w:tcW w:w="4820" w:type="dxa"/>
            <w:tcBorders/>
            <w:vAlign w:val="bottom"/>
          </w:tcPr>
          <w:p>
            <w:pPr>
              <w:pStyle w:val="PodpisovePole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Jaroslav Mrňa v. r.</w:t>
              <w:br/>
              <w:t xml:space="preserve"> starosta</w:t>
            </w:r>
          </w:p>
        </w:tc>
        <w:tc>
          <w:tcPr>
            <w:tcW w:w="4820" w:type="dxa"/>
            <w:tcBorders/>
            <w:vAlign w:val="bottom"/>
          </w:tcPr>
          <w:p>
            <w:pPr>
              <w:pStyle w:val="PodpisovePole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Jitka Pospíšilová v. r.</w:t>
              <w:br/>
              <w:t xml:space="preserve"> místostarostka</w:t>
            </w:r>
          </w:p>
        </w:tc>
      </w:tr>
    </w:tbl>
    <w:p>
      <w:pPr>
        <w:pStyle w:val="Normal"/>
        <w:spacing w:before="0" w:after="12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NormalWeb"/>
        <w:spacing w:beforeAutospacing="0" w:before="0" w:afterAutospacing="0" w:after="0"/>
        <w:ind w:hanging="0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  <w:t xml:space="preserve">Příloha č. 1 k obecně závazné vyhlášce, kterou se vydává požární řád </w:t>
      </w:r>
    </w:p>
    <w:p>
      <w:pPr>
        <w:pStyle w:val="NormalWeb"/>
        <w:spacing w:beforeAutospacing="0" w:before="0" w:afterAutospacing="0" w:after="0"/>
        <w:ind w:hanging="0"/>
        <w:jc w:val="right"/>
        <w:rPr>
          <w:rFonts w:ascii="Arial" w:hAnsi="Arial" w:cs="Arial"/>
          <w:b/>
          <w:b/>
          <w:bCs/>
          <w:iCs/>
        </w:rPr>
      </w:pPr>
      <w:r>
        <w:rPr>
          <w:rFonts w:cs="Arial" w:ascii="Arial" w:hAnsi="Arial"/>
          <w:b/>
          <w:bCs/>
          <w:iCs/>
        </w:rPr>
      </w:r>
    </w:p>
    <w:p>
      <w:pPr>
        <w:pStyle w:val="Tlotextu"/>
        <w:tabs>
          <w:tab w:val="clear" w:pos="708"/>
          <w:tab w:val="left" w:pos="1080" w:leader="none"/>
          <w:tab w:val="left" w:pos="7020" w:leader="none"/>
        </w:tabs>
        <w:spacing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Seznam sil a prostředků jednotek požární ochrany </w:t>
      </w:r>
    </w:p>
    <w:p>
      <w:pPr>
        <w:pStyle w:val="Tlotextu"/>
        <w:tabs>
          <w:tab w:val="clear" w:pos="708"/>
          <w:tab w:val="left" w:pos="1080" w:leader="none"/>
          <w:tab w:val="left" w:pos="7020" w:leader="none"/>
        </w:tabs>
        <w:spacing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podle požárního poplachového plánu Kraje Vysočina</w:t>
      </w:r>
    </w:p>
    <w:p>
      <w:pPr>
        <w:pStyle w:val="Normal"/>
        <w:suppressAutoHyphens w:val="true"/>
        <w:jc w:val="both"/>
        <w:textAlignment w:val="baseline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ind w:left="567" w:hanging="567"/>
        <w:rPr>
          <w:rFonts w:ascii="Arial" w:hAnsi="Arial" w:cs="Arial"/>
        </w:rPr>
      </w:pPr>
      <w:r>
        <w:rPr>
          <w:rFonts w:cs="Arial" w:ascii="Arial" w:hAnsi="Arial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>
      <w:pPr>
        <w:pStyle w:val="NormalWeb"/>
        <w:spacing w:beforeAutospacing="0" w:before="0" w:afterAutospacing="0" w:after="0"/>
        <w:ind w:left="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ind w:left="567" w:hanging="567"/>
        <w:rPr>
          <w:rFonts w:ascii="Arial" w:hAnsi="Arial" w:cs="Arial"/>
        </w:rPr>
      </w:pPr>
      <w:r>
        <w:rPr>
          <w:rFonts w:cs="Arial" w:ascii="Arial" w:hAnsi="Arial"/>
        </w:rPr>
        <w:t>V případě vzniku požáru nebo jiné mimořádné události jsou pro poskytnutí pomoci na území obce určeny podle I. stupně požárního poplachu následující jednotky požární ochrany: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081" w:type="dxa"/>
        <w:jc w:val="left"/>
        <w:tblInd w:w="-1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709"/>
        <w:gridCol w:w="1701"/>
        <w:gridCol w:w="850"/>
        <w:gridCol w:w="567"/>
        <w:gridCol w:w="708"/>
        <w:gridCol w:w="710"/>
        <w:gridCol w:w="284"/>
        <w:gridCol w:w="992"/>
        <w:gridCol w:w="710"/>
        <w:gridCol w:w="425"/>
        <w:gridCol w:w="707"/>
        <w:gridCol w:w="717"/>
      </w:tblGrid>
      <w:tr>
        <w:trPr/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Název obce</w:t>
            </w: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Název části obce</w:t>
            </w:r>
          </w:p>
        </w:tc>
        <w:tc>
          <w:tcPr>
            <w:tcW w:w="1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Katastrální území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Hasební obvod stanice</w:t>
            </w:r>
          </w:p>
        </w:tc>
        <w:tc>
          <w:tcPr>
            <w:tcW w:w="14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 xml:space="preserve">Stupeň 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nebezpečí</w:t>
            </w:r>
          </w:p>
        </w:tc>
      </w:tr>
      <w:tr>
        <w:trPr/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Kozlany</w:t>
            </w: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Kozlany</w:t>
            </w:r>
          </w:p>
        </w:tc>
        <w:tc>
          <w:tcPr>
            <w:tcW w:w="1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Kozlany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Náměšť nad Oslavou</w:t>
            </w:r>
          </w:p>
        </w:tc>
        <w:tc>
          <w:tcPr>
            <w:tcW w:w="14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IV</w:t>
            </w:r>
          </w:p>
        </w:tc>
      </w:tr>
      <w:tr>
        <w:trPr/>
        <w:tc>
          <w:tcPr>
            <w:tcW w:w="9080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adpis7"/>
              <w:widowControl w:val="false"/>
              <w:spacing w:before="240" w:after="6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Předurčené jednotky PO a požadavek na jejich dobu dojezdu</w:t>
            </w:r>
          </w:p>
          <w:p>
            <w:pPr>
              <w:pStyle w:val="Normal"/>
              <w:widowControl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St.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pop.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Název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 xml:space="preserve">JPO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Kat. JPO</w:t>
            </w: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Název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JPO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Kat. JPO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Název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JPO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Kat. JPO</w:t>
            </w: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Název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JPO</w:t>
            </w:r>
          </w:p>
        </w:tc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Kat. JPO</w:t>
            </w:r>
          </w:p>
        </w:tc>
      </w:tr>
      <w:tr>
        <w:trPr/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1.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Hrotovice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I</w:t>
            </w: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Hrotovice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I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Pozďatín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III/1</w:t>
            </w: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Kozlany</w:t>
            </w:r>
          </w:p>
        </w:tc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V</w:t>
            </w:r>
          </w:p>
        </w:tc>
      </w:tr>
    </w:tbl>
    <w:p>
      <w:pPr>
        <w:pStyle w:val="Normal"/>
        <w:rPr>
          <w:rFonts w:ascii="Cambria" w:hAnsi="Cambria" w:cs="Cambria"/>
          <w:b/>
          <w:b/>
          <w:bCs/>
          <w:sz w:val="28"/>
          <w:szCs w:val="28"/>
        </w:rPr>
      </w:pPr>
      <w:r>
        <w:rPr>
          <w:rFonts w:cs="Cambria" w:ascii="Cambria" w:hAnsi="Cambria"/>
          <w:b/>
          <w:bCs/>
          <w:sz w:val="28"/>
          <w:szCs w:val="28"/>
        </w:rPr>
      </w:r>
    </w:p>
    <w:p>
      <w:pPr>
        <w:pStyle w:val="Tlotextu"/>
        <w:tabs>
          <w:tab w:val="clear" w:pos="708"/>
          <w:tab w:val="left" w:pos="1080" w:leader="none"/>
          <w:tab w:val="left" w:pos="7020" w:leader="none"/>
        </w:tabs>
        <w:spacing w:before="0" w:after="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Tlotextu"/>
        <w:tabs>
          <w:tab w:val="clear" w:pos="708"/>
          <w:tab w:val="left" w:pos="1080" w:leader="none"/>
          <w:tab w:val="left" w:pos="7020" w:leader="none"/>
        </w:tabs>
        <w:spacing w:before="0" w:after="0"/>
        <w:jc w:val="center"/>
        <w:rPr>
          <w:rFonts w:ascii="Arial" w:hAnsi="Arial" w:cs="Arial"/>
          <w:b/>
          <w:b/>
          <w:bCs/>
          <w:iCs/>
          <w:szCs w:val="24"/>
        </w:rPr>
      </w:pPr>
      <w:r>
        <w:rPr>
          <w:rFonts w:cs="Arial" w:ascii="Arial" w:hAnsi="Arial"/>
          <w:b/>
          <w:bCs/>
        </w:rPr>
        <w:t xml:space="preserve">Příloha č. 2 </w:t>
      </w:r>
      <w:r>
        <w:rPr>
          <w:rFonts w:cs="Arial" w:ascii="Arial" w:hAnsi="Arial"/>
          <w:b/>
          <w:bCs/>
          <w:iCs/>
          <w:szCs w:val="24"/>
        </w:rPr>
        <w:t>k obecně závazné vyhlášce, kterou se vydává požární řád</w:t>
      </w:r>
    </w:p>
    <w:p>
      <w:pPr>
        <w:pStyle w:val="Tlotextu"/>
        <w:tabs>
          <w:tab w:val="clear" w:pos="708"/>
          <w:tab w:val="left" w:pos="1080" w:leader="none"/>
          <w:tab w:val="left" w:pos="7020" w:leader="none"/>
        </w:tabs>
        <w:spacing w:before="0" w:after="0"/>
        <w:jc w:val="center"/>
        <w:rPr>
          <w:rFonts w:ascii="Arial" w:hAnsi="Arial" w:cs="Arial"/>
          <w:b/>
          <w:b/>
          <w:bCs/>
          <w:iCs/>
          <w:szCs w:val="24"/>
        </w:rPr>
      </w:pPr>
      <w:r>
        <w:rPr>
          <w:rFonts w:cs="Arial" w:ascii="Arial" w:hAnsi="Arial"/>
          <w:b/>
          <w:bCs/>
          <w:iCs/>
          <w:szCs w:val="24"/>
        </w:rPr>
      </w:r>
    </w:p>
    <w:p>
      <w:pPr>
        <w:pStyle w:val="Hlava"/>
        <w:spacing w:before="0" w:after="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Požární technika a věcné prostředky požární ochrany společné jednotky požární ochrany</w:t>
      </w:r>
    </w:p>
    <w:p>
      <w:pPr>
        <w:pStyle w:val="Hlava"/>
        <w:spacing w:before="0" w:after="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tbl>
      <w:tblPr>
        <w:tblW w:w="9181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036"/>
        <w:gridCol w:w="2035"/>
        <w:gridCol w:w="2058"/>
        <w:gridCol w:w="813"/>
        <w:gridCol w:w="2238"/>
      </w:tblGrid>
      <w:tr>
        <w:trPr>
          <w:trHeight w:val="360" w:hRule="atLeast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Dislokace JPO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Kategorie JPO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Počet členů</w:t>
            </w:r>
          </w:p>
        </w:tc>
        <w:tc>
          <w:tcPr>
            <w:tcW w:w="3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Počet členů v pohotovosti</w:t>
            </w:r>
          </w:p>
        </w:tc>
      </w:tr>
      <w:tr>
        <w:trPr>
          <w:trHeight w:val="390" w:hRule="atLeast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b/>
                <w:b/>
                <w:bCs/>
                <w:iCs/>
              </w:rPr>
            </w:pPr>
            <w:r>
              <w:rPr>
                <w:rFonts w:cs="Arial" w:ascii="Arial" w:hAnsi="Arial"/>
                <w:b/>
                <w:bCs/>
                <w:iCs/>
              </w:rPr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b/>
                <w:b/>
                <w:bCs/>
                <w:iCs/>
              </w:rPr>
            </w:pPr>
            <w:r>
              <w:rPr>
                <w:rFonts w:cs="Arial" w:ascii="Arial" w:hAnsi="Arial"/>
                <w:b/>
                <w:bCs/>
                <w:iCs/>
              </w:rPr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  <w:iCs/>
              </w:rPr>
              <w:t>0</w:t>
            </w:r>
          </w:p>
        </w:tc>
        <w:tc>
          <w:tcPr>
            <w:tcW w:w="3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  <w:iCs/>
              </w:rPr>
              <w:t>0</w:t>
            </w:r>
          </w:p>
        </w:tc>
      </w:tr>
      <w:tr>
        <w:trPr>
          <w:trHeight w:val="360" w:hRule="atLeast"/>
        </w:trPr>
        <w:tc>
          <w:tcPr>
            <w:tcW w:w="6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adpis2"/>
              <w:widowControl w:val="false"/>
              <w:numPr>
                <w:ilvl w:val="1"/>
                <w:numId w:val="11"/>
              </w:numPr>
              <w:tabs>
                <w:tab w:val="clear" w:pos="708"/>
                <w:tab w:val="left" w:pos="1440" w:leader="none"/>
              </w:tabs>
              <w:ind w:left="1440" w:hanging="360"/>
              <w:rPr>
                <w:rFonts w:ascii="Arial" w:hAnsi="Arial" w:cs="Arial"/>
                <w:b/>
                <w:b/>
                <w:bCs/>
                <w:u w:val="none"/>
              </w:rPr>
            </w:pPr>
            <w:r>
              <w:rPr>
                <w:rFonts w:cs="Arial" w:ascii="Arial" w:hAnsi="Arial"/>
                <w:b/>
                <w:bCs/>
                <w:u w:val="none"/>
              </w:rPr>
              <w:t>Požární technika a věcné prostředky PO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Počet</w:t>
            </w:r>
          </w:p>
        </w:tc>
      </w:tr>
      <w:tr>
        <w:trPr>
          <w:trHeight w:val="360" w:hRule="atLeast"/>
        </w:trPr>
        <w:tc>
          <w:tcPr>
            <w:tcW w:w="6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adpis2"/>
              <w:widowControl w:val="false"/>
              <w:numPr>
                <w:ilvl w:val="1"/>
                <w:numId w:val="11"/>
              </w:numPr>
              <w:tabs>
                <w:tab w:val="clear" w:pos="708"/>
                <w:tab w:val="left" w:pos="1440" w:leader="none"/>
              </w:tabs>
              <w:ind w:left="1440" w:hanging="360"/>
              <w:rPr>
                <w:rFonts w:ascii="Arial" w:hAnsi="Arial" w:cs="Arial"/>
                <w:b/>
                <w:b/>
                <w:bCs/>
                <w:u w:val="none"/>
              </w:rPr>
            </w:pPr>
            <w:r>
              <w:rPr>
                <w:rFonts w:cs="Arial" w:ascii="Arial" w:hAnsi="Arial"/>
                <w:b/>
                <w:bCs/>
                <w:u w:val="none"/>
              </w:rPr>
              <w:t>Hasičská stříkačka PMS 12 s příslušenstvím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1</w:t>
            </w:r>
          </w:p>
        </w:tc>
      </w:tr>
    </w:tbl>
    <w:p>
      <w:pPr>
        <w:pStyle w:val="Tlotextu"/>
        <w:tabs>
          <w:tab w:val="clear" w:pos="708"/>
          <w:tab w:val="left" w:pos="1080" w:leader="none"/>
          <w:tab w:val="left" w:pos="7020" w:leader="none"/>
        </w:tabs>
        <w:spacing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Tlotextu"/>
        <w:tabs>
          <w:tab w:val="clear" w:pos="708"/>
          <w:tab w:val="left" w:pos="1080" w:leader="none"/>
          <w:tab w:val="left" w:pos="7020" w:leader="none"/>
        </w:tabs>
        <w:spacing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Tlotextu"/>
        <w:tabs>
          <w:tab w:val="clear" w:pos="708"/>
          <w:tab w:val="left" w:pos="1080" w:leader="none"/>
          <w:tab w:val="left" w:pos="7020" w:leader="none"/>
        </w:tabs>
        <w:spacing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Tlotextu"/>
        <w:tabs>
          <w:tab w:val="clear" w:pos="708"/>
          <w:tab w:val="left" w:pos="1080" w:leader="none"/>
          <w:tab w:val="left" w:pos="7020" w:leader="none"/>
        </w:tabs>
        <w:spacing w:before="0" w:after="0"/>
        <w:jc w:val="center"/>
        <w:rPr>
          <w:rFonts w:ascii="Arial" w:hAnsi="Arial" w:cs="Arial"/>
          <w:b/>
          <w:b/>
          <w:bCs/>
          <w:iCs/>
          <w:szCs w:val="24"/>
        </w:rPr>
      </w:pPr>
      <w:r>
        <w:rPr>
          <w:rFonts w:cs="Arial" w:ascii="Arial" w:hAnsi="Arial"/>
          <w:b/>
          <w:bCs/>
        </w:rPr>
        <w:t xml:space="preserve">Příloha č. 3 </w:t>
      </w:r>
      <w:r>
        <w:rPr>
          <w:rFonts w:cs="Arial" w:ascii="Arial" w:hAnsi="Arial"/>
          <w:b/>
          <w:bCs/>
          <w:iCs/>
          <w:szCs w:val="24"/>
        </w:rPr>
        <w:t>k obecně závazné vyhlášce, kterou se vydává požární řád</w:t>
      </w:r>
    </w:p>
    <w:p>
      <w:pPr>
        <w:pStyle w:val="Tlotextu"/>
        <w:tabs>
          <w:tab w:val="clear" w:pos="708"/>
          <w:tab w:val="left" w:pos="1080" w:leader="none"/>
          <w:tab w:val="left" w:pos="7020" w:leader="none"/>
        </w:tabs>
        <w:spacing w:before="0" w:after="0"/>
        <w:jc w:val="center"/>
        <w:rPr>
          <w:rFonts w:ascii="Arial" w:hAnsi="Arial" w:cs="Arial"/>
          <w:b/>
          <w:b/>
          <w:bCs/>
          <w:szCs w:val="24"/>
        </w:rPr>
      </w:pPr>
      <w:r>
        <w:rPr>
          <w:rFonts w:cs="Arial" w:ascii="Arial" w:hAnsi="Arial"/>
          <w:b/>
          <w:bCs/>
          <w:szCs w:val="24"/>
        </w:rPr>
      </w:r>
    </w:p>
    <w:p>
      <w:pPr>
        <w:pStyle w:val="Tlotextu"/>
        <w:jc w:val="center"/>
        <w:rPr>
          <w:rFonts w:ascii="Arial" w:hAnsi="Arial" w:cs="Arial"/>
          <w:b/>
          <w:b/>
          <w:bCs/>
          <w:szCs w:val="24"/>
        </w:rPr>
      </w:pPr>
      <w:r>
        <w:rPr>
          <w:rFonts w:cs="Arial" w:ascii="Arial" w:hAnsi="Arial"/>
          <w:b/>
          <w:bCs/>
          <w:szCs w:val="24"/>
        </w:rPr>
        <w:t>Přehled o zdrojích vody pro hašení požárů</w:t>
      </w:r>
    </w:p>
    <w:p>
      <w:pPr>
        <w:pStyle w:val="Tlotextu"/>
        <w:jc w:val="center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tbl>
      <w:tblPr>
        <w:tblW w:w="9282" w:type="dxa"/>
        <w:jc w:val="left"/>
        <w:tblInd w:w="-1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029"/>
        <w:gridCol w:w="7252"/>
      </w:tblGrid>
      <w:tr>
        <w:trPr/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Přirozené</w:t>
            </w:r>
          </w:p>
        </w:tc>
        <w:tc>
          <w:tcPr>
            <w:tcW w:w="7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Rybník za obcí</w:t>
            </w:r>
          </w:p>
        </w:tc>
      </w:tr>
      <w:tr>
        <w:trPr/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Umělé</w:t>
            </w:r>
          </w:p>
        </w:tc>
        <w:tc>
          <w:tcPr>
            <w:tcW w:w="7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Vodní nádrž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Hydrantová síť</w:t>
            </w:r>
          </w:p>
        </w:tc>
      </w:tr>
      <w:tr>
        <w:trPr/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Víceúčelové</w:t>
            </w:r>
          </w:p>
        </w:tc>
        <w:tc>
          <w:tcPr>
            <w:tcW w:w="7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Přehrada Dalešice</w:t>
            </w:r>
          </w:p>
        </w:tc>
      </w:tr>
    </w:tbl>
    <w:p>
      <w:pPr>
        <w:pStyle w:val="NormalWeb"/>
        <w:spacing w:before="280" w:after="280"/>
        <w:ind w:hanging="0"/>
        <w:rPr>
          <w:rFonts w:ascii="Arial" w:hAnsi="Arial" w:cs="Arial"/>
          <w:color w:val="FF0000"/>
        </w:rPr>
      </w:pPr>
      <w:r>
        <w:rPr/>
      </w:r>
    </w:p>
    <w:sectPr>
      <w:footnotePr>
        <w:numFmt w:val="decimal"/>
        <w:numRestart w:val="eachSect"/>
      </w:footnotePr>
      <w:type w:val="nextPage"/>
      <w:pgSz w:w="11906" w:h="16838"/>
      <w:pgMar w:left="1417" w:right="1417" w:gutter="0" w:header="0" w:top="709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oznmkapodarou"/>
        <w:jc w:val="both"/>
        <w:rPr/>
      </w:pPr>
      <w:r>
        <w:rPr>
          <w:rStyle w:val="Znakypropoznmkupodarou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Nařízení kraje Vysočina č. 2/2004, kterým se stanoví podmínky k zabezpečení požární ochrany při akcích, kterých se zúčastňuje větší počet osob.</w:t>
      </w:r>
    </w:p>
  </w:footnote>
  <w:footnote w:id="3">
    <w:p>
      <w:pPr>
        <w:pStyle w:val="Poznmkapodarou"/>
        <w:rPr/>
      </w:pPr>
      <w:r>
        <w:rPr>
          <w:rStyle w:val="Znakypropoznmkupodarou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Nařízení kraje Vysočina č. 2/2003, kterým se stanoví podmínky k zabezpečení zdrojů vody k hašení požárů.</w:t>
      </w:r>
    </w:p>
  </w:footnote>
  <w:footnote w:id="4">
    <w:p>
      <w:pPr>
        <w:pStyle w:val="Poznmkapodarou"/>
        <w:rPr/>
      </w:pPr>
      <w:r>
        <w:rPr>
          <w:rStyle w:val="Znakypropoznmkupodarou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Nařízení kraje Vysočina č. 9/2016, kterým se stanoví Požární poplachový plán Kraje Vysočina, ze dne 17. května 2016.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  <w:rPr/>
    </w:lvl>
  </w:abstractNum>
  <w:abstractNum w:abstractNumId="4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  <w:rPr>
        <w:dstrike w:val="false"/>
        <w:strike w:val="false"/>
        <w:vertAlign w:val="baseline"/>
        <w:position w:val="0"/>
        <w:sz w:val="20"/>
        <w:sz w:val="20"/>
        <w:i w:val="false"/>
        <w:b w:val="fals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21" w:hanging="454"/>
      </w:pPr>
      <w:rPr/>
    </w:lvl>
    <w:lvl w:ilvl="2">
      <w:start w:val="1"/>
      <w:numFmt w:val="lowerRoman"/>
      <w:lvlText w:val="%3)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9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  <w:rPr>
        <w:dstrike w:val="false"/>
        <w:strike w:val="false"/>
        <w:vertAlign w:val="baseline"/>
        <w:position w:val="0"/>
        <w:sz w:val="20"/>
        <w:sz w:val="20"/>
        <w:i w:val="false"/>
        <w:b w:val="fals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21" w:hanging="454"/>
      </w:pPr>
      <w:rPr/>
    </w:lvl>
    <w:lvl w:ilvl="2">
      <w:start w:val="1"/>
      <w:numFmt w:val="lowerRoman"/>
      <w:lvlText w:val="%3)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Cambri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50"/>
  <w:embedSystemFonts/>
  <w:defaultTabStop w:val="708"/>
  <w:autoHyphenation w:val="true"/>
  <w:footnotePr>
    <w:numFmt w:val="decimal"/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cs-CZ" w:bidi="ar-SA"/>
    </w:rPr>
  </w:style>
  <w:style w:type="paragraph" w:styleId="Nadpis2">
    <w:name w:val="Heading 2"/>
    <w:basedOn w:val="Normal"/>
    <w:next w:val="Normal"/>
    <w:qFormat/>
    <w:pPr>
      <w:keepNext w:val="true"/>
      <w:jc w:val="both"/>
      <w:outlineLvl w:val="1"/>
    </w:pPr>
    <w:rPr>
      <w:szCs w:val="20"/>
      <w:u w:val="single"/>
    </w:rPr>
  </w:style>
  <w:style w:type="paragraph" w:styleId="Nadpis4">
    <w:name w:val="Heading 4"/>
    <w:basedOn w:val="Normal"/>
    <w:next w:val="Normal"/>
    <w:link w:val="Nadpis4Char"/>
    <w:uiPriority w:val="9"/>
    <w:unhideWhenUsed/>
    <w:qFormat/>
    <w:rsid w:val="00f64363"/>
    <w:pPr>
      <w:keepNext w:val="true"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al"/>
    <w:next w:val="Normal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link w:val="Nadpis6Char"/>
    <w:uiPriority w:val="9"/>
    <w:semiHidden/>
    <w:unhideWhenUsed/>
    <w:qFormat/>
    <w:rsid w:val="00871656"/>
    <w:pPr>
      <w:keepNext w:val="true"/>
      <w:keepLines/>
      <w:spacing w:before="40" w:after="0"/>
      <w:outlineLvl w:val="5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paragraph" w:styleId="Nadpis7">
    <w:name w:val="Heading 7"/>
    <w:basedOn w:val="Normal"/>
    <w:next w:val="Normal"/>
    <w:link w:val="Nadpis7Char"/>
    <w:uiPriority w:val="9"/>
    <w:semiHidden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Ukotvenpoznmkypodarou">
    <w:name w:val="Ukotvení poznámky pod čarou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Annotationreference">
    <w:name w:val="annotation reference"/>
    <w:semiHidden/>
    <w:qFormat/>
    <w:rPr>
      <w:sz w:val="16"/>
      <w:szCs w:val="16"/>
    </w:rPr>
  </w:style>
  <w:style w:type="character" w:styleId="Nadpis4Char" w:customStyle="1">
    <w:name w:val="Nadpis 4 Char"/>
    <w:uiPriority w:val="9"/>
    <w:qFormat/>
    <w:rsid w:val="00f64363"/>
    <w:rPr>
      <w:rFonts w:ascii="Calibri" w:hAnsi="Calibri" w:eastAsia="Times New Roman" w:cs="Times New Roman"/>
      <w:b/>
      <w:bCs/>
      <w:sz w:val="28"/>
      <w:szCs w:val="28"/>
    </w:rPr>
  </w:style>
  <w:style w:type="character" w:styleId="Nadpis5Char" w:customStyle="1">
    <w:name w:val="Nadpis 5 Char"/>
    <w:uiPriority w:val="9"/>
    <w:semiHidden/>
    <w:qFormat/>
    <w:rsid w:val="00f64363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TextpoznpodarouChar" w:customStyle="1">
    <w:name w:val="Text pozn. pod čarou Char"/>
    <w:uiPriority w:val="99"/>
    <w:semiHidden/>
    <w:qFormat/>
    <w:rsid w:val="00f64363"/>
    <w:rPr/>
  </w:style>
  <w:style w:type="character" w:styleId="NzevChar" w:customStyle="1">
    <w:name w:val="Název Char"/>
    <w:uiPriority w:val="10"/>
    <w:qFormat/>
    <w:rsid w:val="00f64363"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Zkladntext3Char" w:customStyle="1">
    <w:name w:val="Základní text 3 Char"/>
    <w:link w:val="BodyText3"/>
    <w:uiPriority w:val="99"/>
    <w:semiHidden/>
    <w:qFormat/>
    <w:rsid w:val="00eb68de"/>
    <w:rPr>
      <w:sz w:val="16"/>
      <w:szCs w:val="16"/>
    </w:rPr>
  </w:style>
  <w:style w:type="character" w:styleId="Nadpis7Char" w:customStyle="1">
    <w:name w:val="Nadpis 7 Char"/>
    <w:uiPriority w:val="9"/>
    <w:semiHidden/>
    <w:qFormat/>
    <w:rsid w:val="00264860"/>
    <w:rPr>
      <w:rFonts w:ascii="Calibri" w:hAnsi="Calibri" w:eastAsia="Times New Roman" w:cs="Times New Roman"/>
      <w:sz w:val="24"/>
      <w:szCs w:val="24"/>
    </w:rPr>
  </w:style>
  <w:style w:type="character" w:styleId="Nadpis6Char" w:customStyle="1">
    <w:name w:val="Nadpis 6 Char"/>
    <w:basedOn w:val="DefaultParagraphFont"/>
    <w:uiPriority w:val="9"/>
    <w:semiHidden/>
    <w:qFormat/>
    <w:rsid w:val="00871656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Znakypropoznmkupodarou">
    <w:name w:val="Znaky pro poznámku pod čarou"/>
    <w:qFormat/>
    <w:rPr/>
  </w:style>
  <w:style w:type="character" w:styleId="Ukotvenvysvtlivky">
    <w:name w:val="Ukotvení vysvětlivky"/>
    <w:rPr>
      <w:vertAlign w:val="superscript"/>
    </w:rPr>
  </w:style>
  <w:style w:type="character" w:styleId="Znakyprovysvtlivky">
    <w:name w:val="Znaky pro vysvětlivky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before="0" w:after="120"/>
    </w:pPr>
    <w:rPr>
      <w:szCs w:val="20"/>
    </w:rPr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  <w:lang w:val="zxx" w:eastAsia="zxx" w:bidi="zxx"/>
    </w:rPr>
  </w:style>
  <w:style w:type="paragraph" w:styleId="Odsazentlatextu">
    <w:name w:val="Body Text Indent"/>
    <w:basedOn w:val="Normal"/>
    <w:pPr>
      <w:ind w:left="708" w:firstLine="357"/>
      <w:jc w:val="both"/>
    </w:pPr>
    <w:rPr>
      <w:szCs w:val="20"/>
    </w:rPr>
  </w:style>
  <w:style w:type="paragraph" w:styleId="BodyTextIndent2">
    <w:name w:val="Body Text Indent 2"/>
    <w:basedOn w:val="Normal"/>
    <w:qFormat/>
    <w:pPr>
      <w:ind w:left="708" w:firstLine="360"/>
      <w:jc w:val="both"/>
    </w:pPr>
    <w:rPr>
      <w:bCs/>
      <w:szCs w:val="20"/>
    </w:rPr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>
      <w:szCs w:val="20"/>
    </w:rPr>
  </w:style>
  <w:style w:type="paragraph" w:styleId="Poznmkapodarou">
    <w:name w:val="Footnote Text"/>
    <w:basedOn w:val="Normal"/>
    <w:link w:val="TextpoznpodarouChar"/>
    <w:pPr/>
    <w:rPr>
      <w:sz w:val="20"/>
      <w:szCs w:val="20"/>
    </w:rPr>
  </w:style>
  <w:style w:type="paragraph" w:styleId="NormlnIMP" w:customStyle="1">
    <w:name w:val="Normální_IMP"/>
    <w:basedOn w:val="Normal"/>
    <w:qFormat/>
    <w:pPr>
      <w:suppressAutoHyphens w:val="true"/>
      <w:overflowPunct w:val="false"/>
      <w:spacing w:lineRule="auto" w:line="228"/>
      <w:jc w:val="both"/>
      <w:textAlignment w:val="baseline"/>
    </w:pPr>
    <w:rPr>
      <w:szCs w:val="20"/>
    </w:rPr>
  </w:style>
  <w:style w:type="paragraph" w:styleId="Annotationtext">
    <w:name w:val="annotation text"/>
    <w:basedOn w:val="Normal"/>
    <w:semiHidden/>
    <w:qFormat/>
    <w:pPr/>
    <w:rPr>
      <w:sz w:val="20"/>
      <w:szCs w:val="20"/>
    </w:rPr>
  </w:style>
  <w:style w:type="paragraph" w:styleId="BodyTextIndent3">
    <w:name w:val="Body Text Indent 3"/>
    <w:basedOn w:val="Normal"/>
    <w:qFormat/>
    <w:pPr>
      <w:widowControl w:val="false"/>
      <w:tabs>
        <w:tab w:val="clear" w:pos="708"/>
        <w:tab w:val="left" w:pos="540" w:leader="none"/>
      </w:tabs>
      <w:ind w:left="540" w:hanging="540"/>
      <w:jc w:val="both"/>
    </w:pPr>
    <w:rPr>
      <w:bCs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qFormat/>
    <w:rsid w:val="00f64363"/>
    <w:pPr>
      <w:spacing w:beforeAutospacing="1" w:afterAutospacing="1"/>
      <w:ind w:firstLine="500"/>
      <w:jc w:val="both"/>
    </w:pPr>
    <w:rPr>
      <w:color w:val="000000"/>
    </w:rPr>
  </w:style>
  <w:style w:type="paragraph" w:styleId="Nzevzkona" w:customStyle="1">
    <w:name w:val="název zákona"/>
    <w:basedOn w:val="Nzev"/>
    <w:qFormat/>
    <w:rsid w:val="00f64363"/>
    <w:pPr/>
    <w:rPr/>
  </w:style>
  <w:style w:type="paragraph" w:styleId="Nzev">
    <w:name w:val="Title"/>
    <w:basedOn w:val="Normal"/>
    <w:next w:val="Normal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Seznamoslovan" w:customStyle="1">
    <w:name w:val="Seznam očíslovaný"/>
    <w:basedOn w:val="Tlotextu"/>
    <w:qFormat/>
    <w:rsid w:val="00f64363"/>
    <w:pPr>
      <w:widowControl w:val="false"/>
      <w:spacing w:before="0" w:after="113"/>
      <w:ind w:left="425" w:hanging="424"/>
      <w:jc w:val="both"/>
    </w:pPr>
    <w:rPr/>
  </w:style>
  <w:style w:type="paragraph" w:styleId="ListParagraph">
    <w:name w:val="List Paragraph"/>
    <w:basedOn w:val="Normal"/>
    <w:uiPriority w:val="34"/>
    <w:qFormat/>
    <w:rsid w:val="00f64363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val="en-GB" w:eastAsia="en-US"/>
    </w:rPr>
  </w:style>
  <w:style w:type="paragraph" w:styleId="BodyText3">
    <w:name w:val="Body Text 3"/>
    <w:basedOn w:val="Normal"/>
    <w:link w:val="Zkladntext3Char"/>
    <w:uiPriority w:val="99"/>
    <w:semiHidden/>
    <w:unhideWhenUsed/>
    <w:qFormat/>
    <w:rsid w:val="00eb68de"/>
    <w:pPr>
      <w:spacing w:before="0" w:after="120"/>
    </w:pPr>
    <w:rPr>
      <w:sz w:val="16"/>
      <w:szCs w:val="16"/>
    </w:rPr>
  </w:style>
  <w:style w:type="paragraph" w:styleId="Hlava" w:customStyle="1">
    <w:name w:val="Hlava"/>
    <w:basedOn w:val="Normal"/>
    <w:qFormat/>
    <w:rsid w:val="00264860"/>
    <w:pPr>
      <w:spacing w:before="240" w:after="0"/>
      <w:jc w:val="center"/>
    </w:pPr>
    <w:rPr/>
  </w:style>
  <w:style w:type="paragraph" w:styleId="Default" w:customStyle="1">
    <w:name w:val="Default"/>
    <w:qFormat/>
    <w:rsid w:val="00793260"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Calibri" w:cs="Arial"/>
      <w:color w:val="000000"/>
      <w:kern w:val="0"/>
      <w:sz w:val="24"/>
      <w:szCs w:val="24"/>
      <w:lang w:val="cs-CZ" w:eastAsia="en-US" w:bidi="ar-SA"/>
    </w:rPr>
  </w:style>
  <w:style w:type="paragraph" w:styleId="Slalnk" w:customStyle="1">
    <w:name w:val="Čísla článků"/>
    <w:basedOn w:val="Normal"/>
    <w:qFormat/>
    <w:rsid w:val="00793260"/>
    <w:pPr>
      <w:keepNext w:val="true"/>
      <w:keepLines/>
      <w:suppressAutoHyphens w:val="true"/>
      <w:spacing w:before="360" w:after="60"/>
      <w:jc w:val="center"/>
      <w:textAlignment w:val="baseline"/>
    </w:pPr>
    <w:rPr>
      <w:b/>
      <w:bCs/>
      <w:szCs w:val="20"/>
    </w:rPr>
  </w:style>
  <w:style w:type="paragraph" w:styleId="Nzvylnk" w:customStyle="1">
    <w:name w:val="Názvy článků"/>
    <w:basedOn w:val="Slalnk"/>
    <w:qFormat/>
    <w:rsid w:val="00793260"/>
    <w:pPr>
      <w:spacing w:before="60" w:after="160"/>
    </w:pPr>
    <w:rPr/>
  </w:style>
  <w:style w:type="paragraph" w:styleId="PodpisovePole" w:customStyle="1">
    <w:name w:val="PodpisovePole"/>
    <w:basedOn w:val="Normal"/>
    <w:qFormat/>
    <w:rsid w:val="00871656"/>
    <w:pPr>
      <w:widowControl w:val="false"/>
      <w:suppressLineNumbers/>
      <w:suppressAutoHyphens w:val="true"/>
      <w:jc w:val="center"/>
      <w:textAlignment w:val="baseline"/>
    </w:pPr>
    <w:rPr>
      <w:rFonts w:ascii="Arial" w:hAnsi="Arial" w:eastAsia="Arial" w:cs="Arial"/>
      <w:kern w:val="2"/>
      <w:sz w:val="22"/>
      <w:szCs w:val="22"/>
      <w:lang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8D256-65E9-4ACE-BBED-7BCFAB27C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Application>LibreOffice/7.3.0.3$Windows_X86_64 LibreOffice_project/0f246aa12d0eee4a0f7adcefbf7c878fc2238db3</Application>
  <AppVersion>15.0000</AppVersion>
  <Pages>4</Pages>
  <Words>1060</Words>
  <Characters>5935</Characters>
  <CharactersWithSpaces>6885</CharactersWithSpaces>
  <Paragraphs>106</Paragraphs>
  <Company>MV ČR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2026-08-13T08:21:00Z</dcterms:created>
  <dc:creator>DA210036</dc:creator>
  <dc:description/>
  <dc:language>cs-CZ</dc:language>
  <cp:lastModifiedBy/>
  <cp:lastPrinted>2018-02-01T10:14:00Z</cp:lastPrinted>
  <dcterms:modified xsi:type="dcterms:W3CDTF">2026-09-24T15:55:00Z</dcterms:modified>
  <cp:revision>13</cp:revision>
  <dc:subject/>
  <dc:title>Vzor obecně závazné vyhlášky obce o stanovení systému shromažďování, sběru, přepravy, třídění, využívání a odstraňování komuná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