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032510" cy="118618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Přední Výtoň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Přední Výtoň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Přední Výtoň č. 5/2024,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hanging="0" w:lef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Přední Výtoň se na svém zasedání dne 9.12.2024 usnesením č. </w:t>
      </w:r>
      <w:r>
        <w:rPr>
          <w:rFonts w:cs="Arial" w:ascii="Arial" w:hAnsi="Arial"/>
          <w:sz w:val="22"/>
          <w:szCs w:val="22"/>
        </w:rPr>
        <w:t>92/2024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hanging="426" w:left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Přední Výtoň.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BodyTextIndent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 …</w:t>
      </w:r>
      <w:r>
        <w:rPr>
          <w:rFonts w:cs="Arial" w:ascii="Arial" w:hAnsi="Arial"/>
          <w:sz w:val="22"/>
          <w:szCs w:val="22"/>
        </w:rPr>
        <w:t xml:space="preserve"> ).</w:t>
      </w:r>
    </w:p>
    <w:p>
      <w:pPr>
        <w:pStyle w:val="BodyTextIndent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BodyTextIndent"/>
        <w:ind w:hanging="0" w:left="72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popelnice, sběrné nádoby a velkoobjemové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426" w:left="426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stanovištích jehož seznam je uveden na stránkách obce </w:t>
      </w:r>
      <w:hyperlink r:id="rId3">
        <w:r>
          <w:rPr>
            <w:rStyle w:val="Hyperlink"/>
            <w:rFonts w:cs="Arial" w:ascii="Arial" w:hAnsi="Arial"/>
            <w:sz w:val="22"/>
            <w:szCs w:val="22"/>
          </w:rPr>
          <w:t>https://www.prednivyton.cz/obec/odpadove-hospodarstvi/</w:t>
        </w:r>
      </w:hyperlink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hnědá,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lahve, nápojové kartony, barva 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bílá na čiré nebo zelená na barevné,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Kovy, barva stříbrná, velkoobjemový kontejner s nápisem KOVY,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zelená,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bílá.</w:t>
      </w:r>
    </w:p>
    <w:p>
      <w:pPr>
        <w:pStyle w:val="Normal"/>
        <w:ind w:left="3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rPr/>
      </w:pPr>
      <w:r>
        <w:rPr/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elektronické úřední desce, způsobem umožňujícím dálkový přístup a na výlepových plochách.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objemného odpadu je zajišťován </w:t>
      </w:r>
      <w:r>
        <w:rPr>
          <w:rFonts w:cs="Arial" w:ascii="Arial" w:hAnsi="Arial"/>
          <w:iCs/>
          <w:sz w:val="22"/>
          <w:szCs w:val="22"/>
        </w:rPr>
        <w:t>je zajišťován minimálně dvakrát ročně jejich odebíráním na předem vyhlášených přechodných stanovištích přímo do zvláštních sběrných nádob k tomuto sběru určených. Informace o svozu jsou zveřejňovány na elektronické úřední desce, způsobem umožňujícím dálkový přístup a na výlepových plochách.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0"/>
        </w:numPr>
        <w:ind w:hanging="426"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bCs/>
          <w:i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bCs/>
          <w:i/>
          <w:sz w:val="22"/>
          <w:szCs w:val="22"/>
        </w:rPr>
        <w:t>kontejnery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227" w:left="680" w:right="0"/>
        <w:jc w:val="both"/>
        <w:rPr/>
      </w:pPr>
      <w:r>
        <w:rPr>
          <w:rFonts w:cs="Arial" w:ascii="Arial" w:hAnsi="Arial"/>
          <w:i/>
          <w:sz w:val="22"/>
          <w:szCs w:val="22"/>
        </w:rPr>
        <w:t>odpadkové koše,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10"/>
        </w:numPr>
        <w:ind w:hanging="426"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9"/>
        </w:numPr>
        <w:ind w:hanging="284"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Právnické a podnikající fyzické osoby zapojené do obecního systému na základě smlouvy s obcí komunální odpad dle čl. 2 odst. 1 písm. j) předávají směsný komunální odpad v nádobách umístěných na adrese uvedené ve smlouvě s obcí, dále na základě smlouvy s obcí tříděný odpad dle čl. 2 odst. 1 písm. b), c), d), předávají tříděný odpad do nádob umístěných na adrese uvedené ve smlouvě s obcí.</w:t>
      </w:r>
    </w:p>
    <w:p>
      <w:pPr>
        <w:pStyle w:val="Normal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hanging="284"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úhrady za zapojení do obecního systému se stanoví paušální částkou. Paušální částka je stanovena dle aktuálního Sazebníku úhrad schváleného Zastupitelstvem obce Přední Výtoň, který je zveřej</w:t>
      </w:r>
      <w:r>
        <w:rPr>
          <w:rFonts w:cs="Arial" w:ascii="Arial" w:hAnsi="Arial"/>
          <w:sz w:val="22"/>
          <w:szCs w:val="22"/>
        </w:rPr>
        <w:t>něn</w:t>
      </w:r>
      <w:r>
        <w:rPr>
          <w:rFonts w:cs="Arial" w:ascii="Arial" w:hAnsi="Arial"/>
          <w:sz w:val="22"/>
          <w:szCs w:val="22"/>
        </w:rPr>
        <w:t xml:space="preserve"> na webových stránkách obce </w:t>
      </w:r>
      <w:hyperlink r:id="rId4">
        <w:r>
          <w:rPr>
            <w:rStyle w:val="Hyperlink"/>
            <w:rFonts w:cs="Arial" w:ascii="Arial" w:hAnsi="Arial"/>
            <w:color w:val="00B0F0"/>
            <w:sz w:val="22"/>
            <w:szCs w:val="22"/>
          </w:rPr>
          <w:t>https://www.prednivyton.cz/obec/odpadove-hospodarstvi/pro-podnikatele/</w:t>
        </w:r>
      </w:hyperlink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hanging="284"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Úhrada se vybírá 4x ročně (tříděný odpad 1x ročně), na základě faktury vystavené obcí, a to převodem na bankovní účet obce nebo v hotovosti.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Stavební a demoliční odpad lze použít, předat či zlikvidovat zákonem stanoveným způsobem. Stavební a demoliční odpad likviduje každý na své náklady.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3/2021, ze dne 14.12.2021</w:t>
      </w:r>
    </w:p>
    <w:p>
      <w:pPr>
        <w:pStyle w:val="Normal"/>
        <w:spacing w:lineRule="auto" w:line="288" w:before="120" w:after="0"/>
        <w:jc w:val="both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1.1.2025. 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left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>………………..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František Soukup v.r.</w:t>
      </w:r>
      <w:r>
        <w:rPr>
          <w:rFonts w:cs="Arial" w:ascii="Arial" w:hAnsi="Arial"/>
          <w:bCs/>
          <w:i/>
          <w:sz w:val="22"/>
          <w:szCs w:val="22"/>
        </w:rPr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>Dipl. - Ing. Pavel Gabriš v.r.</w:t>
      </w:r>
    </w:p>
    <w:p>
      <w:pPr>
        <w:pStyle w:val="Normal"/>
        <w:ind w:left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>starosta</w:t>
      </w:r>
    </w:p>
    <w:sectPr>
      <w:footerReference w:type="default" r:id="rId5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false"/>
        <w:iCs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false"/>
        <w:i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31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 w:customStyle="1">
    <w:name w:val="Heading 2"/>
    <w:basedOn w:val="Normal"/>
    <w:next w:val="Normal"/>
    <w:link w:val="Nadpis2Char"/>
    <w:qFormat/>
    <w:rsid w:val="003a3188"/>
    <w:pPr>
      <w:keepNext w:val="true"/>
      <w:jc w:val="both"/>
      <w:outlineLvl w:val="1"/>
    </w:pPr>
    <w:rPr>
      <w:szCs w:val="20"/>
      <w:u w:val="single"/>
    </w:rPr>
  </w:style>
  <w:style w:type="paragraph" w:styleId="Heading3" w:customStyle="1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sid w:val="0060093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semiHidden/>
    <w:qFormat/>
    <w:rsid w:val="003a3188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Znakyprovysvtlivky" w:customStyle="1">
    <w:name w:val="Znaky pro vysvětlivky"/>
    <w:qFormat/>
    <w:rsid w:val="003a3188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adpis2Char" w:customStyle="1">
    <w:name w:val="Nadpis 2 Char"/>
    <w:basedOn w:val="DefaultParagraphFont"/>
    <w:uiPriority w:val="9"/>
    <w:qFormat/>
    <w:rsid w:val="00f31bfd"/>
    <w:rPr>
      <w:b/>
      <w:bCs/>
      <w:sz w:val="36"/>
      <w:szCs w:val="36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f31bfd"/>
    <w:rPr>
      <w:color w:val="000080"/>
      <w:u w:val="single"/>
    </w:rPr>
  </w:style>
  <w:style w:type="character" w:styleId="TextpoznpodarouChar" w:customStyle="1">
    <w:name w:val="Text pozn. pod čarou Char"/>
    <w:basedOn w:val="DefaultParagraphFont"/>
    <w:semiHidden/>
    <w:qFormat/>
    <w:rsid w:val="0060093a"/>
    <w:rPr/>
  </w:style>
  <w:style w:type="character" w:styleId="Symbolyproslovn">
    <w:name w:val="Symboly pro číslování"/>
    <w:qFormat/>
    <w:rPr/>
  </w:style>
  <w:style w:type="paragraph" w:styleId="Nadpis" w:customStyle="1">
    <w:name w:val="Nadpis"/>
    <w:basedOn w:val="Normal"/>
    <w:next w:val="BodyText"/>
    <w:qFormat/>
    <w:rsid w:val="003a3188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3a3188"/>
    <w:pPr>
      <w:spacing w:before="0" w:after="120"/>
    </w:pPr>
    <w:rPr>
      <w:szCs w:val="20"/>
    </w:rPr>
  </w:style>
  <w:style w:type="paragraph" w:styleId="List">
    <w:name w:val="List"/>
    <w:basedOn w:val="BodyText"/>
    <w:rsid w:val="003a3188"/>
    <w:pPr/>
    <w:rPr>
      <w:rFonts w:cs="Lucida Sans"/>
    </w:rPr>
  </w:style>
  <w:style w:type="paragraph" w:styleId="Caption" w:customStyle="1">
    <w:name w:val="Caption"/>
    <w:basedOn w:val="Normal"/>
    <w:qFormat/>
    <w:rsid w:val="003a3188"/>
    <w:pPr>
      <w:suppressLineNumbers/>
      <w:spacing w:before="120" w:after="120"/>
    </w:pPr>
    <w:rPr>
      <w:rFonts w:cs="Lucida Sans"/>
      <w:i/>
      <w:iCs/>
    </w:rPr>
  </w:style>
  <w:style w:type="paragraph" w:styleId="Rejstk" w:customStyle="1">
    <w:name w:val="Rejstřík"/>
    <w:basedOn w:val="Normal"/>
    <w:qFormat/>
    <w:rsid w:val="003a3188"/>
    <w:pPr>
      <w:suppressLineNumbers/>
    </w:pPr>
    <w:rPr>
      <w:rFonts w:cs="Lucida Sans"/>
    </w:rPr>
  </w:style>
  <w:style w:type="paragraph" w:styleId="BodyTextIndent">
    <w:name w:val="Body Text Indent"/>
    <w:basedOn w:val="Normal"/>
    <w:rsid w:val="003a3188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rsid w:val="003a3188"/>
    <w:pPr>
      <w:ind w:firstLine="360" w:left="708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rsid w:val="003a3188"/>
    <w:pPr/>
    <w:rPr/>
  </w:style>
  <w:style w:type="paragraph" w:styleId="Header" w:customStyle="1">
    <w:name w:val="Header"/>
    <w:basedOn w:val="Normal"/>
    <w:rsid w:val="003a3188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link w:val="TextpoznpodarouChar"/>
    <w:semiHidden/>
    <w:rsid w:val="0060093a"/>
    <w:pPr>
      <w:suppressAutoHyphens w:val="false"/>
    </w:pPr>
    <w:rPr>
      <w:sz w:val="20"/>
      <w:szCs w:val="20"/>
    </w:rPr>
  </w:style>
  <w:style w:type="paragraph" w:styleId="NormlnIMP" w:customStyle="1">
    <w:name w:val="Normální_IMP"/>
    <w:basedOn w:val="Normal"/>
    <w:qFormat/>
    <w:rsid w:val="003a3188"/>
    <w:pPr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rsid w:val="003a3188"/>
    <w:pPr/>
    <w:rPr>
      <w:sz w:val="20"/>
      <w:szCs w:val="20"/>
    </w:rPr>
  </w:style>
  <w:style w:type="paragraph" w:styleId="BodyTextIndent3">
    <w:name w:val="Body Text Indent 3"/>
    <w:basedOn w:val="Normal"/>
    <w:qFormat/>
    <w:rsid w:val="003a3188"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rsid w:val="003a31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</w:rPr>
  </w:style>
  <w:style w:type="paragraph" w:styleId="Footer" w:customStyle="1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dfootnote" w:customStyle="1">
    <w:name w:val="sdfootnote"/>
    <w:basedOn w:val="Normal"/>
    <w:qFormat/>
    <w:rsid w:val="00f31bfd"/>
    <w:pPr>
      <w:suppressAutoHyphens w:val="false"/>
      <w:spacing w:beforeAutospacing="1" w:after="0"/>
    </w:pPr>
    <w:rPr>
      <w:sz w:val="20"/>
      <w:szCs w:val="20"/>
    </w:rPr>
  </w:style>
  <w:style w:type="paragraph" w:styleId="Western" w:customStyle="1">
    <w:name w:val="western"/>
    <w:basedOn w:val="Normal"/>
    <w:qFormat/>
    <w:rsid w:val="00f31bfd"/>
    <w:pPr>
      <w:suppressAutoHyphens w:val="false"/>
      <w:spacing w:beforeAutospacing="1" w:after="11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prednivyton.cz/obec/odpadove-hospodarstvi/" TargetMode="External"/><Relationship Id="rId4" Type="http://schemas.openxmlformats.org/officeDocument/2006/relationships/hyperlink" Target="https://www.prednivyton.cz/obec/odpadove-hospodarstvi/pro-podnikatele/" TargetMode="Externa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41A2-7547-462F-8790-5B1A3363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Application>LibreOffice/7.6.0.3$Windows_X86_64 LibreOffice_project/69edd8b8ebc41d00b4de3915dc82f8f0fc3b6265</Application>
  <AppVersion>15.0000</AppVersion>
  <Pages>4</Pages>
  <Words>910</Words>
  <Characters>5197</Characters>
  <CharactersWithSpaces>6027</CharactersWithSpaces>
  <Paragraphs>77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2024-10-24T13:04:00Z</dcterms:created>
  <dc:creator>DA210036</dc:creator>
  <dc:description/>
  <dc:language>cs-CZ</dc:language>
  <cp:lastModifiedBy/>
  <dcterms:modified xsi:type="dcterms:W3CDTF">2024-12-10T14:10:15Z</dcterms:modified>
  <cp:revision>14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