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D848" w14:textId="77777777" w:rsidR="00111437" w:rsidRDefault="00111437">
      <w:pPr>
        <w:pStyle w:val="Nzev"/>
      </w:pPr>
      <w:r>
        <w:t>Město Kopidlno</w:t>
      </w:r>
    </w:p>
    <w:p w14:paraId="7098183F" w14:textId="77777777" w:rsidR="00111437" w:rsidRDefault="00111437"/>
    <w:p w14:paraId="15E71DC7" w14:textId="77777777" w:rsidR="00111437" w:rsidRDefault="00111437">
      <w:pPr>
        <w:jc w:val="center"/>
        <w:rPr>
          <w:b/>
          <w:sz w:val="32"/>
        </w:rPr>
      </w:pPr>
      <w:r>
        <w:rPr>
          <w:b/>
          <w:sz w:val="32"/>
        </w:rPr>
        <w:t>Obecně závazná vyhláška č. 5/2004,</w:t>
      </w:r>
    </w:p>
    <w:p w14:paraId="5E6E1C8E" w14:textId="77777777" w:rsidR="00111437" w:rsidRDefault="00111437">
      <w:pPr>
        <w:jc w:val="center"/>
        <w:rPr>
          <w:b/>
        </w:rPr>
      </w:pPr>
      <w:r>
        <w:rPr>
          <w:b/>
        </w:rPr>
        <w:t>kterou se stanoví podmínky k zabezpečení požární ochrany při akcích konaných ve venkovních prostorech,</w:t>
      </w:r>
    </w:p>
    <w:p w14:paraId="414A5571" w14:textId="77777777" w:rsidR="00111437" w:rsidRDefault="00111437">
      <w:pPr>
        <w:jc w:val="center"/>
        <w:rPr>
          <w:b/>
        </w:rPr>
      </w:pPr>
      <w:r>
        <w:rPr>
          <w:b/>
        </w:rPr>
        <w:t>kterých se zúčastní větší počet osob</w:t>
      </w:r>
    </w:p>
    <w:p w14:paraId="5BBCB26E" w14:textId="77777777" w:rsidR="00111437" w:rsidRDefault="00111437"/>
    <w:p w14:paraId="711612C1" w14:textId="77777777" w:rsidR="00111437" w:rsidRDefault="00111437">
      <w:pPr>
        <w:pStyle w:val="Zkladntextodsazen"/>
      </w:pPr>
      <w:r>
        <w:t xml:space="preserve">Zastupitelstvo města Kopidlna se na svém </w:t>
      </w:r>
      <w:proofErr w:type="gramStart"/>
      <w:r>
        <w:t>zasedání  dne</w:t>
      </w:r>
      <w:proofErr w:type="gramEnd"/>
      <w:r>
        <w:t xml:space="preserve"> 29. června 2004 usneslo vydat na základě ustanovení  § 10 písm d) zákona č. 128/2000 Sb., o obcích, ve znění pozdějších předpisů, a § 29 odst. 1 písm. o) zákona č. 133/1985 Sb., o požární ochraně, ve znění pozdějších předpisů, tuto obecně závaznou vyhlášku:</w:t>
      </w:r>
    </w:p>
    <w:p w14:paraId="76DA6C6C" w14:textId="77777777" w:rsidR="00111437" w:rsidRDefault="00111437">
      <w:r>
        <w:t xml:space="preserve"> </w:t>
      </w:r>
    </w:p>
    <w:p w14:paraId="347E643F" w14:textId="77777777" w:rsidR="00111437" w:rsidRDefault="00111437">
      <w:pPr>
        <w:jc w:val="center"/>
      </w:pPr>
      <w:r>
        <w:t>Článe</w:t>
      </w:r>
      <w:r>
        <w:t>k 1.</w:t>
      </w:r>
    </w:p>
    <w:p w14:paraId="6FD885D9" w14:textId="77777777" w:rsidR="00111437" w:rsidRDefault="00111437">
      <w:pPr>
        <w:jc w:val="center"/>
      </w:pPr>
      <w:r>
        <w:t xml:space="preserve">Účel obecně závazné vyhlášky </w:t>
      </w:r>
    </w:p>
    <w:p w14:paraId="6093C22D" w14:textId="77777777" w:rsidR="00111437" w:rsidRDefault="00111437">
      <w:pPr>
        <w:pStyle w:val="Prosttext"/>
        <w:ind w:firstLine="708"/>
        <w:jc w:val="both"/>
        <w:rPr>
          <w:rFonts w:ascii="Times New Roman" w:hAnsi="Times New Roman"/>
          <w:sz w:val="24"/>
        </w:rPr>
      </w:pPr>
    </w:p>
    <w:p w14:paraId="1F8D2B5D" w14:textId="77777777" w:rsidR="00111437" w:rsidRDefault="00111437">
      <w:pPr>
        <w:pStyle w:val="Prosttex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Touto obecně závaznou </w:t>
      </w:r>
      <w:proofErr w:type="gramStart"/>
      <w:r>
        <w:rPr>
          <w:rFonts w:ascii="Times New Roman" w:hAnsi="Times New Roman"/>
          <w:sz w:val="24"/>
        </w:rPr>
        <w:t>vyhláškou  se</w:t>
      </w:r>
      <w:proofErr w:type="gramEnd"/>
      <w:r>
        <w:rPr>
          <w:rFonts w:ascii="Times New Roman" w:hAnsi="Times New Roman"/>
          <w:sz w:val="24"/>
        </w:rPr>
        <w:t xml:space="preserve"> stanoví podmínky zajištění požární bezpečnosti pro zabezpečení kulturních,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sportovních, společenských, zábavních a jiných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akcí a shromáždění pořádaných ve venkovním shromažďovacím prostoru,  u kterých se  předpokládá účast  více než 300  osob (dále jen "akce"). </w:t>
      </w:r>
    </w:p>
    <w:p w14:paraId="05C561A9" w14:textId="77777777" w:rsidR="00111437" w:rsidRDefault="00111437">
      <w:pPr>
        <w:pStyle w:val="Prosttex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plnění podmínek stanovených touto obecně závaznou </w:t>
      </w:r>
      <w:proofErr w:type="gramStart"/>
      <w:r>
        <w:rPr>
          <w:rFonts w:ascii="Times New Roman" w:hAnsi="Times New Roman"/>
          <w:sz w:val="24"/>
        </w:rPr>
        <w:t>vyhláškou  k</w:t>
      </w:r>
      <w:proofErr w:type="gramEnd"/>
      <w:r>
        <w:rPr>
          <w:rFonts w:ascii="Times New Roman" w:hAnsi="Times New Roman"/>
          <w:sz w:val="24"/>
        </w:rPr>
        <w:t xml:space="preserve"> zabezpečení požární ochrany při akcích odpovídá právnická osoba, podnikající fyzická osoba, fyzická osoba nebo skupina osob, včetně sdružení  občanů, která pořádá  nebo svolává akci  (dále jen "organizátor akce").</w:t>
      </w:r>
    </w:p>
    <w:p w14:paraId="00403FD4" w14:textId="77777777" w:rsidR="00111437" w:rsidRDefault="00111437">
      <w:pPr>
        <w:jc w:val="both"/>
      </w:pPr>
    </w:p>
    <w:p w14:paraId="3BDD5AAB" w14:textId="77777777" w:rsidR="00111437" w:rsidRDefault="00111437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2</w:t>
      </w:r>
    </w:p>
    <w:p w14:paraId="35EC23DF" w14:textId="77777777" w:rsidR="00111437" w:rsidRDefault="00111437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Povinnosti organizátora akce</w:t>
      </w:r>
    </w:p>
    <w:p w14:paraId="3F28EA65" w14:textId="77777777" w:rsidR="00111437" w:rsidRDefault="00111437">
      <w:pPr>
        <w:pStyle w:val="Prosttext"/>
        <w:jc w:val="center"/>
        <w:rPr>
          <w:rFonts w:ascii="Times New Roman" w:hAnsi="Times New Roman"/>
          <w:sz w:val="24"/>
        </w:rPr>
      </w:pPr>
    </w:p>
    <w:p w14:paraId="1FB4EA01" w14:textId="77777777" w:rsidR="00111437" w:rsidRDefault="00111437">
      <w:pPr>
        <w:pStyle w:val="Prosttext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1) Organizátor akce je povinen prokazatelně stanovit rozsah a způsob zabezpečení požární ochrany, včetně povinností a způsobu plnění úkolů všech osob podílejících se na organizačním a technickém zajištění akce a osob účastnících se akce, přičemž </w:t>
      </w:r>
      <w:proofErr w:type="gramStart"/>
      <w:r>
        <w:rPr>
          <w:rFonts w:ascii="Times New Roman" w:hAnsi="Times New Roman"/>
          <w:sz w:val="24"/>
        </w:rPr>
        <w:t>postupuje  způsobem</w:t>
      </w:r>
      <w:proofErr w:type="gramEnd"/>
      <w:r>
        <w:rPr>
          <w:rFonts w:ascii="Times New Roman" w:hAnsi="Times New Roman"/>
          <w:sz w:val="24"/>
        </w:rPr>
        <w:t xml:space="preserve"> stanoveným platnými právními předpisy. </w:t>
      </w:r>
      <w:r>
        <w:rPr>
          <w:rFonts w:ascii="Times New Roman" w:hAnsi="Times New Roman"/>
          <w:sz w:val="24"/>
          <w:vertAlign w:val="superscript"/>
        </w:rPr>
        <w:t>1)</w:t>
      </w:r>
    </w:p>
    <w:p w14:paraId="7A81DC83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62F5779D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proofErr w:type="gramStart"/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případě</w:t>
      </w:r>
      <w:proofErr w:type="gramEnd"/>
      <w:r>
        <w:rPr>
          <w:rFonts w:ascii="Times New Roman" w:hAnsi="Times New Roman"/>
          <w:sz w:val="24"/>
        </w:rPr>
        <w:t>, že organizátor akce není vlastníkem pozemků, na nichž se akce má konat,  musí být rozsah odpovědností stanoven písemnou smlouvou s vlastníkem prostoru.</w:t>
      </w:r>
    </w:p>
    <w:p w14:paraId="7DFA9CC5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25D3080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Organizátor akce je povinen předložit </w:t>
      </w:r>
      <w:proofErr w:type="gramStart"/>
      <w:r>
        <w:rPr>
          <w:rFonts w:ascii="Times New Roman" w:hAnsi="Times New Roman"/>
          <w:sz w:val="24"/>
        </w:rPr>
        <w:t>městu  zprávu</w:t>
      </w:r>
      <w:proofErr w:type="gramEnd"/>
      <w:r>
        <w:rPr>
          <w:rFonts w:ascii="Times New Roman" w:hAnsi="Times New Roman"/>
          <w:sz w:val="24"/>
        </w:rPr>
        <w:t xml:space="preserve"> o zajištění podmínek požární bezpečnosti, a to  nejméně 5 pracovních dnů před zahájením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přípravných prací v předpokládaném místě  konání akce. Zpráva musí kromě údajů o zajištění podmínek požární bezpečnosti obsahovat i identifikaci organizátora včetně </w:t>
      </w:r>
      <w:proofErr w:type="gramStart"/>
      <w:r>
        <w:rPr>
          <w:rFonts w:ascii="Times New Roman" w:hAnsi="Times New Roman"/>
          <w:sz w:val="24"/>
        </w:rPr>
        <w:t>telefonického  kontaktu</w:t>
      </w:r>
      <w:proofErr w:type="gramEnd"/>
      <w:r>
        <w:rPr>
          <w:rFonts w:ascii="Times New Roman" w:hAnsi="Times New Roman"/>
          <w:sz w:val="24"/>
        </w:rPr>
        <w:t xml:space="preserve">, druh akce, dobu konání akce, místo konání akce – mapu s vyznačením prostoru, parcelní čísla pozemků a předpokládaný počet účastníků akce. </w:t>
      </w:r>
      <w:proofErr w:type="gramStart"/>
      <w:r>
        <w:rPr>
          <w:rFonts w:ascii="Times New Roman" w:hAnsi="Times New Roman"/>
          <w:sz w:val="24"/>
        </w:rPr>
        <w:t>Organizátor  prokáže</w:t>
      </w:r>
      <w:proofErr w:type="gramEnd"/>
      <w:r>
        <w:rPr>
          <w:rFonts w:ascii="Times New Roman" w:hAnsi="Times New Roman"/>
          <w:sz w:val="24"/>
        </w:rPr>
        <w:t xml:space="preserve">  též oprávnění užívat pozemky, není-li jejich vlastníkem.</w:t>
      </w:r>
    </w:p>
    <w:p w14:paraId="1C1A4697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</w:p>
    <w:p w14:paraId="3712C927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Při konání ohňostroje a při použití pyrotechnických a jiných efektů musí být tyto práce prováděny jen osobou odborně způsobilou a se souhlasem obce, na jejímž území budou tyto práce prováděny.</w:t>
      </w:r>
    </w:p>
    <w:p w14:paraId="66BB9CC8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 plnění balónků technickými plyny musí organizátor zajistit, aby tato činnost byla prováděna v souladu s příslušnými předpisy. Organizátor nesmí připustit plnění balónků plyny, které ve směsi se vzduchem tvoří hořlavou nebo výbušnou směs.</w:t>
      </w:r>
    </w:p>
    <w:p w14:paraId="467A86AA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</w:p>
    <w:p w14:paraId="658CF1B6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5) Organizátor akce je </w:t>
      </w:r>
      <w:proofErr w:type="gramStart"/>
      <w:r>
        <w:rPr>
          <w:rFonts w:ascii="Times New Roman" w:hAnsi="Times New Roman"/>
          <w:sz w:val="24"/>
        </w:rPr>
        <w:t>povinen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zřídit</w:t>
      </w:r>
      <w:proofErr w:type="gramEnd"/>
      <w:r>
        <w:rPr>
          <w:rFonts w:ascii="Times New Roman" w:hAnsi="Times New Roman"/>
          <w:sz w:val="24"/>
        </w:rPr>
        <w:t xml:space="preserve"> preventivní požární hlídku (dále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jen "požární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 xml:space="preserve">hlídka"). </w:t>
      </w:r>
      <w:proofErr w:type="gramStart"/>
      <w:r>
        <w:rPr>
          <w:rFonts w:ascii="Times New Roman" w:hAnsi="Times New Roman"/>
          <w:sz w:val="24"/>
        </w:rPr>
        <w:t>Pokud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to</w:t>
      </w:r>
      <w:proofErr w:type="gramEnd"/>
      <w:r>
        <w:rPr>
          <w:rFonts w:ascii="Times New Roman" w:hAnsi="Times New Roman"/>
          <w:sz w:val="24"/>
        </w:rPr>
        <w:t xml:space="preserve"> vyžaduje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povaha akce (např. rozlehlost místa konání, počet účastníků, možnosti úniku osob), je povinen zřídit větší počet požárních hlídek. Požární hlídka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je složena z velitele a dvou členů při počtu účastníků do tisíce lidí. Při vyšším počtu účastníků se zvýší požární hlídka o jednoho člena na každých dva tisíce lidí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Je-li organizátorem akce fyzická osoba, pak povinnosti k zajištění požární bezpečnosti akce stanovené tout</w:t>
      </w:r>
      <w:r>
        <w:rPr>
          <w:rFonts w:ascii="Times New Roman" w:hAnsi="Times New Roman"/>
          <w:sz w:val="24"/>
        </w:rPr>
        <w:t xml:space="preserve">o obecně závaznou vyhláškou, zabezpečí tato fyzická osoba prostřednictvím potřebného </w:t>
      </w:r>
      <w:proofErr w:type="gramStart"/>
      <w:r>
        <w:rPr>
          <w:rFonts w:ascii="Times New Roman" w:hAnsi="Times New Roman"/>
          <w:sz w:val="24"/>
        </w:rPr>
        <w:t>počtu  způsobilých</w:t>
      </w:r>
      <w:proofErr w:type="gramEnd"/>
      <w:r>
        <w:rPr>
          <w:rFonts w:ascii="Times New Roman" w:hAnsi="Times New Roman"/>
          <w:sz w:val="24"/>
        </w:rPr>
        <w:t xml:space="preserve"> pořadatelů. Za potřebný počet způsobilých pořadatelů jsou ve smyslu této vyhlášky považováni tři pořadatelé </w:t>
      </w:r>
      <w:proofErr w:type="gramStart"/>
      <w:r>
        <w:rPr>
          <w:rFonts w:ascii="Times New Roman" w:hAnsi="Times New Roman"/>
          <w:sz w:val="24"/>
        </w:rPr>
        <w:t>při  počtu</w:t>
      </w:r>
      <w:proofErr w:type="gramEnd"/>
      <w:r>
        <w:rPr>
          <w:rFonts w:ascii="Times New Roman" w:hAnsi="Times New Roman"/>
          <w:sz w:val="24"/>
        </w:rPr>
        <w:t xml:space="preserve"> účastníků do tisíce lidí. Při vyšším počtu účastníků se zvýší počet způsobilých pořadatelů o jednoho na každých dva tisíce lidí. </w:t>
      </w:r>
    </w:p>
    <w:p w14:paraId="6B21B7AB" w14:textId="77777777" w:rsidR="00111437" w:rsidRDefault="00111437">
      <w:pPr>
        <w:pStyle w:val="Prosttext"/>
        <w:jc w:val="both"/>
        <w:rPr>
          <w:rFonts w:ascii="Times New Roman" w:hAnsi="Times New Roman"/>
          <w:sz w:val="24"/>
          <w:vertAlign w:val="superscript"/>
        </w:rPr>
      </w:pPr>
    </w:p>
    <w:p w14:paraId="07901230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Organizátor akce je povinen seznámit odpovídajícím způsobem a v potřebném rozsahu se stanovenými opatřeními k zabezpečení požární ochrany:</w:t>
      </w:r>
    </w:p>
    <w:p w14:paraId="3D1660AD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4"/>
        </w:rPr>
        <w:t xml:space="preserve">a) účastníky akce (např. rozmístěním informačních a bezpečnostních tabulek a značení, upozorněním na omezení, které může být </w:t>
      </w:r>
      <w:proofErr w:type="gramStart"/>
      <w:r>
        <w:rPr>
          <w:rFonts w:ascii="Times New Roman" w:hAnsi="Times New Roman"/>
          <w:sz w:val="24"/>
        </w:rPr>
        <w:t xml:space="preserve">součástí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pozvánky</w:t>
      </w:r>
      <w:proofErr w:type="gramEnd"/>
      <w:r>
        <w:rPr>
          <w:rFonts w:ascii="Times New Roman" w:hAnsi="Times New Roman"/>
          <w:sz w:val="24"/>
        </w:rPr>
        <w:t xml:space="preserve"> či prezentace akce)</w:t>
      </w:r>
    </w:p>
    <w:p w14:paraId="1E87B141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) </w:t>
      </w:r>
      <w:proofErr w:type="gramStart"/>
      <w:r>
        <w:rPr>
          <w:rFonts w:ascii="Times New Roman" w:hAnsi="Times New Roman"/>
          <w:sz w:val="24"/>
        </w:rPr>
        <w:t>osoby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podílející</w:t>
      </w:r>
      <w:proofErr w:type="gramEnd"/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zabezpečení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akce (např. požární hlídky, pořadatelská služba),</w:t>
      </w:r>
    </w:p>
    <w:p w14:paraId="56A7CD60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4"/>
        </w:rPr>
        <w:t>c) účinkující (např. osoby zajišťující program a vystoupení, prodejci včetně všech osob zajišťujících pro ně technické zázemí; dále jen "účinkující").</w:t>
      </w:r>
    </w:p>
    <w:p w14:paraId="7E7EAFA4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</w:p>
    <w:p w14:paraId="5D2529A0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7) Organizátor akce je povinen zabezpečit postup pro </w:t>
      </w:r>
      <w:proofErr w:type="gramStart"/>
      <w:r>
        <w:rPr>
          <w:rFonts w:ascii="Times New Roman" w:hAnsi="Times New Roman"/>
          <w:sz w:val="24"/>
        </w:rPr>
        <w:t>vyloučení  z</w:t>
      </w:r>
      <w:proofErr w:type="gramEnd"/>
      <w:r>
        <w:rPr>
          <w:rFonts w:ascii="Times New Roman" w:hAnsi="Times New Roman"/>
          <w:sz w:val="24"/>
        </w:rPr>
        <w:t xml:space="preserve"> účasti na akci fyzickou osobu, která nedodržuje podmínky stanovené právními předpisy </w:t>
      </w:r>
      <w:r>
        <w:rPr>
          <w:rFonts w:ascii="Times New Roman" w:hAnsi="Times New Roman"/>
          <w:sz w:val="24"/>
          <w:vertAlign w:val="superscript"/>
        </w:rPr>
        <w:t>1)</w:t>
      </w:r>
      <w:r>
        <w:rPr>
          <w:rFonts w:ascii="Times New Roman" w:hAnsi="Times New Roman"/>
          <w:sz w:val="24"/>
        </w:rPr>
        <w:t>,  nerespektuje pokyny organizátora, požární hlídky nebo členů pořadatelské služby týkající se požární bezpečnosti při akci.</w:t>
      </w:r>
    </w:p>
    <w:p w14:paraId="75BAD37C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1B503FA0" w14:textId="77777777" w:rsidR="00111437" w:rsidRDefault="00111437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3</w:t>
      </w:r>
    </w:p>
    <w:p w14:paraId="70A58F19" w14:textId="77777777" w:rsidR="00111437" w:rsidRDefault="00111437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Povinnosti účastníků akce</w:t>
      </w:r>
    </w:p>
    <w:p w14:paraId="1A6FB835" w14:textId="77777777" w:rsidR="00111437" w:rsidRDefault="00111437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4AFA8220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Účastníci akce i účinkující musí dodržovat povinnosti vyplývající z platných právních předpisů o požární </w:t>
      </w:r>
      <w:proofErr w:type="gramStart"/>
      <w:r>
        <w:rPr>
          <w:rFonts w:ascii="Times New Roman" w:hAnsi="Times New Roman"/>
          <w:sz w:val="24"/>
        </w:rPr>
        <w:t xml:space="preserve">ochraně  </w:t>
      </w:r>
      <w:r>
        <w:rPr>
          <w:rFonts w:ascii="Times New Roman" w:hAnsi="Times New Roman"/>
          <w:sz w:val="24"/>
          <w:vertAlign w:val="superscript"/>
        </w:rPr>
        <w:t>1</w:t>
      </w:r>
      <w:proofErr w:type="gramEnd"/>
      <w:r>
        <w:rPr>
          <w:rFonts w:ascii="Times New Roman" w:hAnsi="Times New Roman"/>
          <w:sz w:val="24"/>
          <w:vertAlign w:val="superscript"/>
        </w:rPr>
        <w:t>)</w:t>
      </w:r>
      <w:r>
        <w:rPr>
          <w:rFonts w:ascii="Times New Roman" w:hAnsi="Times New Roman"/>
          <w:sz w:val="24"/>
        </w:rPr>
        <w:t xml:space="preserve"> a  pokynů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organizátora akce vztahujících se k zabezpečení požární ochrany, požární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hlídky nebo členů pořadatelské služby týkající se požární bezpečnosti při akci. </w:t>
      </w:r>
    </w:p>
    <w:p w14:paraId="075EDA4C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5CE952D3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7E1B51D9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791FF2EE" w14:textId="77777777" w:rsidR="00111437" w:rsidRDefault="00111437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4</w:t>
      </w:r>
    </w:p>
    <w:p w14:paraId="59B79377" w14:textId="77777777" w:rsidR="00111437" w:rsidRDefault="00111437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Sankce</w:t>
      </w:r>
    </w:p>
    <w:p w14:paraId="72A11192" w14:textId="77777777" w:rsidR="00111437" w:rsidRDefault="00111437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</w:t>
      </w:r>
    </w:p>
    <w:p w14:paraId="282C09F9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Porušení této obecně závazné vyhlášky je přestupkem </w:t>
      </w:r>
      <w:proofErr w:type="gramStart"/>
      <w:r>
        <w:rPr>
          <w:rFonts w:ascii="Times New Roman" w:hAnsi="Times New Roman"/>
          <w:sz w:val="24"/>
        </w:rPr>
        <w:t>a  může</w:t>
      </w:r>
      <w:proofErr w:type="gramEnd"/>
      <w:r>
        <w:rPr>
          <w:rFonts w:ascii="Times New Roman" w:hAnsi="Times New Roman"/>
          <w:sz w:val="24"/>
        </w:rPr>
        <w:t xml:space="preserve"> být postihováno podle platných právních předpisů. </w:t>
      </w:r>
      <w:r>
        <w:rPr>
          <w:rFonts w:ascii="Times New Roman" w:hAnsi="Times New Roman"/>
          <w:sz w:val="24"/>
          <w:vertAlign w:val="superscript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3C8759B8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</w:p>
    <w:p w14:paraId="2F89AD87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</w:p>
    <w:p w14:paraId="4FD2EB09" w14:textId="77777777" w:rsidR="00111437" w:rsidRDefault="00111437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5</w:t>
      </w:r>
    </w:p>
    <w:p w14:paraId="698F8DB0" w14:textId="77777777" w:rsidR="00111437" w:rsidRDefault="00111437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Společná, přechodná a závěrečná ustanovení</w:t>
      </w:r>
    </w:p>
    <w:p w14:paraId="433B7579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5B16894F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Obec může rozhodnout o vyslovení nesouhlasu s konáním akce, není-</w:t>
      </w:r>
      <w:proofErr w:type="gramStart"/>
      <w:r>
        <w:rPr>
          <w:rFonts w:ascii="Times New Roman" w:hAnsi="Times New Roman"/>
          <w:sz w:val="24"/>
        </w:rPr>
        <w:t>li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prokázáno</w:t>
      </w:r>
      <w:proofErr w:type="gramEnd"/>
      <w:r>
        <w:rPr>
          <w:rFonts w:ascii="Times New Roman" w:hAnsi="Times New Roman"/>
          <w:sz w:val="24"/>
        </w:rPr>
        <w:t xml:space="preserve"> zabezpečení podmínek požární ochrany stanovených předpisy o požární ochraně </w:t>
      </w:r>
      <w:r>
        <w:rPr>
          <w:rFonts w:ascii="Times New Roman" w:hAnsi="Times New Roman"/>
          <w:sz w:val="24"/>
          <w:vertAlign w:val="superscript"/>
        </w:rPr>
        <w:t>1)</w:t>
      </w:r>
      <w:r>
        <w:rPr>
          <w:rFonts w:ascii="Times New Roman" w:hAnsi="Times New Roman"/>
          <w:sz w:val="24"/>
        </w:rPr>
        <w:t xml:space="preserve"> a touto obecně závaznou vyhláškou.</w:t>
      </w:r>
    </w:p>
    <w:p w14:paraId="0A9E7A30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7CC238C8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2) Prokazatelnost plnění povinností stanovených předpisy o požární ochraně a dodržování podmínek požární bezpečnosti stanovených touto obecně závaznou vyhláškou </w:t>
      </w:r>
      <w:proofErr w:type="gramStart"/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na</w:t>
      </w:r>
      <w:proofErr w:type="gramEnd"/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 xml:space="preserve">jejím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základě zabezpečuje organizátor akce.</w:t>
      </w:r>
    </w:p>
    <w:p w14:paraId="42095D72" w14:textId="77777777" w:rsidR="00111437" w:rsidRDefault="00111437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7C52C3F0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 </w:t>
      </w:r>
      <w:proofErr w:type="gramStart"/>
      <w:r>
        <w:rPr>
          <w:rFonts w:ascii="Times New Roman" w:hAnsi="Times New Roman"/>
          <w:sz w:val="24"/>
        </w:rPr>
        <w:t>Povinnost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dodržovat</w:t>
      </w:r>
      <w:proofErr w:type="gramEnd"/>
      <w:r>
        <w:rPr>
          <w:rFonts w:ascii="Times New Roman" w:hAnsi="Times New Roman"/>
          <w:sz w:val="24"/>
        </w:rPr>
        <w:t xml:space="preserve"> podmínky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požární ochrany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stanovené touto obecně záva</w:t>
      </w:r>
      <w:r>
        <w:rPr>
          <w:rFonts w:ascii="Times New Roman" w:hAnsi="Times New Roman"/>
          <w:sz w:val="24"/>
        </w:rPr>
        <w:t>znou vyhláškou se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vztahuje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také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akce,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které se uskuteční po nabytí její účinnosti,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i když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jejich příprava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byla zahájena před nabytím její účinnosti.</w:t>
      </w:r>
    </w:p>
    <w:p w14:paraId="0E33D31D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7536BC00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 Tato obecně závazná </w:t>
      </w:r>
      <w:proofErr w:type="gramStart"/>
      <w:r>
        <w:rPr>
          <w:rFonts w:ascii="Times New Roman" w:hAnsi="Times New Roman"/>
          <w:sz w:val="24"/>
        </w:rPr>
        <w:t>vyhláška  nabývá</w:t>
      </w:r>
      <w:proofErr w:type="gramEnd"/>
      <w:r>
        <w:rPr>
          <w:rFonts w:ascii="Times New Roman" w:hAnsi="Times New Roman"/>
          <w:sz w:val="24"/>
        </w:rPr>
        <w:t xml:space="preserve"> účinnosti dnem vyhlášení.</w:t>
      </w:r>
    </w:p>
    <w:p w14:paraId="4FD73C3E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0F2EF443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175D6ABC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75D47134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7207DFF5" w14:textId="77777777" w:rsidR="00111437" w:rsidRDefault="00111437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</w:t>
      </w:r>
      <w:r>
        <w:rPr>
          <w:rFonts w:ascii="Times New Roman" w:hAnsi="Times New Roman"/>
          <w:sz w:val="24"/>
        </w:rPr>
        <w:t>……………</w:t>
      </w:r>
    </w:p>
    <w:p w14:paraId="3327B4D0" w14:textId="77777777" w:rsidR="00111437" w:rsidRDefault="00111437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starostka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místostarosta</w:t>
      </w:r>
    </w:p>
    <w:p w14:paraId="15505E51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473EF93B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55EC21ED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5EDE649A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14C64A2E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16187F36" w14:textId="77777777" w:rsidR="00111437" w:rsidRDefault="00111437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</w:t>
      </w:r>
    </w:p>
    <w:p w14:paraId="44D4EC72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1)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Zákon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č.</w:t>
      </w:r>
      <w:proofErr w:type="gramEnd"/>
      <w:r>
        <w:rPr>
          <w:rFonts w:ascii="Times New Roman" w:hAnsi="Times New Roman"/>
          <w:sz w:val="24"/>
        </w:rPr>
        <w:t xml:space="preserve"> 133/1985 Sb., o požární ochraně, ve znění pozdějších předpisů; vyhláška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č. 246/2001 Sb., o stanovení podmínek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požární bezpečnosti a výkonu státního požárního dozoru (vyhláška o požární prevenci), ve znění pozdějších předpisů;  nařízení 4/2002 Královéhradeckého kraje ze dne 9. října 2002,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kterým se stanoví podmínky k zabezpečení požární ochrany při akcích, kterých se zúčastňuje větší počet osob.</w:t>
      </w:r>
    </w:p>
    <w:p w14:paraId="377FA33D" w14:textId="77777777" w:rsidR="00111437" w:rsidRDefault="00111437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2)</w:t>
      </w:r>
      <w:r>
        <w:rPr>
          <w:rFonts w:ascii="Times New Roman" w:hAnsi="Times New Roman"/>
          <w:sz w:val="24"/>
        </w:rPr>
        <w:t xml:space="preserve"> Zákon č. 200/1990 Sb., o přestupcích, ve znění pozdějších předpisů. </w:t>
      </w:r>
    </w:p>
    <w:p w14:paraId="36A61C20" w14:textId="77777777" w:rsidR="00111437" w:rsidRDefault="00111437">
      <w:pPr>
        <w:pStyle w:val="Prosttext"/>
        <w:jc w:val="both"/>
        <w:rPr>
          <w:rFonts w:ascii="Times New Roman" w:hAnsi="Times New Roman"/>
          <w:sz w:val="24"/>
          <w:vertAlign w:val="superscript"/>
        </w:rPr>
      </w:pPr>
    </w:p>
    <w:p w14:paraId="1D91BD9C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7B23D62C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p w14:paraId="28DC4149" w14:textId="77777777" w:rsidR="00111437" w:rsidRDefault="00111437">
      <w:pPr>
        <w:pStyle w:val="Prosttext"/>
        <w:rPr>
          <w:rFonts w:ascii="Times New Roman" w:hAnsi="Times New Roman"/>
          <w:sz w:val="24"/>
        </w:rPr>
      </w:pPr>
    </w:p>
    <w:sectPr w:rsidR="000000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FEA"/>
    <w:multiLevelType w:val="singleLevel"/>
    <w:tmpl w:val="3014C816"/>
    <w:lvl w:ilvl="0">
      <w:start w:val="4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</w:abstractNum>
  <w:abstractNum w:abstractNumId="1" w15:restartNumberingAfterBreak="0">
    <w:nsid w:val="26623E9A"/>
    <w:multiLevelType w:val="hybridMultilevel"/>
    <w:tmpl w:val="1E760B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FA67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66712C4"/>
    <w:multiLevelType w:val="hybridMultilevel"/>
    <w:tmpl w:val="FA5E97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666579">
    <w:abstractNumId w:val="1"/>
  </w:num>
  <w:num w:numId="2" w16cid:durableId="1679309072">
    <w:abstractNumId w:val="3"/>
  </w:num>
  <w:num w:numId="3" w16cid:durableId="1759596253">
    <w:abstractNumId w:val="2"/>
  </w:num>
  <w:num w:numId="4" w16cid:durableId="107528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37"/>
    <w:rsid w:val="0011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84111"/>
  <w15:chartTrackingRefBased/>
  <w15:docId w15:val="{45D8C9B2-D009-48C8-89A3-65740E6E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/>
      <w:color w:val="000000"/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odsazen">
    <w:name w:val="Body Text Indent"/>
    <w:basedOn w:val="Normln"/>
    <w:semiHidden/>
    <w:pPr>
      <w:ind w:firstLine="708"/>
      <w:jc w:val="both"/>
    </w:pPr>
  </w:style>
  <w:style w:type="paragraph" w:customStyle="1" w:styleId="Normal">
    <w:name w:val="[Normal]"/>
    <w:rPr>
      <w:rFonts w:ascii="Lucida Sans Unicode" w:hAnsi="Lucida Sans Unicode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5287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Kopidlno</vt:lpstr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Kopidlno</dc:title>
  <dc:subject/>
  <dc:creator>Kroupa</dc:creator>
  <cp:keywords/>
  <dc:description/>
  <cp:lastModifiedBy>Milan Etrych</cp:lastModifiedBy>
  <cp:revision>2</cp:revision>
  <cp:lastPrinted>2004-06-29T07:09:00Z</cp:lastPrinted>
  <dcterms:created xsi:type="dcterms:W3CDTF">2023-11-22T09:30:00Z</dcterms:created>
  <dcterms:modified xsi:type="dcterms:W3CDTF">2023-11-22T09:30:00Z</dcterms:modified>
</cp:coreProperties>
</file>