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MVCRX06TLC0F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MVCRX06TLC0F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bookmarkStart w:id="2" w:name="orj_ofic_nazev"/>
    <w:p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/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:rsidR="00774381" w:rsidRDefault="00774381" w:rsidP="008321E0">
      <w:pPr>
        <w:pStyle w:val="Text"/>
      </w:pPr>
    </w:p>
    <w:p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/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MV-132533-19/ODK-2022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Start w:id="8" w:name="ssl_dat_podt"/>
            <w:bookmarkEnd w:id="7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036088">
              <w:rPr>
                <w:noProof/>
              </w:rPr>
              <w:t>23. listopadu 2022</w:t>
            </w:r>
            <w:r w:rsidR="00036088">
              <w:fldChar w:fldCharType="end"/>
            </w:r>
            <w:bookmarkEnd w:id="8"/>
          </w:p>
        </w:tc>
      </w:tr>
    </w:tbl>
    <w:p w:rsidR="009D1276" w:rsidRDefault="009D1276" w:rsidP="0079433D">
      <w:pPr>
        <w:pStyle w:val="Text"/>
        <w:tabs>
          <w:tab w:val="left" w:pos="900"/>
        </w:tabs>
        <w:rPr>
          <w:sz w:val="20"/>
          <w:szCs w:val="20"/>
        </w:rPr>
      </w:pPr>
    </w:p>
    <w:p w:rsidR="00A101AA" w:rsidRDefault="00A101AA" w:rsidP="0079433D">
      <w:pPr>
        <w:pStyle w:val="Text"/>
        <w:tabs>
          <w:tab w:val="left" w:pos="900"/>
        </w:tabs>
        <w:rPr>
          <w:sz w:val="20"/>
          <w:szCs w:val="20"/>
        </w:rPr>
      </w:pPr>
    </w:p>
    <w:p w:rsidR="00A101AA" w:rsidRDefault="00A101AA" w:rsidP="00A101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4B3E90">
        <w:rPr>
          <w:rFonts w:ascii="Arial" w:hAnsi="Arial" w:cs="Arial"/>
        </w:rPr>
        <w:t>Ministerstvo vnitra, odbor veřejné správy, dozoru a kontroly, jako správní orgán příslušný dle § 123 odst. 1 zákona č. 128/2000 Sb., o obcích (obecní zřízení), ve znění pozdějších předpisů</w:t>
      </w:r>
      <w:r>
        <w:rPr>
          <w:rFonts w:ascii="Arial" w:hAnsi="Arial" w:cs="Arial"/>
        </w:rPr>
        <w:t xml:space="preserve"> (dále jen „zákon o obcích“)</w:t>
      </w:r>
      <w:r w:rsidRPr="004B3E90">
        <w:rPr>
          <w:rFonts w:ascii="Arial" w:hAnsi="Arial" w:cs="Arial"/>
          <w:i/>
          <w:iCs/>
        </w:rPr>
        <w:t>,</w:t>
      </w:r>
      <w:r w:rsidRPr="004B3E90">
        <w:rPr>
          <w:rFonts w:ascii="Arial" w:hAnsi="Arial" w:cs="Arial"/>
        </w:rPr>
        <w:t xml:space="preserve"> ve správním řízení s účastníkem řízení, kterým je město Klecany, se sídlem U Školky 74, 250 67 Klecany, ve věci </w:t>
      </w:r>
      <w:r w:rsidRPr="004B3E90">
        <w:rPr>
          <w:rFonts w:ascii="Arial" w:hAnsi="Arial" w:cs="Arial"/>
          <w:bCs/>
        </w:rPr>
        <w:t>pozastavení účinnosti čl. 7 obecně závazné vyhl</w:t>
      </w:r>
      <w:r>
        <w:rPr>
          <w:rFonts w:ascii="Arial" w:hAnsi="Arial" w:cs="Arial"/>
          <w:bCs/>
        </w:rPr>
        <w:t>ášky města Klecany č. 2/2021, o </w:t>
      </w:r>
      <w:r w:rsidRPr="004B3E90">
        <w:rPr>
          <w:rFonts w:ascii="Arial" w:hAnsi="Arial" w:cs="Arial"/>
          <w:bCs/>
        </w:rPr>
        <w:t>místním poplatku za obecní systém odpadového hospodářství</w:t>
      </w:r>
      <w:bookmarkStart w:id="9" w:name="_Hlk54859201"/>
      <w:bookmarkStart w:id="10" w:name="_Hlk56421765"/>
      <w:bookmarkStart w:id="11" w:name="_Hlk56422154"/>
      <w:r w:rsidRPr="004B3E90">
        <w:rPr>
          <w:rFonts w:ascii="Arial" w:hAnsi="Arial" w:cs="Arial"/>
        </w:rPr>
        <w:t xml:space="preserve">, </w:t>
      </w:r>
      <w:bookmarkEnd w:id="9"/>
      <w:bookmarkEnd w:id="10"/>
      <w:bookmarkEnd w:id="11"/>
      <w:r w:rsidRPr="00CF67A4">
        <w:rPr>
          <w:rFonts w:ascii="Arial" w:hAnsi="Arial" w:cs="Arial"/>
        </w:rPr>
        <w:t>pro možný rozpor se zákonem, vydává toto</w:t>
      </w:r>
    </w:p>
    <w:p w:rsidR="00A101AA" w:rsidRDefault="00A101AA" w:rsidP="00A101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:rsidR="00A101AA" w:rsidRPr="004E57A2" w:rsidRDefault="00A101AA" w:rsidP="00A101AA">
      <w:pPr>
        <w:spacing w:line="276" w:lineRule="auto"/>
        <w:rPr>
          <w:rFonts w:ascii="Arial" w:hAnsi="Arial" w:cs="Arial"/>
        </w:rPr>
      </w:pPr>
    </w:p>
    <w:p w:rsidR="00A101AA" w:rsidRPr="004E57A2" w:rsidRDefault="00A101AA" w:rsidP="00A101AA">
      <w:pPr>
        <w:spacing w:line="276" w:lineRule="auto"/>
        <w:jc w:val="center"/>
        <w:rPr>
          <w:rFonts w:ascii="Arial" w:hAnsi="Arial" w:cs="Arial"/>
          <w:b/>
        </w:rPr>
      </w:pPr>
      <w:r w:rsidRPr="004E57A2">
        <w:rPr>
          <w:rFonts w:ascii="Arial" w:hAnsi="Arial" w:cs="Arial"/>
          <w:b/>
        </w:rPr>
        <w:t>R O Z H O D N U T Í:</w:t>
      </w:r>
    </w:p>
    <w:p w:rsidR="00A101AA" w:rsidRDefault="00A101AA" w:rsidP="00A101AA">
      <w:pPr>
        <w:spacing w:line="276" w:lineRule="auto"/>
        <w:jc w:val="both"/>
        <w:rPr>
          <w:rFonts w:ascii="Arial" w:hAnsi="Arial" w:cs="Arial"/>
        </w:rPr>
      </w:pPr>
      <w:r w:rsidRPr="004E57A2">
        <w:rPr>
          <w:rFonts w:ascii="Arial" w:hAnsi="Arial" w:cs="Arial"/>
        </w:rPr>
        <w:tab/>
        <w:t xml:space="preserve"> </w:t>
      </w:r>
    </w:p>
    <w:p w:rsidR="00A101AA" w:rsidRPr="00A434C7" w:rsidRDefault="00A101AA" w:rsidP="00A101AA">
      <w:pPr>
        <w:pStyle w:val="Default"/>
        <w:spacing w:line="276" w:lineRule="auto"/>
        <w:jc w:val="both"/>
      </w:pPr>
      <w:r w:rsidRPr="004B3E90">
        <w:t xml:space="preserve">Rozhodnutí Ministerstva vnitra č. j. MV-132533-12/ODK-2022 ze dne 30. srpna 2022, kterým byla pozastavena účinnost čl. 7 obecně závazné vyhlášky města Klecany </w:t>
      </w:r>
      <w:r w:rsidRPr="004B3E90">
        <w:rPr>
          <w:bCs/>
        </w:rPr>
        <w:t>č</w:t>
      </w:r>
      <w:r>
        <w:rPr>
          <w:bCs/>
        </w:rPr>
        <w:t>. </w:t>
      </w:r>
      <w:r w:rsidRPr="004B3E90">
        <w:rPr>
          <w:bCs/>
        </w:rPr>
        <w:t>2/2021, o místním poplatku za obecní systém odpadového hospodářství</w:t>
      </w:r>
      <w:r w:rsidRPr="00A434C7">
        <w:t xml:space="preserve">, </w:t>
      </w:r>
      <w:r w:rsidRPr="00A434C7">
        <w:rPr>
          <w:b/>
        </w:rPr>
        <w:t>se</w:t>
      </w:r>
      <w:r>
        <w:t xml:space="preserve"> dle §  </w:t>
      </w:r>
      <w:r w:rsidRPr="00A434C7">
        <w:rPr>
          <w:rFonts w:eastAsia="MS Mincho"/>
        </w:rPr>
        <w:t xml:space="preserve">123 odst. </w:t>
      </w:r>
      <w:r>
        <w:rPr>
          <w:rFonts w:eastAsia="MS Mincho"/>
        </w:rPr>
        <w:t>4</w:t>
      </w:r>
      <w:r w:rsidRPr="00A434C7">
        <w:rPr>
          <w:rFonts w:eastAsia="MS Mincho"/>
        </w:rPr>
        <w:t xml:space="preserve"> zákona </w:t>
      </w:r>
      <w:r>
        <w:t>o obcích</w:t>
      </w:r>
      <w:r w:rsidRPr="00A434C7">
        <w:rPr>
          <w:i/>
          <w:iCs/>
        </w:rPr>
        <w:t>,</w:t>
      </w:r>
      <w:r w:rsidRPr="00A434C7">
        <w:t xml:space="preserve"> </w:t>
      </w:r>
      <w:r w:rsidRPr="00A434C7">
        <w:rPr>
          <w:b/>
        </w:rPr>
        <w:t>ruší</w:t>
      </w:r>
      <w:r w:rsidRPr="00A434C7">
        <w:t>.</w:t>
      </w:r>
    </w:p>
    <w:p w:rsidR="00A101AA" w:rsidRDefault="00A101AA" w:rsidP="00A101AA">
      <w:pPr>
        <w:spacing w:line="276" w:lineRule="auto"/>
        <w:jc w:val="both"/>
        <w:rPr>
          <w:rFonts w:ascii="Arial" w:hAnsi="Arial" w:cs="Arial"/>
        </w:rPr>
      </w:pPr>
    </w:p>
    <w:p w:rsidR="00A101AA" w:rsidRPr="004E57A2" w:rsidRDefault="00A101AA" w:rsidP="00A101AA">
      <w:pPr>
        <w:spacing w:line="276" w:lineRule="auto"/>
        <w:jc w:val="center"/>
        <w:rPr>
          <w:rFonts w:ascii="Arial" w:hAnsi="Arial" w:cs="Arial"/>
          <w:b/>
        </w:rPr>
      </w:pPr>
      <w:r w:rsidRPr="004E57A2">
        <w:rPr>
          <w:rFonts w:ascii="Arial" w:hAnsi="Arial" w:cs="Arial"/>
          <w:b/>
        </w:rPr>
        <w:t>O d ů v o d n ě n í:</w:t>
      </w:r>
    </w:p>
    <w:p w:rsidR="00A101AA" w:rsidRPr="002042F3" w:rsidRDefault="00A101AA" w:rsidP="00A101AA">
      <w:pPr>
        <w:spacing w:line="276" w:lineRule="auto"/>
        <w:jc w:val="center"/>
        <w:rPr>
          <w:rFonts w:ascii="Arial" w:hAnsi="Arial" w:cs="Arial"/>
        </w:rPr>
      </w:pPr>
    </w:p>
    <w:p w:rsidR="00A101AA" w:rsidRPr="00E355DF" w:rsidRDefault="00A101AA" w:rsidP="00A101AA">
      <w:pPr>
        <w:pStyle w:val="Default"/>
        <w:spacing w:line="276" w:lineRule="auto"/>
        <w:jc w:val="both"/>
        <w:rPr>
          <w:bCs/>
          <w:color w:val="auto"/>
        </w:rPr>
      </w:pPr>
      <w:r w:rsidRPr="002042F3">
        <w:tab/>
      </w:r>
      <w:r w:rsidRPr="00E355DF">
        <w:rPr>
          <w:color w:val="auto"/>
        </w:rPr>
        <w:t>Zastupitelstvo města Klecany na svém řádně svolaném zasedání splňujícím požadavek veřejnosti dne 9. prosince 2021 schválilo obecně závaznou vyhlášku města Klecany č. 2/2021, o místním poplatku za obecní systém odpadového hospodářství (dále též jen „OZV“). Ministerstvo vnitra shledalo OZV v jejím čl. 7 osvobozujícím od poplatku jednu ze zákonem vy</w:t>
      </w:r>
      <w:r>
        <w:rPr>
          <w:color w:val="auto"/>
        </w:rPr>
        <w:t>mezených kategorií poplatníků v </w:t>
      </w:r>
      <w:r w:rsidRPr="00E355DF">
        <w:rPr>
          <w:color w:val="auto"/>
        </w:rPr>
        <w:t>rozporu s</w:t>
      </w:r>
      <w:r w:rsidRPr="00E355DF">
        <w:rPr>
          <w:bCs/>
          <w:color w:val="auto"/>
        </w:rPr>
        <w:t xml:space="preserve"> § 10e </w:t>
      </w:r>
      <w:r w:rsidRPr="00E355DF">
        <w:rPr>
          <w:color w:val="auto"/>
        </w:rPr>
        <w:t>zákona</w:t>
      </w:r>
      <w:r w:rsidRPr="00E355DF">
        <w:rPr>
          <w:b/>
          <w:bCs/>
          <w:color w:val="auto"/>
        </w:rPr>
        <w:t xml:space="preserve"> </w:t>
      </w:r>
      <w:r w:rsidRPr="00E355DF">
        <w:rPr>
          <w:color w:val="auto"/>
        </w:rPr>
        <w:t>č. 565/1990 Sb., o místních poplatcích, ve znění pozdějších předpisů (dále jen „zákon o místních poplatcích“)</w:t>
      </w:r>
      <w:r w:rsidRPr="00E355DF">
        <w:rPr>
          <w:bCs/>
          <w:color w:val="auto"/>
        </w:rPr>
        <w:t xml:space="preserve">, a čl. 1 větou první Listiny základních práv a svobod. </w:t>
      </w:r>
    </w:p>
    <w:p w:rsidR="00A101AA" w:rsidRPr="00E355DF" w:rsidRDefault="00A101AA" w:rsidP="00A101AA">
      <w:pPr>
        <w:spacing w:line="276" w:lineRule="auto"/>
        <w:jc w:val="both"/>
        <w:rPr>
          <w:rFonts w:ascii="Arial" w:hAnsi="Arial" w:cs="Arial"/>
        </w:rPr>
      </w:pPr>
    </w:p>
    <w:p w:rsidR="00A101AA" w:rsidRDefault="00A101AA" w:rsidP="00A101AA">
      <w:pPr>
        <w:spacing w:line="276" w:lineRule="auto"/>
        <w:ind w:firstLine="709"/>
        <w:jc w:val="both"/>
        <w:rPr>
          <w:rFonts w:ascii="Arial" w:hAnsi="Arial" w:cs="Arial"/>
        </w:rPr>
      </w:pPr>
      <w:r w:rsidRPr="00E355DF">
        <w:rPr>
          <w:rFonts w:ascii="Arial" w:hAnsi="Arial" w:cs="Arial"/>
        </w:rPr>
        <w:t xml:space="preserve">Na základě této skutečnosti zahájilo Ministerstvo vnitra s městem správní řízení, jehož výsledkem bylo vydání rozhodnutí č. j. MV-132533-12/ODK-2022 ze </w:t>
      </w:r>
      <w:r w:rsidRPr="00E355DF">
        <w:rPr>
          <w:rFonts w:ascii="Arial" w:hAnsi="Arial" w:cs="Arial"/>
        </w:rPr>
        <w:lastRenderedPageBreak/>
        <w:t xml:space="preserve">dne </w:t>
      </w:r>
      <w:r>
        <w:rPr>
          <w:rFonts w:ascii="Arial" w:hAnsi="Arial" w:cs="Arial"/>
        </w:rPr>
        <w:t>30. </w:t>
      </w:r>
      <w:r w:rsidRPr="00E355DF">
        <w:rPr>
          <w:rFonts w:ascii="Arial" w:hAnsi="Arial" w:cs="Arial"/>
        </w:rPr>
        <w:t xml:space="preserve">srpna 2022 doručeného </w:t>
      </w:r>
      <w:r>
        <w:rPr>
          <w:rFonts w:ascii="Arial" w:hAnsi="Arial" w:cs="Arial"/>
        </w:rPr>
        <w:t>městu dne 31. srpna 2022</w:t>
      </w:r>
      <w:r w:rsidRPr="00E355DF">
        <w:rPr>
          <w:rFonts w:ascii="Arial" w:hAnsi="Arial" w:cs="Arial"/>
        </w:rPr>
        <w:t xml:space="preserve">, kterým byla pozastavena účinnost čl. </w:t>
      </w:r>
      <w:r>
        <w:rPr>
          <w:rFonts w:ascii="Arial" w:hAnsi="Arial" w:cs="Arial"/>
        </w:rPr>
        <w:t xml:space="preserve">7 OZV. </w:t>
      </w:r>
    </w:p>
    <w:p w:rsidR="00A101AA" w:rsidRDefault="00A101AA" w:rsidP="00A101AA">
      <w:pPr>
        <w:spacing w:line="276" w:lineRule="auto"/>
        <w:ind w:firstLine="709"/>
        <w:jc w:val="both"/>
        <w:rPr>
          <w:rFonts w:ascii="Arial" w:hAnsi="Arial" w:cs="Arial"/>
        </w:rPr>
      </w:pPr>
    </w:p>
    <w:p w:rsidR="00A101AA" w:rsidRPr="00445AC6" w:rsidRDefault="00A101AA" w:rsidP="00A101AA">
      <w:pPr>
        <w:spacing w:line="276" w:lineRule="auto"/>
        <w:ind w:firstLine="709"/>
        <w:jc w:val="both"/>
        <w:rPr>
          <w:rFonts w:ascii="Arial" w:hAnsi="Arial" w:cs="Arial"/>
        </w:rPr>
      </w:pPr>
      <w:r w:rsidRPr="00445AC6">
        <w:rPr>
          <w:rFonts w:ascii="Arial" w:hAnsi="Arial" w:cs="Arial"/>
        </w:rPr>
        <w:t>Proti tomuto rozhodnutí nebyl dle § 123 odst. 1 a 2 podán rozklad, proto podalo Ministerstvo vnitra do 30 dnů od uplynutí lhůty pro podání rozkladu Ústavnímu soudu návrh na zrušení OZV. Návrh na zrušení čl. 7 OZV byl Ústavnímu soudu doručen dne 3. října 2022</w:t>
      </w:r>
      <w:r w:rsidRPr="00445AC6">
        <w:rPr>
          <w:rFonts w:ascii="Arial" w:hAnsi="Arial" w:cs="Arial"/>
          <w:bCs/>
        </w:rPr>
        <w:t>.</w:t>
      </w:r>
    </w:p>
    <w:p w:rsidR="00A101AA" w:rsidRDefault="00A101AA" w:rsidP="00A101AA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:rsidR="00A101AA" w:rsidRPr="00445AC6" w:rsidRDefault="00A101AA" w:rsidP="00A101AA">
      <w:pPr>
        <w:pStyle w:val="Zkladntex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AC6">
        <w:rPr>
          <w:rFonts w:ascii="Arial" w:hAnsi="Arial" w:cs="Arial"/>
        </w:rPr>
        <w:t>Dne 22. listopadu 2022 obdrželo Ministerstvo vnitra od Ústavního soudu vyjádření města Klecany ze dne 1. listopadu 2022 k návrhu na zrušení čl. 7 OZV, o němž Ústavní soud vede řízení pod sp. zn. Pl. ÚS 29/22. Z vyjádření města Klecany vyplývá, že dne 15. září 2022 přijalo obecně závaznou vyhlášku č. 4/2022, kterou se mění napadená OZV tak, že se čl. 7 napadené OZV ruší s účinností k 15. dni po vyhlášení ve Sbírce právních předpisů</w:t>
      </w:r>
      <w:r>
        <w:rPr>
          <w:rFonts w:ascii="Arial" w:hAnsi="Arial" w:cs="Arial"/>
        </w:rPr>
        <w:t xml:space="preserve"> územních samosprávných celků a </w:t>
      </w:r>
      <w:r w:rsidRPr="00445AC6">
        <w:rPr>
          <w:rFonts w:ascii="Arial" w:hAnsi="Arial" w:cs="Arial"/>
        </w:rPr>
        <w:t xml:space="preserve">některých správních úřadů, tj. ke dni 8. října 2022. </w:t>
      </w:r>
    </w:p>
    <w:p w:rsidR="00A101AA" w:rsidRDefault="00A101AA" w:rsidP="00A101AA">
      <w:pPr>
        <w:pStyle w:val="Zkladntext"/>
        <w:spacing w:after="0" w:line="276" w:lineRule="auto"/>
        <w:jc w:val="both"/>
        <w:rPr>
          <w:rFonts w:ascii="Arial" w:hAnsi="Arial" w:cs="Arial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dostupných podkladů vyplývá, že dozorovaná OZV byla zrušena a byla tedy </w:t>
      </w:r>
      <w:r w:rsidRPr="000118AC">
        <w:rPr>
          <w:rFonts w:ascii="Arial" w:hAnsi="Arial" w:cs="Arial"/>
        </w:rPr>
        <w:t xml:space="preserve">zjednána </w:t>
      </w:r>
      <w:r>
        <w:rPr>
          <w:rFonts w:ascii="Arial" w:hAnsi="Arial" w:cs="Arial"/>
        </w:rPr>
        <w:t>v dané věci náprava. Odpadly tak důvody pro pokračování dozorového procesu. Na základě § 123 odst. 4 z</w:t>
      </w:r>
      <w:r w:rsidRPr="00B92BF9">
        <w:rPr>
          <w:rFonts w:ascii="Arial" w:hAnsi="Arial" w:cs="Arial"/>
        </w:rPr>
        <w:t>jedná-li zastupitelstvo obce nápravu před rozhodnutím Ústavního soudu o návrhu podle odstavce 3, sdělí obec neprodleně tuto skutečnost Ústavnímu soudu a Ministerstvu vnitra. Ministerstvo vnitra své rozhodnutí o pozastavení účinnosti obecně závazné vyhlášky obce zruší do 15 dnů od doručení sdělení obce o zjednání nápravy, jehož přílohou je i obecně závazná vyhláška obce, kterou byla zjednána náprava.</w:t>
      </w: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 ohledem na skutečnost, že požadované zjednání nápravy OZV bylo ze strany města Klecany provedeno a byly tak splněny podmínky dle § 123 odst. 4 zákona o obcích,</w:t>
      </w:r>
      <w:r w:rsidRPr="007E1BCE">
        <w:rPr>
          <w:rFonts w:ascii="Arial" w:hAnsi="Arial" w:cs="Arial"/>
        </w:rPr>
        <w:t xml:space="preserve"> rozhodlo</w:t>
      </w:r>
      <w:r>
        <w:rPr>
          <w:rFonts w:ascii="Arial" w:hAnsi="Arial" w:cs="Arial"/>
        </w:rPr>
        <w:t xml:space="preserve"> Ministerstvo vnitra</w:t>
      </w:r>
      <w:r w:rsidRPr="007E1BCE">
        <w:rPr>
          <w:rFonts w:ascii="Arial" w:hAnsi="Arial" w:cs="Arial"/>
        </w:rPr>
        <w:t xml:space="preserve"> tak, jak je uvedeno ve výroku tohoto rozhodnutí</w:t>
      </w:r>
      <w:r>
        <w:rPr>
          <w:rFonts w:ascii="Arial" w:hAnsi="Arial" w:cs="Arial"/>
        </w:rPr>
        <w:t>.</w:t>
      </w: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14005D">
        <w:rPr>
          <w:rFonts w:ascii="Arial" w:hAnsi="Arial" w:cs="Arial"/>
          <w:shd w:val="clear" w:color="auto" w:fill="FFFFFF"/>
        </w:rPr>
        <w:t xml:space="preserve">Se zrušením dozorované OZV se stal </w:t>
      </w:r>
      <w:r w:rsidRPr="00B92BF9">
        <w:rPr>
          <w:rFonts w:ascii="Arial" w:hAnsi="Arial" w:cs="Arial"/>
          <w:shd w:val="clear" w:color="auto" w:fill="FFFFFF"/>
        </w:rPr>
        <w:t xml:space="preserve">návrh </w:t>
      </w:r>
      <w:r>
        <w:rPr>
          <w:rFonts w:ascii="Arial" w:hAnsi="Arial" w:cs="Arial"/>
          <w:shd w:val="clear" w:color="auto" w:fill="FFFFFF"/>
        </w:rPr>
        <w:t xml:space="preserve">Ústavnímu soudu </w:t>
      </w:r>
      <w:r w:rsidRPr="00B92BF9">
        <w:rPr>
          <w:rFonts w:ascii="Arial" w:hAnsi="Arial" w:cs="Arial"/>
          <w:shd w:val="clear" w:color="auto" w:fill="FFFFFF"/>
        </w:rPr>
        <w:t xml:space="preserve">na zrušení </w:t>
      </w:r>
      <w:r>
        <w:rPr>
          <w:rFonts w:ascii="Arial" w:hAnsi="Arial" w:cs="Arial"/>
        </w:rPr>
        <w:t>čl. </w:t>
      </w:r>
      <w:r w:rsidRPr="00445AC6">
        <w:rPr>
          <w:rFonts w:ascii="Arial" w:hAnsi="Arial" w:cs="Arial"/>
        </w:rPr>
        <w:t>7 OZV</w:t>
      </w:r>
      <w:r>
        <w:rPr>
          <w:rFonts w:ascii="Arial" w:hAnsi="Arial" w:cs="Arial"/>
          <w:shd w:val="clear" w:color="auto" w:fill="FFFFFF"/>
        </w:rPr>
        <w:t xml:space="preserve"> </w:t>
      </w:r>
      <w:r w:rsidRPr="0014005D">
        <w:rPr>
          <w:rFonts w:ascii="Arial" w:hAnsi="Arial" w:cs="Arial"/>
          <w:shd w:val="clear" w:color="auto" w:fill="FFFFFF"/>
        </w:rPr>
        <w:t>bezpředmětný.</w:t>
      </w: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A101AA" w:rsidRDefault="00A101AA" w:rsidP="00A101AA">
      <w:pPr>
        <w:pStyle w:val="Zkladntext"/>
        <w:spacing w:after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A101AA" w:rsidRPr="004E57A2" w:rsidRDefault="00A101AA" w:rsidP="00A101AA">
      <w:pPr>
        <w:pStyle w:val="Zkladntext"/>
        <w:spacing w:after="0" w:line="276" w:lineRule="auto"/>
        <w:jc w:val="both"/>
        <w:rPr>
          <w:rFonts w:ascii="Arial" w:hAnsi="Arial" w:cs="Arial"/>
          <w:b/>
          <w:bCs/>
        </w:rPr>
      </w:pPr>
    </w:p>
    <w:p w:rsidR="00A101AA" w:rsidRPr="004E57A2" w:rsidRDefault="00A101AA" w:rsidP="00A101AA">
      <w:pPr>
        <w:spacing w:line="276" w:lineRule="auto"/>
        <w:jc w:val="center"/>
        <w:rPr>
          <w:rFonts w:ascii="Arial" w:hAnsi="Arial" w:cs="Arial"/>
          <w:b/>
          <w:bCs/>
        </w:rPr>
      </w:pPr>
      <w:r w:rsidRPr="004E57A2">
        <w:rPr>
          <w:rFonts w:ascii="Arial" w:hAnsi="Arial" w:cs="Arial"/>
          <w:b/>
          <w:bCs/>
        </w:rPr>
        <w:lastRenderedPageBreak/>
        <w:t>P o u č e n í   o   o p r a v n é m   p r o s t ř e d k u:</w:t>
      </w:r>
    </w:p>
    <w:p w:rsidR="00A101AA" w:rsidRDefault="00A101AA" w:rsidP="00A101AA">
      <w:pPr>
        <w:pStyle w:val="Zkladntext"/>
        <w:spacing w:after="0" w:line="276" w:lineRule="auto"/>
        <w:jc w:val="center"/>
        <w:rPr>
          <w:rFonts w:ascii="Arial" w:eastAsia="MS Mincho" w:hAnsi="Arial" w:cs="Arial"/>
          <w:b/>
        </w:rPr>
      </w:pPr>
    </w:p>
    <w:p w:rsidR="00A101AA" w:rsidRPr="004E57A2" w:rsidRDefault="00A101AA" w:rsidP="00A101AA">
      <w:pPr>
        <w:pStyle w:val="Zkladntext"/>
        <w:spacing w:after="0" w:line="276" w:lineRule="auto"/>
        <w:jc w:val="center"/>
        <w:rPr>
          <w:rFonts w:ascii="Arial" w:eastAsia="MS Mincho" w:hAnsi="Arial" w:cs="Arial"/>
          <w:b/>
        </w:rPr>
      </w:pPr>
    </w:p>
    <w:p w:rsidR="00A101AA" w:rsidRDefault="00A101AA" w:rsidP="00A101AA">
      <w:pPr>
        <w:pStyle w:val="Zkladntextodsazen"/>
        <w:spacing w:line="276" w:lineRule="auto"/>
        <w:ind w:left="0" w:firstLine="822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lze podle § 152 odst. 1 správního řádu podat rozklad ve lhůtě 15 dnů ode dne jeho oznámení (§ 83 odst. 1 správního řádu). Rozklad se podává ministrovi vnitra prostřednictvím Ministerstva vnitra, odboru veřejné správy, dozoru a kontroly, nám. Hrdinů 3, 140 21 Praha 4. Podání rozkladu má odkladný účinek.</w:t>
      </w:r>
    </w:p>
    <w:p w:rsidR="00A101AA" w:rsidRDefault="00A101AA" w:rsidP="00A101AA">
      <w:pPr>
        <w:pStyle w:val="Text"/>
        <w:spacing w:line="300" w:lineRule="exact"/>
        <w:jc w:val="both"/>
      </w:pPr>
    </w:p>
    <w:p w:rsidR="00A101AA" w:rsidRPr="00A30D1C" w:rsidRDefault="00A101AA" w:rsidP="00A101AA">
      <w:pPr>
        <w:pStyle w:val="Text"/>
        <w:spacing w:line="300" w:lineRule="exact"/>
        <w:rPr>
          <w:i/>
        </w:rPr>
      </w:pPr>
    </w:p>
    <w:p w:rsidR="00A101AA" w:rsidRDefault="00A101AA" w:rsidP="00A101AA">
      <w:pPr>
        <w:pStyle w:val="Text"/>
        <w:spacing w:line="300" w:lineRule="exact"/>
        <w:rPr>
          <w:i/>
          <w:sz w:val="20"/>
          <w:szCs w:val="20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A101AA" w:rsidRPr="003D1D06" w:rsidTr="00FA731D">
        <w:tc>
          <w:tcPr>
            <w:tcW w:w="4020" w:type="dxa"/>
          </w:tcPr>
          <w:p w:rsidR="00A101AA" w:rsidRPr="00A101AA" w:rsidRDefault="00A101AA" w:rsidP="00FA731D">
            <w:pPr>
              <w:pStyle w:val="Text"/>
              <w:jc w:val="center"/>
              <w:rPr>
                <w:bCs/>
              </w:rPr>
            </w:pPr>
            <w:r w:rsidRPr="00A101AA">
              <w:rPr>
                <w:bCs/>
              </w:rPr>
              <w:t>Ing. Bc. Miroslav Veselý</w:t>
            </w:r>
          </w:p>
        </w:tc>
      </w:tr>
      <w:tr w:rsidR="00A101AA" w:rsidRPr="008321E0" w:rsidTr="00FA731D">
        <w:tc>
          <w:tcPr>
            <w:tcW w:w="4020" w:type="dxa"/>
          </w:tcPr>
          <w:p w:rsidR="00A101AA" w:rsidRDefault="00A101AA" w:rsidP="00FA73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ředitel </w:t>
            </w:r>
            <w:r w:rsidRPr="008027CB">
              <w:rPr>
                <w:rFonts w:ascii="Arial" w:hAnsi="Arial"/>
              </w:rPr>
              <w:t xml:space="preserve">odboru </w:t>
            </w:r>
          </w:p>
          <w:p w:rsidR="00A101AA" w:rsidRDefault="00A101AA" w:rsidP="00FA731D">
            <w:r>
              <w:rPr>
                <w:rFonts w:ascii="Arial" w:hAnsi="Arial"/>
              </w:rPr>
              <w:t xml:space="preserve">                </w:t>
            </w:r>
          </w:p>
        </w:tc>
      </w:tr>
    </w:tbl>
    <w:p w:rsidR="00A101AA" w:rsidRDefault="00A101AA" w:rsidP="00A101AA">
      <w:pPr>
        <w:pStyle w:val="Text"/>
        <w:tabs>
          <w:tab w:val="left" w:pos="900"/>
        </w:tabs>
        <w:rPr>
          <w:sz w:val="20"/>
          <w:szCs w:val="20"/>
        </w:rPr>
      </w:pPr>
    </w:p>
    <w:p w:rsidR="00A101AA" w:rsidRDefault="00A101AA" w:rsidP="00A101AA">
      <w:pPr>
        <w:pStyle w:val="Text"/>
        <w:tabs>
          <w:tab w:val="left" w:pos="900"/>
        </w:tabs>
        <w:rPr>
          <w:sz w:val="20"/>
          <w:szCs w:val="20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Rozdělovník:</w:t>
      </w:r>
    </w:p>
    <w:p w:rsidR="00A101AA" w:rsidRDefault="00A101AA" w:rsidP="00A101AA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</w:p>
    <w:p w:rsidR="00A101AA" w:rsidRDefault="00A101AA" w:rsidP="00A101AA">
      <w:pPr>
        <w:pStyle w:val="Text"/>
        <w:numPr>
          <w:ilvl w:val="0"/>
          <w:numId w:val="1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:rsidR="00A101AA" w:rsidRPr="00ED477C" w:rsidRDefault="00A101AA" w:rsidP="00A101AA">
      <w:pPr>
        <w:pStyle w:val="Text"/>
        <w:numPr>
          <w:ilvl w:val="0"/>
          <w:numId w:val="1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 w:rsidRPr="00ED477C">
        <w:rPr>
          <w:sz w:val="20"/>
          <w:szCs w:val="20"/>
        </w:rPr>
        <w:t>Stejnopis rozhodnutí bude v souladu s § 72 odst. 1 a § 19 odst. 1 správního řádu oznámen městu Klecany, se sídlem U Školky 74, 250 67 Klecany, doručením do datové schránky: 4d6bdnh.</w:t>
      </w:r>
    </w:p>
    <w:p w:rsidR="00A101AA" w:rsidRPr="0079433D" w:rsidRDefault="00A101AA" w:rsidP="0079433D">
      <w:pPr>
        <w:pStyle w:val="Text"/>
        <w:tabs>
          <w:tab w:val="left" w:pos="900"/>
        </w:tabs>
        <w:rPr>
          <w:sz w:val="20"/>
          <w:szCs w:val="20"/>
        </w:rPr>
      </w:pPr>
      <w:bookmarkStart w:id="12" w:name="_GoBack"/>
      <w:bookmarkEnd w:id="12"/>
    </w:p>
    <w:sectPr w:rsidR="00A101AA" w:rsidRPr="0079433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1A" w:rsidRDefault="0076201A">
      <w:r>
        <w:separator/>
      </w:r>
    </w:p>
  </w:endnote>
  <w:endnote w:type="continuationSeparator" w:id="0">
    <w:p w:rsidR="0076201A" w:rsidRDefault="007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01AA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1A" w:rsidRDefault="0076201A">
      <w:r>
        <w:separator/>
      </w:r>
    </w:p>
  </w:footnote>
  <w:footnote w:type="continuationSeparator" w:id="0">
    <w:p w:rsidR="0076201A" w:rsidRDefault="0076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7F"/>
    <w:multiLevelType w:val="hybridMultilevel"/>
    <w:tmpl w:val="A2B6CF4E"/>
    <w:lvl w:ilvl="0" w:tplc="8C2E5C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D6BCE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01A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101AA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F47FB"/>
  <w15:docId w15:val="{2C45D045-5A28-45D1-8025-F5A797F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locked/>
    <w:rsid w:val="00A101AA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A101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101AA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101AA"/>
    <w:rPr>
      <w:sz w:val="24"/>
      <w:szCs w:val="24"/>
    </w:rPr>
  </w:style>
  <w:style w:type="paragraph" w:customStyle="1" w:styleId="Default">
    <w:name w:val="Default"/>
    <w:rsid w:val="00A101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ŠIROKÝ Roman, Ing. Mgr. JUDr.</cp:lastModifiedBy>
  <cp:revision>2</cp:revision>
  <cp:lastPrinted>1900-12-31T23:00:00Z</cp:lastPrinted>
  <dcterms:created xsi:type="dcterms:W3CDTF">2019-01-14T12:59:00Z</dcterms:created>
  <dcterms:modified xsi:type="dcterms:W3CDTF">2022-11-23T12:47:00Z</dcterms:modified>
</cp:coreProperties>
</file>