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1005"/>
        <w:tblW w:w="4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6"/>
      </w:tblGrid>
      <w:tr w:rsidR="00C25FAB" w:rsidRPr="00700CD9" w:rsidTr="009E5861">
        <w:trPr>
          <w:trHeight w:val="20"/>
        </w:trPr>
        <w:tc>
          <w:tcPr>
            <w:tcW w:w="4676" w:type="dxa"/>
          </w:tcPr>
          <w:p w:rsidR="00C25FAB" w:rsidRPr="00700CD9" w:rsidRDefault="00C25FAB" w:rsidP="009E5861">
            <w:pPr>
              <w:rPr>
                <w:rFonts w:asciiTheme="minorHAnsi" w:hAnsiTheme="minorHAnsi" w:cstheme="minorHAnsi"/>
              </w:rPr>
            </w:pPr>
          </w:p>
        </w:tc>
      </w:tr>
    </w:tbl>
    <w:p w:rsidR="00E2261D" w:rsidRPr="00700CD9" w:rsidRDefault="00E2261D" w:rsidP="00991838">
      <w:pPr>
        <w:tabs>
          <w:tab w:val="left" w:pos="9498"/>
        </w:tabs>
        <w:ind w:right="566"/>
        <w:jc w:val="both"/>
        <w:rPr>
          <w:rFonts w:asciiTheme="minorHAnsi" w:hAnsiTheme="minorHAnsi" w:cstheme="minorHAnsi"/>
          <w:szCs w:val="24"/>
        </w:rPr>
      </w:pPr>
    </w:p>
    <w:p w:rsidR="00D756DD" w:rsidRPr="00700CD9" w:rsidRDefault="00700CD9" w:rsidP="00657BEB">
      <w:pPr>
        <w:spacing w:after="100" w:line="264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00CD9">
        <w:rPr>
          <w:rFonts w:asciiTheme="minorHAnsi" w:hAnsiTheme="minorHAnsi" w:cstheme="minorHAnsi"/>
          <w:b/>
          <w:sz w:val="32"/>
          <w:szCs w:val="32"/>
        </w:rPr>
        <w:t xml:space="preserve">OBECNĚ ZÁVAZNÁ VYHLÁŠKA MĚSTA CHOCEŇ </w:t>
      </w:r>
    </w:p>
    <w:p w:rsidR="00D756DD" w:rsidRPr="00700CD9" w:rsidRDefault="00700CD9" w:rsidP="00657BEB">
      <w:pPr>
        <w:pStyle w:val="NormlnIMP"/>
        <w:spacing w:line="264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700CD9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O STANOVENÍ OBECNÍHO SYSTÉMU ODPADOVÉHO HOSPODÁŘSTVÍ </w:t>
      </w:r>
    </w:p>
    <w:p w:rsidR="00D756DD" w:rsidRPr="00700CD9" w:rsidRDefault="00D756DD" w:rsidP="00657BEB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756DD" w:rsidRPr="009E5861" w:rsidRDefault="00D756DD" w:rsidP="00657BEB">
      <w:pPr>
        <w:pStyle w:val="Bezmezer"/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Zastupitelstvo města Choceň se na svém zasedání dne 7. </w:t>
      </w:r>
      <w:r w:rsidR="009E5861">
        <w:rPr>
          <w:rFonts w:asciiTheme="minorHAnsi" w:hAnsiTheme="minorHAnsi" w:cstheme="minorHAnsi"/>
          <w:szCs w:val="24"/>
        </w:rPr>
        <w:t>září</w:t>
      </w:r>
      <w:r w:rsidRPr="009E5861">
        <w:rPr>
          <w:rFonts w:asciiTheme="minorHAnsi" w:hAnsiTheme="minorHAnsi" w:cstheme="minorHAnsi"/>
          <w:szCs w:val="24"/>
        </w:rPr>
        <w:t xml:space="preserve"> 2022 usnesením č. </w:t>
      </w:r>
      <w:r w:rsidR="009321AC" w:rsidRPr="00616D8C">
        <w:rPr>
          <w:rFonts w:asciiTheme="minorHAnsi" w:hAnsiTheme="minorHAnsi" w:cstheme="minorHAnsi"/>
          <w:szCs w:val="24"/>
        </w:rPr>
        <w:t>5</w:t>
      </w:r>
      <w:r w:rsidR="00616D8C" w:rsidRPr="00616D8C">
        <w:rPr>
          <w:rFonts w:asciiTheme="minorHAnsi" w:hAnsiTheme="minorHAnsi" w:cstheme="minorHAnsi"/>
          <w:szCs w:val="24"/>
        </w:rPr>
        <w:t>36</w:t>
      </w:r>
      <w:r w:rsidR="009321AC" w:rsidRPr="00616D8C">
        <w:rPr>
          <w:rFonts w:asciiTheme="minorHAnsi" w:hAnsiTheme="minorHAnsi" w:cstheme="minorHAnsi"/>
          <w:szCs w:val="24"/>
        </w:rPr>
        <w:t>/3</w:t>
      </w:r>
      <w:r w:rsidR="00616D8C" w:rsidRPr="00616D8C">
        <w:rPr>
          <w:rFonts w:asciiTheme="minorHAnsi" w:hAnsiTheme="minorHAnsi" w:cstheme="minorHAnsi"/>
          <w:szCs w:val="24"/>
        </w:rPr>
        <w:t>1</w:t>
      </w:r>
      <w:r w:rsidR="009321AC" w:rsidRPr="00616D8C">
        <w:rPr>
          <w:rFonts w:asciiTheme="minorHAnsi" w:hAnsiTheme="minorHAnsi" w:cstheme="minorHAnsi"/>
          <w:szCs w:val="24"/>
        </w:rPr>
        <w:t>/</w:t>
      </w:r>
      <w:proofErr w:type="spellStart"/>
      <w:r w:rsidR="009321AC" w:rsidRPr="00616D8C">
        <w:rPr>
          <w:rFonts w:asciiTheme="minorHAnsi" w:hAnsiTheme="minorHAnsi" w:cstheme="minorHAnsi"/>
          <w:szCs w:val="24"/>
        </w:rPr>
        <w:t>ZM</w:t>
      </w:r>
      <w:proofErr w:type="spellEnd"/>
      <w:r w:rsidR="009321AC" w:rsidRPr="00616D8C">
        <w:rPr>
          <w:rFonts w:asciiTheme="minorHAnsi" w:hAnsiTheme="minorHAnsi" w:cstheme="minorHAnsi"/>
          <w:szCs w:val="24"/>
        </w:rPr>
        <w:t>/2022</w:t>
      </w:r>
      <w:r w:rsidR="009321AC" w:rsidRPr="009E5861">
        <w:rPr>
          <w:rFonts w:asciiTheme="minorHAnsi" w:hAnsiTheme="minorHAnsi" w:cstheme="minorHAnsi"/>
          <w:szCs w:val="24"/>
        </w:rPr>
        <w:t xml:space="preserve"> </w:t>
      </w:r>
      <w:r w:rsidRPr="009E5861">
        <w:rPr>
          <w:rFonts w:asciiTheme="minorHAnsi" w:hAnsiTheme="minorHAnsi" w:cstheme="minorHAnsi"/>
          <w:szCs w:val="24"/>
        </w:rPr>
        <w:t xml:space="preserve">usneslo vydat na základě § 59 odst. 4 zákona č. 541/2020 Sb., o odpadech (dále jen „zákon </w:t>
      </w:r>
      <w:r w:rsidRPr="009E5861">
        <w:rPr>
          <w:rFonts w:asciiTheme="minorHAnsi" w:hAnsiTheme="minorHAnsi" w:cstheme="minorHAnsi"/>
          <w:szCs w:val="24"/>
        </w:rPr>
        <w:br/>
        <w:t xml:space="preserve">o odpadech“), a v souladu s § 10 písm. d) a § 84 odst. 2 písm. h) zákona č. 128/2000 Sb., </w:t>
      </w:r>
      <w:r w:rsidRPr="009E5861">
        <w:rPr>
          <w:rFonts w:asciiTheme="minorHAnsi" w:hAnsiTheme="minorHAnsi" w:cstheme="minorHAnsi"/>
          <w:szCs w:val="24"/>
        </w:rPr>
        <w:br/>
        <w:t>o obcích (obecní zřízení), ve znění pozdějších předpisů, tuto obecně závaznou vyhlášku (dále jen „vyhláška“):</w:t>
      </w:r>
    </w:p>
    <w:p w:rsidR="00D756DD" w:rsidRPr="009E5861" w:rsidRDefault="009E5861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Článek</w:t>
      </w:r>
      <w:r w:rsidR="00D756DD" w:rsidRPr="009E5861">
        <w:rPr>
          <w:rFonts w:asciiTheme="minorHAnsi" w:hAnsiTheme="minorHAnsi" w:cstheme="minorHAnsi"/>
          <w:b/>
          <w:szCs w:val="24"/>
        </w:rPr>
        <w:t xml:space="preserve"> 1</w:t>
      </w:r>
    </w:p>
    <w:p w:rsidR="00D756DD" w:rsidRPr="009E5861" w:rsidRDefault="00D756DD" w:rsidP="00657BEB">
      <w:pPr>
        <w:pStyle w:val="Nadpis2"/>
        <w:spacing w:before="0" w:line="264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E5861">
        <w:rPr>
          <w:rFonts w:asciiTheme="minorHAnsi" w:hAnsiTheme="minorHAnsi" w:cstheme="minorHAnsi"/>
          <w:b/>
          <w:bCs/>
          <w:color w:val="auto"/>
          <w:sz w:val="24"/>
          <w:szCs w:val="24"/>
        </w:rPr>
        <w:t>Úvodní ustanovení</w:t>
      </w:r>
    </w:p>
    <w:p w:rsidR="00D756DD" w:rsidRPr="009E5861" w:rsidRDefault="00D756DD" w:rsidP="00657BEB">
      <w:pPr>
        <w:widowControl/>
        <w:numPr>
          <w:ilvl w:val="0"/>
          <w:numId w:val="11"/>
        </w:numPr>
        <w:tabs>
          <w:tab w:val="left" w:pos="284"/>
        </w:tabs>
        <w:spacing w:line="264" w:lineRule="auto"/>
        <w:ind w:left="0" w:firstLine="0"/>
        <w:jc w:val="both"/>
        <w:rPr>
          <w:rFonts w:asciiTheme="minorHAnsi" w:hAnsiTheme="minorHAnsi" w:cstheme="minorHAnsi"/>
          <w:color w:val="FF0000"/>
          <w:szCs w:val="24"/>
        </w:rPr>
      </w:pPr>
      <w:r w:rsidRPr="009E5861">
        <w:rPr>
          <w:rFonts w:asciiTheme="minorHAnsi" w:hAnsiTheme="minorHAnsi" w:cstheme="minorHAnsi"/>
          <w:szCs w:val="24"/>
        </w:rPr>
        <w:t>Tato vyhláška stanovuje obecní systém odpadového hospodářství na území města Choceň.</w:t>
      </w:r>
    </w:p>
    <w:p w:rsidR="00D756DD" w:rsidRPr="009E5861" w:rsidRDefault="00D756DD" w:rsidP="00657BEB">
      <w:pPr>
        <w:widowControl/>
        <w:numPr>
          <w:ilvl w:val="0"/>
          <w:numId w:val="11"/>
        </w:numPr>
        <w:tabs>
          <w:tab w:val="left" w:pos="-142"/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color w:val="FF0000"/>
          <w:szCs w:val="24"/>
        </w:rPr>
        <w:t xml:space="preserve">  </w:t>
      </w:r>
      <w:r w:rsidRPr="009E5861">
        <w:rPr>
          <w:rFonts w:asciiTheme="minorHAnsi" w:hAnsiTheme="minorHAnsi" w:cstheme="minorHAnsi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9E5861">
        <w:rPr>
          <w:rStyle w:val="Znakapoznpodarou"/>
          <w:rFonts w:asciiTheme="minorHAnsi" w:hAnsiTheme="minorHAnsi" w:cstheme="minorHAnsi"/>
          <w:szCs w:val="24"/>
        </w:rPr>
        <w:footnoteReference w:id="1"/>
      </w:r>
      <w:r w:rsidRPr="009E5861">
        <w:rPr>
          <w:rFonts w:asciiTheme="minorHAnsi" w:hAnsiTheme="minorHAnsi" w:cstheme="minorHAnsi"/>
          <w:szCs w:val="24"/>
        </w:rPr>
        <w:t>.</w:t>
      </w:r>
    </w:p>
    <w:p w:rsidR="00D756DD" w:rsidRPr="009E5861" w:rsidRDefault="00D756DD" w:rsidP="00657BEB">
      <w:pPr>
        <w:widowControl/>
        <w:numPr>
          <w:ilvl w:val="0"/>
          <w:numId w:val="11"/>
        </w:numPr>
        <w:tabs>
          <w:tab w:val="left" w:pos="-142"/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  V okamžiku, kdy osoba zapojená do obecního systému odloží movitou věc nebo odpad, </w:t>
      </w:r>
      <w:r w:rsidRPr="009E5861">
        <w:rPr>
          <w:rFonts w:asciiTheme="minorHAnsi" w:hAnsiTheme="minorHAnsi" w:cstheme="minorHAnsi"/>
          <w:szCs w:val="24"/>
        </w:rPr>
        <w:br/>
        <w:t>s výjimkou výrobků s ukončenou životností, na místě obcí k tomuto účelu určeném, stává se obec vlastníkem této movité věci nebo odpadu</w:t>
      </w:r>
      <w:r w:rsidRPr="009E5861">
        <w:rPr>
          <w:rStyle w:val="Znakapoznpodarou"/>
          <w:rFonts w:asciiTheme="minorHAnsi" w:hAnsiTheme="minorHAnsi" w:cstheme="minorHAnsi"/>
          <w:szCs w:val="24"/>
        </w:rPr>
        <w:footnoteReference w:id="2"/>
      </w:r>
      <w:r w:rsidRPr="009E5861">
        <w:rPr>
          <w:rFonts w:asciiTheme="minorHAnsi" w:hAnsiTheme="minorHAnsi" w:cstheme="minorHAnsi"/>
          <w:szCs w:val="24"/>
        </w:rPr>
        <w:t xml:space="preserve">. </w:t>
      </w:r>
    </w:p>
    <w:p w:rsidR="00D756DD" w:rsidRPr="009E5861" w:rsidRDefault="00D756DD" w:rsidP="00657BEB">
      <w:pPr>
        <w:widowControl/>
        <w:numPr>
          <w:ilvl w:val="0"/>
          <w:numId w:val="11"/>
        </w:numPr>
        <w:tabs>
          <w:tab w:val="left" w:pos="-142"/>
          <w:tab w:val="left" w:pos="284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756DD" w:rsidRPr="009E5861" w:rsidRDefault="00D756DD" w:rsidP="00657BEB">
      <w:pPr>
        <w:tabs>
          <w:tab w:val="left" w:pos="-142"/>
          <w:tab w:val="left" w:pos="284"/>
        </w:tabs>
        <w:autoSpaceDE w:val="0"/>
        <w:autoSpaceDN w:val="0"/>
        <w:adjustRightInd w:val="0"/>
        <w:spacing w:line="264" w:lineRule="auto"/>
        <w:jc w:val="both"/>
        <w:rPr>
          <w:rFonts w:asciiTheme="minorHAnsi" w:hAnsiTheme="minorHAnsi" w:cstheme="minorHAnsi"/>
          <w:szCs w:val="24"/>
        </w:rPr>
      </w:pPr>
    </w:p>
    <w:p w:rsidR="00D756DD" w:rsidRPr="009E5861" w:rsidRDefault="009E5861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Článek</w:t>
      </w:r>
      <w:r w:rsidR="00D756DD" w:rsidRPr="009E5861">
        <w:rPr>
          <w:rFonts w:asciiTheme="minorHAnsi" w:hAnsiTheme="minorHAnsi" w:cstheme="minorHAnsi"/>
          <w:b/>
          <w:szCs w:val="24"/>
        </w:rPr>
        <w:t xml:space="preserve"> 2</w:t>
      </w:r>
    </w:p>
    <w:p w:rsidR="00D756DD" w:rsidRPr="009E5861" w:rsidRDefault="00D756DD" w:rsidP="00657BEB">
      <w:pPr>
        <w:spacing w:line="264" w:lineRule="auto"/>
        <w:jc w:val="center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 xml:space="preserve">Oddělené soustřeďování komunálního odpadu </w:t>
      </w:r>
    </w:p>
    <w:p w:rsidR="00D756DD" w:rsidRPr="009E5861" w:rsidRDefault="00D756DD" w:rsidP="00657BEB">
      <w:pPr>
        <w:widowControl/>
        <w:numPr>
          <w:ilvl w:val="0"/>
          <w:numId w:val="9"/>
        </w:numPr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Osoby předávající komunální odpad na místa určená obcí jsou povinny odděleně soustřeďovat následující složky:</w:t>
      </w:r>
    </w:p>
    <w:p w:rsidR="00D756DD" w:rsidRPr="009E5861" w:rsidRDefault="00D756DD" w:rsidP="00657BE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Theme="minorHAnsi" w:hAnsiTheme="minorHAnsi" w:cstheme="minorHAnsi"/>
          <w:bCs/>
          <w:i/>
          <w:color w:val="00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Biologick</w:t>
      </w:r>
      <w:r w:rsidR="00C751D5" w:rsidRPr="009E5861">
        <w:rPr>
          <w:rFonts w:asciiTheme="minorHAnsi" w:hAnsiTheme="minorHAnsi" w:cstheme="minorHAnsi"/>
          <w:bCs/>
          <w:i/>
          <w:color w:val="000000"/>
        </w:rPr>
        <w:t xml:space="preserve">y rozložitelný </w:t>
      </w:r>
      <w:r w:rsidRPr="009E5861">
        <w:rPr>
          <w:rFonts w:asciiTheme="minorHAnsi" w:hAnsiTheme="minorHAnsi" w:cstheme="minorHAnsi"/>
          <w:bCs/>
          <w:i/>
          <w:color w:val="000000"/>
        </w:rPr>
        <w:t>odpad</w:t>
      </w:r>
      <w:r w:rsidRPr="009E5861">
        <w:rPr>
          <w:rFonts w:asciiTheme="minorHAnsi" w:hAnsiTheme="minorHAnsi" w:cstheme="minorHAnsi"/>
          <w:bCs/>
          <w:i/>
        </w:rPr>
        <w:t>,</w:t>
      </w:r>
    </w:p>
    <w:p w:rsidR="00D756DD" w:rsidRPr="009E5861" w:rsidRDefault="00D756DD" w:rsidP="00657BEB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709" w:hanging="283"/>
        <w:rPr>
          <w:rFonts w:asciiTheme="minorHAnsi" w:hAnsiTheme="minorHAnsi" w:cstheme="minorHAnsi"/>
          <w:bCs/>
          <w:i/>
          <w:color w:val="00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Papír,</w:t>
      </w:r>
    </w:p>
    <w:p w:rsidR="00D756DD" w:rsidRPr="009E5861" w:rsidRDefault="00D756DD" w:rsidP="00657BEB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709" w:hanging="283"/>
        <w:rPr>
          <w:rFonts w:asciiTheme="minorHAnsi" w:hAnsiTheme="minorHAnsi" w:cstheme="minorHAnsi"/>
          <w:bCs/>
          <w:i/>
          <w:color w:val="00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Plasty</w:t>
      </w:r>
      <w:r w:rsidR="00C751D5" w:rsidRPr="009E5861">
        <w:rPr>
          <w:rFonts w:asciiTheme="minorHAnsi" w:hAnsiTheme="minorHAnsi" w:cstheme="minorHAnsi"/>
          <w:bCs/>
          <w:i/>
          <w:color w:val="000000"/>
        </w:rPr>
        <w:t>,</w:t>
      </w:r>
      <w:r w:rsidRPr="009E5861">
        <w:rPr>
          <w:rFonts w:asciiTheme="minorHAnsi" w:hAnsiTheme="minorHAnsi" w:cstheme="minorHAnsi"/>
          <w:bCs/>
          <w:i/>
          <w:color w:val="000000"/>
        </w:rPr>
        <w:t xml:space="preserve"> PET lahv</w:t>
      </w:r>
      <w:r w:rsidR="00C751D5" w:rsidRPr="009E5861">
        <w:rPr>
          <w:rFonts w:asciiTheme="minorHAnsi" w:hAnsiTheme="minorHAnsi" w:cstheme="minorHAnsi"/>
          <w:bCs/>
          <w:i/>
          <w:color w:val="000000"/>
        </w:rPr>
        <w:t>e</w:t>
      </w:r>
      <w:r w:rsidRPr="009E5861">
        <w:rPr>
          <w:rFonts w:asciiTheme="minorHAnsi" w:hAnsiTheme="minorHAnsi" w:cstheme="minorHAnsi"/>
          <w:bCs/>
          <w:i/>
          <w:color w:val="000000"/>
        </w:rPr>
        <w:t>, nápojové kartóny</w:t>
      </w:r>
    </w:p>
    <w:p w:rsidR="00D756DD" w:rsidRPr="009E5861" w:rsidRDefault="00D756DD" w:rsidP="00657BE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Theme="minorHAnsi" w:hAnsiTheme="minorHAnsi" w:cstheme="minorHAnsi"/>
          <w:bCs/>
          <w:i/>
          <w:color w:val="00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Sklo,</w:t>
      </w:r>
    </w:p>
    <w:p w:rsidR="00D756DD" w:rsidRPr="009E5861" w:rsidRDefault="00D756DD" w:rsidP="00657BE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64" w:lineRule="auto"/>
        <w:ind w:left="709" w:hanging="283"/>
        <w:rPr>
          <w:rFonts w:asciiTheme="minorHAnsi" w:hAnsiTheme="minorHAnsi" w:cstheme="minorHAnsi"/>
          <w:bCs/>
          <w:i/>
          <w:color w:val="00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Kovy,</w:t>
      </w:r>
    </w:p>
    <w:p w:rsidR="00D756DD" w:rsidRPr="009E5861" w:rsidRDefault="00D756DD" w:rsidP="00657BEB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Theme="minorHAnsi" w:hAnsiTheme="minorHAnsi" w:cstheme="minorHAnsi"/>
          <w:i/>
          <w:iCs/>
          <w:szCs w:val="24"/>
        </w:rPr>
      </w:pPr>
      <w:r w:rsidRPr="009E5861">
        <w:rPr>
          <w:rFonts w:asciiTheme="minorHAnsi" w:hAnsiTheme="minorHAnsi" w:cstheme="minorHAnsi"/>
          <w:bCs/>
          <w:i/>
          <w:color w:val="000000"/>
          <w:szCs w:val="24"/>
        </w:rPr>
        <w:t>Nebezpečné odpady,</w:t>
      </w:r>
    </w:p>
    <w:p w:rsidR="00D756DD" w:rsidRPr="009E5861" w:rsidRDefault="00D756DD" w:rsidP="00657BEB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Theme="minorHAnsi" w:hAnsiTheme="minorHAnsi" w:cstheme="minorHAnsi"/>
          <w:bCs/>
          <w:i/>
          <w:color w:val="000000"/>
          <w:szCs w:val="24"/>
        </w:rPr>
      </w:pPr>
      <w:r w:rsidRPr="009E5861">
        <w:rPr>
          <w:rFonts w:asciiTheme="minorHAnsi" w:hAnsiTheme="minorHAnsi" w:cstheme="minorHAnsi"/>
          <w:bCs/>
          <w:i/>
          <w:color w:val="000000"/>
          <w:szCs w:val="24"/>
        </w:rPr>
        <w:t>Objemný odpad,</w:t>
      </w:r>
    </w:p>
    <w:p w:rsidR="00D756DD" w:rsidRPr="009E5861" w:rsidRDefault="00D756DD" w:rsidP="00657BEB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Theme="minorHAnsi" w:hAnsiTheme="minorHAnsi" w:cstheme="minorHAnsi"/>
          <w:i/>
          <w:iCs/>
          <w:szCs w:val="24"/>
        </w:rPr>
      </w:pPr>
      <w:r w:rsidRPr="009E5861">
        <w:rPr>
          <w:rFonts w:asciiTheme="minorHAnsi" w:hAnsiTheme="minorHAnsi" w:cstheme="minorHAnsi"/>
          <w:i/>
          <w:iCs/>
          <w:szCs w:val="24"/>
        </w:rPr>
        <w:t>Jedlé oleje a tuky,</w:t>
      </w:r>
    </w:p>
    <w:p w:rsidR="00D756DD" w:rsidRPr="009E5861" w:rsidRDefault="00D756DD" w:rsidP="00657BEB">
      <w:pPr>
        <w:widowControl/>
        <w:numPr>
          <w:ilvl w:val="0"/>
          <w:numId w:val="7"/>
        </w:numPr>
        <w:spacing w:line="264" w:lineRule="auto"/>
        <w:ind w:left="709" w:hanging="283"/>
        <w:jc w:val="both"/>
        <w:rPr>
          <w:rFonts w:asciiTheme="minorHAnsi" w:hAnsiTheme="minorHAnsi" w:cstheme="minorHAnsi"/>
          <w:i/>
          <w:iCs/>
          <w:szCs w:val="24"/>
        </w:rPr>
      </w:pPr>
      <w:r w:rsidRPr="009E5861">
        <w:rPr>
          <w:rFonts w:asciiTheme="minorHAnsi" w:hAnsiTheme="minorHAnsi" w:cstheme="minorHAnsi"/>
          <w:i/>
          <w:iCs/>
          <w:szCs w:val="24"/>
        </w:rPr>
        <w:t>Textil</w:t>
      </w:r>
      <w:r w:rsidR="00C751D5" w:rsidRPr="009E5861">
        <w:rPr>
          <w:rFonts w:asciiTheme="minorHAnsi" w:hAnsiTheme="minorHAnsi" w:cstheme="minorHAnsi"/>
          <w:i/>
          <w:iCs/>
          <w:szCs w:val="24"/>
        </w:rPr>
        <w:t xml:space="preserve"> a oděvy</w:t>
      </w:r>
    </w:p>
    <w:p w:rsidR="00D756DD" w:rsidRPr="009E5861" w:rsidRDefault="00D756DD" w:rsidP="00657BEB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Theme="minorHAnsi" w:hAnsiTheme="minorHAnsi" w:cstheme="minorHAnsi"/>
          <w:i/>
          <w:iCs/>
          <w:szCs w:val="24"/>
        </w:rPr>
      </w:pPr>
      <w:r w:rsidRPr="009E5861">
        <w:rPr>
          <w:rFonts w:asciiTheme="minorHAnsi" w:hAnsiTheme="minorHAnsi" w:cstheme="minorHAnsi"/>
          <w:i/>
          <w:iCs/>
          <w:szCs w:val="24"/>
        </w:rPr>
        <w:t>Směsný komunální odpad</w:t>
      </w:r>
    </w:p>
    <w:p w:rsidR="00324DD9" w:rsidRPr="009E5861" w:rsidRDefault="00324DD9" w:rsidP="00657BEB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Theme="minorHAnsi" w:hAnsiTheme="minorHAnsi" w:cstheme="minorHAnsi"/>
          <w:i/>
          <w:iCs/>
          <w:szCs w:val="24"/>
        </w:rPr>
      </w:pPr>
      <w:r w:rsidRPr="009E5861">
        <w:rPr>
          <w:rFonts w:asciiTheme="minorHAnsi" w:hAnsiTheme="minorHAnsi" w:cstheme="minorHAnsi"/>
          <w:i/>
          <w:iCs/>
          <w:szCs w:val="24"/>
        </w:rPr>
        <w:t>Dřevo</w:t>
      </w:r>
    </w:p>
    <w:p w:rsidR="008C3BEB" w:rsidRPr="009E5861" w:rsidRDefault="00EC670A" w:rsidP="00657BEB">
      <w:pPr>
        <w:widowControl/>
        <w:numPr>
          <w:ilvl w:val="0"/>
          <w:numId w:val="7"/>
        </w:numPr>
        <w:spacing w:line="264" w:lineRule="auto"/>
        <w:ind w:left="709" w:hanging="283"/>
        <w:rPr>
          <w:rFonts w:asciiTheme="minorHAnsi" w:hAnsiTheme="minorHAnsi" w:cstheme="minorHAnsi"/>
          <w:i/>
          <w:iCs/>
          <w:szCs w:val="24"/>
        </w:rPr>
      </w:pPr>
      <w:r w:rsidRPr="009E5861">
        <w:rPr>
          <w:rFonts w:asciiTheme="minorHAnsi" w:hAnsiTheme="minorHAnsi" w:cstheme="minorHAnsi"/>
          <w:i/>
          <w:iCs/>
          <w:szCs w:val="24"/>
        </w:rPr>
        <w:t>Zemina a kameny</w:t>
      </w:r>
    </w:p>
    <w:p w:rsidR="00D756DD" w:rsidRPr="009E5861" w:rsidRDefault="00D756DD" w:rsidP="00657BEB">
      <w:pPr>
        <w:pStyle w:val="Zkladntextodsazen"/>
        <w:widowControl/>
        <w:numPr>
          <w:ilvl w:val="0"/>
          <w:numId w:val="9"/>
        </w:numPr>
        <w:spacing w:after="0"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Směsným komunálním odpadem se rozumí zbylý komunální odpad po stanoveném vytřídění podle odstavce 1 písm. a), b), c), d), e), f), g), h), i)</w:t>
      </w:r>
      <w:r w:rsidR="008C3BEB" w:rsidRPr="009E5861">
        <w:rPr>
          <w:rFonts w:asciiTheme="minorHAnsi" w:hAnsiTheme="minorHAnsi" w:cstheme="minorHAnsi"/>
          <w:szCs w:val="24"/>
        </w:rPr>
        <w:t xml:space="preserve">, k), </w:t>
      </w:r>
      <w:r w:rsidR="00EC670A" w:rsidRPr="009E5861">
        <w:rPr>
          <w:rFonts w:asciiTheme="minorHAnsi" w:hAnsiTheme="minorHAnsi" w:cstheme="minorHAnsi"/>
          <w:szCs w:val="24"/>
        </w:rPr>
        <w:t>l</w:t>
      </w:r>
      <w:r w:rsidR="008C3BEB" w:rsidRPr="009E5861">
        <w:rPr>
          <w:rFonts w:asciiTheme="minorHAnsi" w:hAnsiTheme="minorHAnsi" w:cstheme="minorHAnsi"/>
          <w:szCs w:val="24"/>
        </w:rPr>
        <w:t>)</w:t>
      </w:r>
    </w:p>
    <w:p w:rsidR="00D756DD" w:rsidRPr="009E5861" w:rsidRDefault="00D756DD" w:rsidP="00657BEB">
      <w:pPr>
        <w:pStyle w:val="Zkladntextodsazen"/>
        <w:spacing w:line="264" w:lineRule="auto"/>
        <w:ind w:left="360"/>
        <w:rPr>
          <w:rFonts w:asciiTheme="minorHAnsi" w:hAnsiTheme="minorHAnsi" w:cstheme="minorHAnsi"/>
          <w:szCs w:val="24"/>
        </w:rPr>
      </w:pPr>
    </w:p>
    <w:p w:rsidR="00D756DD" w:rsidRPr="009E5861" w:rsidRDefault="00D756DD" w:rsidP="00657BEB">
      <w:pPr>
        <w:pStyle w:val="Zkladntextodsazen"/>
        <w:widowControl/>
        <w:numPr>
          <w:ilvl w:val="0"/>
          <w:numId w:val="9"/>
        </w:numPr>
        <w:spacing w:after="0"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 (</w:t>
      </w:r>
      <w:r w:rsidRPr="009E5861">
        <w:rPr>
          <w:rFonts w:asciiTheme="minorHAnsi" w:hAnsiTheme="minorHAnsi" w:cstheme="minorHAnsi"/>
          <w:i/>
          <w:iCs/>
          <w:szCs w:val="24"/>
        </w:rPr>
        <w:t>např. koberce, matrace, nábytek</w:t>
      </w:r>
      <w:r w:rsidR="00657BEB">
        <w:rPr>
          <w:rFonts w:asciiTheme="minorHAnsi" w:hAnsiTheme="minorHAnsi" w:cstheme="minorHAnsi"/>
          <w:i/>
          <w:iCs/>
          <w:szCs w:val="24"/>
        </w:rPr>
        <w:t xml:space="preserve"> apod.</w:t>
      </w:r>
      <w:r w:rsidRPr="009E5861">
        <w:rPr>
          <w:rFonts w:asciiTheme="minorHAnsi" w:hAnsiTheme="minorHAnsi" w:cstheme="minorHAnsi"/>
          <w:szCs w:val="24"/>
        </w:rPr>
        <w:t>).</w:t>
      </w:r>
    </w:p>
    <w:p w:rsidR="008C3BEB" w:rsidRPr="009E5861" w:rsidRDefault="008C3BEB" w:rsidP="00657BEB">
      <w:pPr>
        <w:pStyle w:val="Zkladntextodsazen"/>
        <w:widowControl/>
        <w:spacing w:after="0" w:line="264" w:lineRule="auto"/>
        <w:ind w:left="360"/>
        <w:jc w:val="both"/>
        <w:rPr>
          <w:rFonts w:asciiTheme="minorHAnsi" w:hAnsiTheme="minorHAnsi" w:cstheme="minorHAnsi"/>
          <w:szCs w:val="24"/>
        </w:rPr>
      </w:pPr>
    </w:p>
    <w:p w:rsidR="00D756DD" w:rsidRPr="009E5861" w:rsidRDefault="009E5861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Článek</w:t>
      </w:r>
      <w:r w:rsidR="00D756DD" w:rsidRPr="009E5861">
        <w:rPr>
          <w:rFonts w:asciiTheme="minorHAnsi" w:hAnsiTheme="minorHAnsi" w:cstheme="minorHAnsi"/>
          <w:b/>
          <w:szCs w:val="24"/>
        </w:rPr>
        <w:t xml:space="preserve"> 3</w:t>
      </w:r>
    </w:p>
    <w:p w:rsidR="00D756DD" w:rsidRPr="009E5861" w:rsidRDefault="00D756DD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Určení míst pro oddělené soustřeďování určených složek komunálního odpadu</w:t>
      </w:r>
    </w:p>
    <w:p w:rsidR="00D756DD" w:rsidRPr="009E5861" w:rsidRDefault="00D756DD" w:rsidP="00657BEB">
      <w:pPr>
        <w:widowControl/>
        <w:numPr>
          <w:ilvl w:val="0"/>
          <w:numId w:val="4"/>
        </w:numPr>
        <w:tabs>
          <w:tab w:val="num" w:pos="540"/>
          <w:tab w:val="num" w:pos="927"/>
        </w:tabs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Papír, plasty,</w:t>
      </w:r>
      <w:r w:rsidR="00700CD9" w:rsidRPr="009E5861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00CD9" w:rsidRPr="009E5861">
        <w:rPr>
          <w:rFonts w:asciiTheme="minorHAnsi" w:hAnsiTheme="minorHAnsi" w:cstheme="minorHAnsi"/>
          <w:szCs w:val="24"/>
        </w:rPr>
        <w:t>PET</w:t>
      </w:r>
      <w:proofErr w:type="spellEnd"/>
      <w:r w:rsidR="00700CD9" w:rsidRPr="009E5861">
        <w:rPr>
          <w:rFonts w:asciiTheme="minorHAnsi" w:hAnsiTheme="minorHAnsi" w:cstheme="minorHAnsi"/>
          <w:szCs w:val="24"/>
        </w:rPr>
        <w:t xml:space="preserve"> lahve,</w:t>
      </w:r>
      <w:r w:rsidR="00B65BF3" w:rsidRPr="009E5861">
        <w:rPr>
          <w:rFonts w:asciiTheme="minorHAnsi" w:hAnsiTheme="minorHAnsi" w:cstheme="minorHAnsi"/>
          <w:szCs w:val="24"/>
        </w:rPr>
        <w:t xml:space="preserve"> nápojové kartóny,</w:t>
      </w:r>
      <w:r w:rsidRPr="009E5861">
        <w:rPr>
          <w:rFonts w:asciiTheme="minorHAnsi" w:hAnsiTheme="minorHAnsi" w:cstheme="minorHAnsi"/>
          <w:szCs w:val="24"/>
        </w:rPr>
        <w:t xml:space="preserve"> sklo, kovy, biologick</w:t>
      </w:r>
      <w:r w:rsidR="00700CD9" w:rsidRPr="009E5861">
        <w:rPr>
          <w:rFonts w:asciiTheme="minorHAnsi" w:hAnsiTheme="minorHAnsi" w:cstheme="minorHAnsi"/>
          <w:szCs w:val="24"/>
        </w:rPr>
        <w:t xml:space="preserve">y rozložitelné </w:t>
      </w:r>
      <w:r w:rsidRPr="009E5861">
        <w:rPr>
          <w:rFonts w:asciiTheme="minorHAnsi" w:hAnsiTheme="minorHAnsi" w:cstheme="minorHAnsi"/>
          <w:szCs w:val="24"/>
        </w:rPr>
        <w:t>odpady, jedlé oleje a tuky, textil</w:t>
      </w:r>
      <w:r w:rsidR="00700CD9" w:rsidRPr="009E5861">
        <w:rPr>
          <w:rFonts w:asciiTheme="minorHAnsi" w:hAnsiTheme="minorHAnsi" w:cstheme="minorHAnsi"/>
          <w:szCs w:val="24"/>
        </w:rPr>
        <w:t xml:space="preserve"> a oděvy</w:t>
      </w:r>
      <w:r w:rsidRPr="009E5861">
        <w:rPr>
          <w:rFonts w:asciiTheme="minorHAnsi" w:hAnsiTheme="minorHAnsi" w:cstheme="minorHAnsi"/>
          <w:szCs w:val="24"/>
        </w:rPr>
        <w:t xml:space="preserve"> se soustřeďují do </w:t>
      </w:r>
      <w:r w:rsidRPr="009E5861">
        <w:rPr>
          <w:rFonts w:asciiTheme="minorHAnsi" w:hAnsiTheme="minorHAnsi" w:cstheme="minorHAnsi"/>
          <w:bCs/>
          <w:szCs w:val="24"/>
        </w:rPr>
        <w:t>zvláštních sběrných nádob</w:t>
      </w:r>
      <w:r w:rsidRPr="009E5861">
        <w:rPr>
          <w:rFonts w:asciiTheme="minorHAnsi" w:hAnsiTheme="minorHAnsi" w:cstheme="minorHAnsi"/>
          <w:szCs w:val="24"/>
        </w:rPr>
        <w:t xml:space="preserve">, kterými jsou </w:t>
      </w:r>
      <w:r w:rsidRPr="009E5861">
        <w:rPr>
          <w:rStyle w:val="Zdraznn"/>
          <w:rFonts w:asciiTheme="minorHAnsi" w:hAnsiTheme="minorHAnsi" w:cstheme="minorHAnsi"/>
          <w:szCs w:val="24"/>
          <w:shd w:val="clear" w:color="auto" w:fill="FFFFFF"/>
        </w:rPr>
        <w:t xml:space="preserve">typizované sběrné nádoby (popelnice a kontejnery) o objemu, 120l, 240l, 770l, 1100l, 1500l, 1700l, 2500l, a podzemní </w:t>
      </w:r>
      <w:r w:rsidR="00700CD9" w:rsidRPr="009E5861">
        <w:rPr>
          <w:rStyle w:val="Zdraznn"/>
          <w:rFonts w:asciiTheme="minorHAnsi" w:hAnsiTheme="minorHAnsi" w:cstheme="minorHAnsi"/>
          <w:szCs w:val="24"/>
          <w:shd w:val="clear" w:color="auto" w:fill="FFFFFF"/>
        </w:rPr>
        <w:t>a</w:t>
      </w:r>
      <w:r w:rsidRPr="009E5861">
        <w:rPr>
          <w:rFonts w:asciiTheme="minorHAnsi" w:hAnsiTheme="minorHAnsi" w:cstheme="minorHAnsi"/>
          <w:i/>
          <w:szCs w:val="24"/>
        </w:rPr>
        <w:t xml:space="preserve"> </w:t>
      </w:r>
      <w:r w:rsidRPr="009E5861">
        <w:rPr>
          <w:rFonts w:asciiTheme="minorHAnsi" w:hAnsiTheme="minorHAnsi" w:cstheme="minorHAnsi"/>
          <w:szCs w:val="24"/>
        </w:rPr>
        <w:t>velkoobjemové kontejnery.</w:t>
      </w:r>
    </w:p>
    <w:p w:rsidR="00D756DD" w:rsidRPr="009E5861" w:rsidRDefault="00D756DD" w:rsidP="00657BEB">
      <w:pPr>
        <w:widowControl/>
        <w:numPr>
          <w:ilvl w:val="0"/>
          <w:numId w:val="4"/>
        </w:numPr>
        <w:tabs>
          <w:tab w:val="num" w:pos="540"/>
          <w:tab w:val="num" w:pos="927"/>
        </w:tabs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color w:val="000000"/>
          <w:szCs w:val="24"/>
          <w:shd w:val="clear" w:color="auto" w:fill="FFFFFF"/>
        </w:rPr>
        <w:t>Zvláštní sběrné nádoby a velkoobjemové kontejnery jsou umístěny na stanovištích, která jsou zveřejněna na webových stránkách města pod odkazem:</w:t>
      </w:r>
    </w:p>
    <w:p w:rsidR="00424C22" w:rsidRPr="009E5861" w:rsidRDefault="00467579" w:rsidP="00657BEB">
      <w:pPr>
        <w:widowControl/>
        <w:tabs>
          <w:tab w:val="num" w:pos="540"/>
          <w:tab w:val="num" w:pos="927"/>
        </w:tabs>
        <w:spacing w:line="264" w:lineRule="auto"/>
        <w:ind w:left="360"/>
        <w:jc w:val="both"/>
        <w:rPr>
          <w:rFonts w:asciiTheme="minorHAnsi" w:hAnsiTheme="minorHAnsi" w:cstheme="minorHAnsi"/>
          <w:szCs w:val="24"/>
        </w:rPr>
      </w:pPr>
      <w:hyperlink r:id="rId8" w:history="1">
        <w:r w:rsidR="00424C22" w:rsidRPr="009E5861">
          <w:rPr>
            <w:rStyle w:val="Hypertextovodkaz"/>
            <w:rFonts w:asciiTheme="minorHAnsi" w:hAnsiTheme="minorHAnsi" w:cstheme="minorHAnsi"/>
            <w:szCs w:val="24"/>
          </w:rPr>
          <w:t>https://www.chocen.cz/sberna-mista-odpadu/ms-38376/p1=38376</w:t>
        </w:r>
      </w:hyperlink>
    </w:p>
    <w:p w:rsidR="00D756DD" w:rsidRPr="009E5861" w:rsidRDefault="00D756DD" w:rsidP="00657BE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ind w:left="0" w:firstLine="0"/>
        <w:textAlignment w:val="auto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Zvláštní sběrné nádoby jsou barevně odlišeny a označeny příslušnými nápisy:</w:t>
      </w:r>
    </w:p>
    <w:p w:rsidR="00D756DD" w:rsidRPr="009E5861" w:rsidRDefault="00D756DD" w:rsidP="00657B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bCs/>
          <w:i/>
          <w:color w:val="00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Biologick</w:t>
      </w:r>
      <w:r w:rsidR="00C751D5" w:rsidRPr="009E5861">
        <w:rPr>
          <w:rFonts w:asciiTheme="minorHAnsi" w:hAnsiTheme="minorHAnsi" w:cstheme="minorHAnsi"/>
          <w:bCs/>
          <w:i/>
          <w:color w:val="000000"/>
        </w:rPr>
        <w:t>y rozložitelný</w:t>
      </w:r>
      <w:r w:rsidRPr="009E5861">
        <w:rPr>
          <w:rFonts w:asciiTheme="minorHAnsi" w:hAnsiTheme="minorHAnsi" w:cstheme="minorHAnsi"/>
          <w:bCs/>
          <w:i/>
          <w:color w:val="000000"/>
        </w:rPr>
        <w:t xml:space="preserve"> odpad</w:t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="00700CD9"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>barva hnědá</w:t>
      </w:r>
    </w:p>
    <w:p w:rsidR="00D756DD" w:rsidRPr="009E5861" w:rsidRDefault="00D756DD" w:rsidP="00657B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bCs/>
          <w:i/>
          <w:color w:val="00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Papír</w:t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  <w:t>barva modrá</w:t>
      </w:r>
    </w:p>
    <w:p w:rsidR="00D756DD" w:rsidRPr="009E5861" w:rsidRDefault="00D756DD" w:rsidP="00657B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bCs/>
          <w:i/>
          <w:color w:val="FF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 xml:space="preserve">Plasty, </w:t>
      </w:r>
      <w:proofErr w:type="spellStart"/>
      <w:r w:rsidRPr="009E5861">
        <w:rPr>
          <w:rFonts w:asciiTheme="minorHAnsi" w:hAnsiTheme="minorHAnsi" w:cstheme="minorHAnsi"/>
          <w:bCs/>
          <w:i/>
          <w:color w:val="000000"/>
        </w:rPr>
        <w:t>PET</w:t>
      </w:r>
      <w:proofErr w:type="spellEnd"/>
      <w:r w:rsidRPr="009E5861">
        <w:rPr>
          <w:rFonts w:asciiTheme="minorHAnsi" w:hAnsiTheme="minorHAnsi" w:cstheme="minorHAnsi"/>
          <w:bCs/>
          <w:i/>
          <w:color w:val="000000"/>
        </w:rPr>
        <w:t xml:space="preserve"> lahve, nápojové kartóny </w:t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="00700CD9"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>barva žlutá</w:t>
      </w:r>
    </w:p>
    <w:p w:rsidR="00D756DD" w:rsidRPr="009E5861" w:rsidRDefault="00D756DD" w:rsidP="00657B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bCs/>
          <w:i/>
          <w:color w:val="000000"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Sklo</w:t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  <w:t>barva zelená a bílá</w:t>
      </w:r>
    </w:p>
    <w:p w:rsidR="00D756DD" w:rsidRPr="009E5861" w:rsidRDefault="00D756DD" w:rsidP="00657BE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bCs/>
          <w:i/>
        </w:rPr>
      </w:pPr>
      <w:r w:rsidRPr="009E5861">
        <w:rPr>
          <w:rFonts w:asciiTheme="minorHAnsi" w:hAnsiTheme="minorHAnsi" w:cstheme="minorHAnsi"/>
          <w:bCs/>
          <w:i/>
          <w:color w:val="000000"/>
        </w:rPr>
        <w:t>Kovy</w:t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</w:r>
      <w:r w:rsidRPr="009E5861">
        <w:rPr>
          <w:rFonts w:asciiTheme="minorHAnsi" w:hAnsiTheme="minorHAnsi" w:cstheme="minorHAnsi"/>
          <w:bCs/>
          <w:i/>
          <w:color w:val="000000"/>
        </w:rPr>
        <w:tab/>
        <w:t xml:space="preserve">barva </w:t>
      </w:r>
      <w:r w:rsidRPr="009E5861">
        <w:rPr>
          <w:rFonts w:asciiTheme="minorHAnsi" w:hAnsiTheme="minorHAnsi" w:cstheme="minorHAnsi"/>
          <w:bCs/>
          <w:i/>
        </w:rPr>
        <w:t>šedá</w:t>
      </w:r>
      <w:r w:rsidRPr="009E5861">
        <w:rPr>
          <w:rFonts w:asciiTheme="minorHAnsi" w:hAnsiTheme="minorHAnsi" w:cstheme="minorHAnsi"/>
          <w:bCs/>
          <w:i/>
          <w:color w:val="00B0F0"/>
        </w:rPr>
        <w:t xml:space="preserve"> </w:t>
      </w:r>
    </w:p>
    <w:p w:rsidR="00D756DD" w:rsidRPr="009E5861" w:rsidRDefault="00D756DD" w:rsidP="00657BEB">
      <w:pPr>
        <w:widowControl/>
        <w:numPr>
          <w:ilvl w:val="0"/>
          <w:numId w:val="10"/>
        </w:numPr>
        <w:spacing w:line="264" w:lineRule="auto"/>
        <w:rPr>
          <w:rFonts w:asciiTheme="minorHAnsi" w:hAnsiTheme="minorHAnsi" w:cstheme="minorHAnsi"/>
          <w:i/>
          <w:iCs/>
          <w:szCs w:val="24"/>
        </w:rPr>
      </w:pPr>
      <w:r w:rsidRPr="009E5861">
        <w:rPr>
          <w:rFonts w:asciiTheme="minorHAnsi" w:hAnsiTheme="minorHAnsi" w:cstheme="minorHAnsi"/>
          <w:i/>
          <w:iCs/>
          <w:szCs w:val="24"/>
        </w:rPr>
        <w:t>Jedlé oleje a tuky</w:t>
      </w:r>
      <w:r w:rsidRPr="009E5861">
        <w:rPr>
          <w:rFonts w:asciiTheme="minorHAnsi" w:hAnsiTheme="minorHAnsi" w:cstheme="minorHAnsi"/>
          <w:i/>
          <w:iCs/>
          <w:szCs w:val="24"/>
        </w:rPr>
        <w:tab/>
      </w:r>
      <w:r w:rsidRPr="009E5861">
        <w:rPr>
          <w:rFonts w:asciiTheme="minorHAnsi" w:hAnsiTheme="minorHAnsi" w:cstheme="minorHAnsi"/>
          <w:i/>
          <w:iCs/>
          <w:szCs w:val="24"/>
        </w:rPr>
        <w:tab/>
      </w:r>
      <w:r w:rsidRPr="009E5861">
        <w:rPr>
          <w:rFonts w:asciiTheme="minorHAnsi" w:hAnsiTheme="minorHAnsi" w:cstheme="minorHAnsi"/>
          <w:i/>
          <w:iCs/>
          <w:szCs w:val="24"/>
        </w:rPr>
        <w:tab/>
      </w:r>
      <w:r w:rsidRPr="009E5861">
        <w:rPr>
          <w:rFonts w:asciiTheme="minorHAnsi" w:hAnsiTheme="minorHAnsi" w:cstheme="minorHAnsi"/>
          <w:i/>
          <w:iCs/>
          <w:szCs w:val="24"/>
        </w:rPr>
        <w:tab/>
        <w:t>barva černá</w:t>
      </w:r>
    </w:p>
    <w:p w:rsidR="00D756DD" w:rsidRPr="009E5861" w:rsidRDefault="00D756DD" w:rsidP="00657BEB">
      <w:pPr>
        <w:widowControl/>
        <w:numPr>
          <w:ilvl w:val="0"/>
          <w:numId w:val="10"/>
        </w:numPr>
        <w:spacing w:line="264" w:lineRule="auto"/>
        <w:rPr>
          <w:rFonts w:asciiTheme="minorHAnsi" w:hAnsiTheme="minorHAnsi" w:cstheme="minorHAnsi"/>
          <w:i/>
          <w:iCs/>
          <w:szCs w:val="24"/>
        </w:rPr>
      </w:pPr>
      <w:r w:rsidRPr="009E5861">
        <w:rPr>
          <w:rFonts w:asciiTheme="minorHAnsi" w:hAnsiTheme="minorHAnsi" w:cstheme="minorHAnsi"/>
          <w:i/>
          <w:iCs/>
          <w:szCs w:val="24"/>
        </w:rPr>
        <w:t>Textil</w:t>
      </w:r>
      <w:r w:rsidR="00C751D5" w:rsidRPr="009E5861">
        <w:rPr>
          <w:rFonts w:asciiTheme="minorHAnsi" w:hAnsiTheme="minorHAnsi" w:cstheme="minorHAnsi"/>
          <w:i/>
          <w:iCs/>
          <w:szCs w:val="24"/>
        </w:rPr>
        <w:t xml:space="preserve"> a oděvy</w:t>
      </w:r>
      <w:r w:rsidRPr="009E5861">
        <w:rPr>
          <w:rFonts w:asciiTheme="minorHAnsi" w:hAnsiTheme="minorHAnsi" w:cstheme="minorHAnsi"/>
          <w:i/>
          <w:iCs/>
          <w:szCs w:val="24"/>
        </w:rPr>
        <w:tab/>
      </w:r>
      <w:r w:rsidRPr="009E5861">
        <w:rPr>
          <w:rFonts w:asciiTheme="minorHAnsi" w:hAnsiTheme="minorHAnsi" w:cstheme="minorHAnsi"/>
          <w:i/>
          <w:iCs/>
          <w:szCs w:val="24"/>
        </w:rPr>
        <w:tab/>
      </w:r>
      <w:r w:rsidRPr="009E5861">
        <w:rPr>
          <w:rFonts w:asciiTheme="minorHAnsi" w:hAnsiTheme="minorHAnsi" w:cstheme="minorHAnsi"/>
          <w:i/>
          <w:iCs/>
          <w:szCs w:val="24"/>
        </w:rPr>
        <w:tab/>
      </w:r>
      <w:r w:rsidRPr="009E5861">
        <w:rPr>
          <w:rFonts w:asciiTheme="minorHAnsi" w:hAnsiTheme="minorHAnsi" w:cstheme="minorHAnsi"/>
          <w:i/>
          <w:iCs/>
          <w:szCs w:val="24"/>
        </w:rPr>
        <w:tab/>
      </w:r>
      <w:r w:rsidRPr="009E5861">
        <w:rPr>
          <w:rFonts w:asciiTheme="minorHAnsi" w:hAnsiTheme="minorHAnsi" w:cstheme="minorHAnsi"/>
          <w:i/>
          <w:iCs/>
          <w:szCs w:val="24"/>
        </w:rPr>
        <w:tab/>
        <w:t>barva bílá a oranžová</w:t>
      </w:r>
    </w:p>
    <w:p w:rsidR="00D756DD" w:rsidRPr="009E5861" w:rsidRDefault="00D756DD" w:rsidP="00657BEB">
      <w:pPr>
        <w:widowControl/>
        <w:numPr>
          <w:ilvl w:val="0"/>
          <w:numId w:val="4"/>
        </w:numPr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Do zvláštních sběrných nádob je zakázáno ukládat jiné složky komunálních odpadů, než pro které jsou určeny.</w:t>
      </w:r>
    </w:p>
    <w:p w:rsidR="00D756DD" w:rsidRPr="009E5861" w:rsidRDefault="00D756DD" w:rsidP="00657BEB">
      <w:pPr>
        <w:widowControl/>
        <w:numPr>
          <w:ilvl w:val="0"/>
          <w:numId w:val="4"/>
        </w:numPr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D756DD" w:rsidRPr="009E5861" w:rsidRDefault="00D756DD" w:rsidP="00657BEB">
      <w:pPr>
        <w:widowControl/>
        <w:numPr>
          <w:ilvl w:val="0"/>
          <w:numId w:val="4"/>
        </w:numPr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Tříděné složky komunálního odpadu viz Čl. 2 odst. 1 lze také odevzdávat </w:t>
      </w:r>
      <w:r w:rsidR="00EC670A" w:rsidRPr="009E5861">
        <w:rPr>
          <w:rFonts w:asciiTheme="minorHAnsi" w:hAnsiTheme="minorHAnsi" w:cstheme="minorHAnsi"/>
          <w:szCs w:val="24"/>
        </w:rPr>
        <w:t xml:space="preserve">v rámci provozní doby </w:t>
      </w:r>
      <w:r w:rsidRPr="009E5861">
        <w:rPr>
          <w:rFonts w:asciiTheme="minorHAnsi" w:hAnsiTheme="minorHAnsi" w:cstheme="minorHAnsi"/>
          <w:szCs w:val="24"/>
        </w:rPr>
        <w:t>ve sběrném dvoře, který je umístěn v ulici Pardubická</w:t>
      </w:r>
      <w:r w:rsidR="00B41935">
        <w:rPr>
          <w:rFonts w:asciiTheme="minorHAnsi" w:hAnsiTheme="minorHAnsi" w:cstheme="minorHAnsi"/>
          <w:szCs w:val="24"/>
        </w:rPr>
        <w:t xml:space="preserve"> </w:t>
      </w:r>
      <w:r w:rsidRPr="009E5861">
        <w:rPr>
          <w:rFonts w:asciiTheme="minorHAnsi" w:hAnsiTheme="minorHAnsi" w:cstheme="minorHAnsi"/>
          <w:szCs w:val="24"/>
        </w:rPr>
        <w:t>1881, Choceň.</w:t>
      </w:r>
    </w:p>
    <w:p w:rsidR="00D756DD" w:rsidRPr="009E5861" w:rsidRDefault="00D756DD" w:rsidP="00657BEB">
      <w:pPr>
        <w:pStyle w:val="Default"/>
        <w:spacing w:line="264" w:lineRule="auto"/>
        <w:ind w:left="360"/>
        <w:rPr>
          <w:rFonts w:asciiTheme="minorHAnsi" w:hAnsiTheme="minorHAnsi" w:cstheme="minorHAnsi"/>
        </w:rPr>
      </w:pPr>
    </w:p>
    <w:p w:rsidR="00D756DD" w:rsidRPr="009E5861" w:rsidRDefault="009E5861" w:rsidP="00657BEB">
      <w:pPr>
        <w:pStyle w:val="Nadpis2"/>
        <w:spacing w:line="264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E5861">
        <w:rPr>
          <w:rFonts w:asciiTheme="minorHAnsi" w:hAnsiTheme="minorHAnsi" w:cstheme="minorHAnsi"/>
          <w:b/>
          <w:bCs/>
          <w:color w:val="auto"/>
          <w:sz w:val="24"/>
          <w:szCs w:val="24"/>
        </w:rPr>
        <w:t>Článek</w:t>
      </w:r>
      <w:r w:rsidR="00D756DD" w:rsidRPr="009E586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4</w:t>
      </w:r>
    </w:p>
    <w:p w:rsidR="00D756DD" w:rsidRPr="009E5861" w:rsidRDefault="00D756DD" w:rsidP="00657BEB">
      <w:pPr>
        <w:pStyle w:val="Nadpis2"/>
        <w:spacing w:line="264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E586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E5861">
        <w:rPr>
          <w:rFonts w:asciiTheme="minorHAnsi" w:hAnsiTheme="minorHAnsi" w:cstheme="minorHAnsi"/>
          <w:b/>
          <w:bCs/>
          <w:color w:val="auto"/>
          <w:sz w:val="24"/>
          <w:szCs w:val="24"/>
        </w:rPr>
        <w:t>Svoz nebezpečných složek komunálního odpadu</w:t>
      </w:r>
    </w:p>
    <w:p w:rsidR="00D756DD" w:rsidRPr="009E5861" w:rsidRDefault="00D756DD" w:rsidP="00657BEB">
      <w:pPr>
        <w:widowControl/>
        <w:numPr>
          <w:ilvl w:val="0"/>
          <w:numId w:val="8"/>
        </w:numPr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Nebezpečný odpad lze odevzdávat </w:t>
      </w:r>
      <w:r w:rsidR="008C3BEB" w:rsidRPr="009E5861">
        <w:rPr>
          <w:rFonts w:asciiTheme="minorHAnsi" w:hAnsiTheme="minorHAnsi" w:cstheme="minorHAnsi"/>
          <w:szCs w:val="24"/>
        </w:rPr>
        <w:t xml:space="preserve">v rámci provozní doby </w:t>
      </w:r>
      <w:r w:rsidRPr="009E5861">
        <w:rPr>
          <w:rFonts w:asciiTheme="minorHAnsi" w:hAnsiTheme="minorHAnsi" w:cstheme="minorHAnsi"/>
          <w:szCs w:val="24"/>
        </w:rPr>
        <w:t>ve sběrném dvoře, který je umístěn v ulici Pardubická</w:t>
      </w:r>
      <w:r w:rsidR="00700CD9" w:rsidRPr="009E5861">
        <w:rPr>
          <w:rFonts w:asciiTheme="minorHAnsi" w:hAnsiTheme="minorHAnsi" w:cstheme="minorHAnsi"/>
          <w:szCs w:val="24"/>
        </w:rPr>
        <w:t xml:space="preserve"> </w:t>
      </w:r>
      <w:r w:rsidRPr="009E5861">
        <w:rPr>
          <w:rFonts w:asciiTheme="minorHAnsi" w:hAnsiTheme="minorHAnsi" w:cstheme="minorHAnsi"/>
          <w:szCs w:val="24"/>
        </w:rPr>
        <w:t xml:space="preserve">1881, Choceň. </w:t>
      </w:r>
    </w:p>
    <w:p w:rsidR="00D756DD" w:rsidRPr="009E5861" w:rsidRDefault="00D756DD" w:rsidP="00657BEB">
      <w:pPr>
        <w:widowControl/>
        <w:numPr>
          <w:ilvl w:val="0"/>
          <w:numId w:val="8"/>
        </w:numPr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Soustřeďování nebezpečných složek komunálního odpadu podléhá požadavkům stanoveným v čl. 3 odst. 4 a 5.</w:t>
      </w:r>
    </w:p>
    <w:p w:rsidR="00D756DD" w:rsidRPr="009E5861" w:rsidRDefault="009E5861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Článek</w:t>
      </w:r>
      <w:r w:rsidR="00D756DD" w:rsidRPr="009E5861">
        <w:rPr>
          <w:rFonts w:asciiTheme="minorHAnsi" w:hAnsiTheme="minorHAnsi" w:cstheme="minorHAnsi"/>
          <w:b/>
          <w:szCs w:val="24"/>
        </w:rPr>
        <w:t xml:space="preserve"> 5</w:t>
      </w:r>
    </w:p>
    <w:p w:rsidR="00D756DD" w:rsidRPr="009E5861" w:rsidRDefault="00D756DD" w:rsidP="00657BEB">
      <w:pPr>
        <w:spacing w:line="264" w:lineRule="auto"/>
        <w:jc w:val="center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 xml:space="preserve"> Soustřeďování objemného odpadu</w:t>
      </w:r>
    </w:p>
    <w:p w:rsidR="00D756DD" w:rsidRPr="009E5861" w:rsidRDefault="00D756DD" w:rsidP="00657BEB">
      <w:pPr>
        <w:widowControl/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color w:val="00B0F0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Objemný odpad se odevzdává </w:t>
      </w:r>
      <w:r w:rsidR="008C3BEB" w:rsidRPr="009E5861">
        <w:rPr>
          <w:rFonts w:asciiTheme="minorHAnsi" w:hAnsiTheme="minorHAnsi" w:cstheme="minorHAnsi"/>
          <w:szCs w:val="24"/>
        </w:rPr>
        <w:t xml:space="preserve">v rámci provozní doby </w:t>
      </w:r>
      <w:r w:rsidRPr="009E5861">
        <w:rPr>
          <w:rFonts w:asciiTheme="minorHAnsi" w:hAnsiTheme="minorHAnsi" w:cstheme="minorHAnsi"/>
          <w:szCs w:val="24"/>
        </w:rPr>
        <w:t>ve sběrném dvoře, který je umístěn v ulici Pardubická</w:t>
      </w:r>
      <w:r w:rsidR="00922556" w:rsidRPr="009E5861">
        <w:rPr>
          <w:rFonts w:asciiTheme="minorHAnsi" w:hAnsiTheme="minorHAnsi" w:cstheme="minorHAnsi"/>
          <w:szCs w:val="24"/>
        </w:rPr>
        <w:t xml:space="preserve"> </w:t>
      </w:r>
      <w:r w:rsidRPr="009E5861">
        <w:rPr>
          <w:rFonts w:asciiTheme="minorHAnsi" w:hAnsiTheme="minorHAnsi" w:cstheme="minorHAnsi"/>
          <w:szCs w:val="24"/>
        </w:rPr>
        <w:t xml:space="preserve">1881, Choceň. </w:t>
      </w:r>
    </w:p>
    <w:p w:rsidR="00D756DD" w:rsidRPr="009E5861" w:rsidRDefault="00D756DD" w:rsidP="00657BEB">
      <w:pPr>
        <w:widowControl/>
        <w:numPr>
          <w:ilvl w:val="0"/>
          <w:numId w:val="5"/>
        </w:numPr>
        <w:tabs>
          <w:tab w:val="left" w:pos="567"/>
        </w:tabs>
        <w:spacing w:line="264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Soustřeďování objemného odpadu podléhá požadavkům stanoveným v čl. 3 odst. 4 a 5. </w:t>
      </w:r>
    </w:p>
    <w:p w:rsidR="00D756DD" w:rsidRPr="009E5861" w:rsidRDefault="00D756DD" w:rsidP="00657BEB">
      <w:pPr>
        <w:spacing w:line="264" w:lineRule="auto"/>
        <w:rPr>
          <w:rFonts w:asciiTheme="minorHAnsi" w:hAnsiTheme="minorHAnsi" w:cstheme="minorHAnsi"/>
          <w:b/>
          <w:szCs w:val="24"/>
        </w:rPr>
      </w:pPr>
    </w:p>
    <w:p w:rsidR="006978DE" w:rsidRDefault="006978DE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</w:p>
    <w:p w:rsidR="00657BEB" w:rsidRDefault="00657BEB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/>
      </w:r>
    </w:p>
    <w:p w:rsidR="00D756DD" w:rsidRPr="009E5861" w:rsidRDefault="009E5861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bookmarkStart w:id="0" w:name="_Hlk112849597"/>
      <w:r w:rsidRPr="009E5861">
        <w:rPr>
          <w:rFonts w:asciiTheme="minorHAnsi" w:hAnsiTheme="minorHAnsi" w:cstheme="minorHAnsi"/>
          <w:b/>
          <w:szCs w:val="24"/>
        </w:rPr>
        <w:lastRenderedPageBreak/>
        <w:t>Článek</w:t>
      </w:r>
      <w:r w:rsidR="00D756DD" w:rsidRPr="009E5861">
        <w:rPr>
          <w:rFonts w:asciiTheme="minorHAnsi" w:hAnsiTheme="minorHAnsi" w:cstheme="minorHAnsi"/>
          <w:b/>
          <w:szCs w:val="24"/>
        </w:rPr>
        <w:t xml:space="preserve"> 6</w:t>
      </w:r>
    </w:p>
    <w:p w:rsidR="00D756DD" w:rsidRPr="009E5861" w:rsidRDefault="00D756DD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 xml:space="preserve">Soustřeďování směsného komunálního odpadu </w:t>
      </w:r>
    </w:p>
    <w:p w:rsidR="00D756DD" w:rsidRPr="009E5861" w:rsidRDefault="00D756DD" w:rsidP="00657BEB">
      <w:pPr>
        <w:numPr>
          <w:ilvl w:val="0"/>
          <w:numId w:val="13"/>
        </w:numPr>
        <w:spacing w:line="264" w:lineRule="auto"/>
        <w:ind w:left="426" w:hanging="426"/>
        <w:jc w:val="both"/>
        <w:rPr>
          <w:rFonts w:asciiTheme="minorHAnsi" w:hAnsiTheme="minorHAnsi" w:cstheme="minorHAnsi"/>
          <w:strike/>
          <w:color w:val="00B0F0"/>
          <w:szCs w:val="24"/>
        </w:rPr>
      </w:pPr>
      <w:r w:rsidRPr="009E5861">
        <w:rPr>
          <w:rFonts w:asciiTheme="minorHAnsi" w:hAnsiTheme="minorHAnsi" w:cstheme="minorHAnsi"/>
          <w:szCs w:val="24"/>
        </w:rPr>
        <w:t>Směsný komunální odpad se odkládá do sběrných nádob. Pro účely této vyhlášky se sběrnými nádobami rozumějí:</w:t>
      </w:r>
    </w:p>
    <w:p w:rsidR="00D756DD" w:rsidRPr="009E5861" w:rsidRDefault="00D756DD" w:rsidP="00657BEB">
      <w:pPr>
        <w:widowControl/>
        <w:numPr>
          <w:ilvl w:val="0"/>
          <w:numId w:val="3"/>
        </w:numPr>
        <w:tabs>
          <w:tab w:val="clear" w:pos="360"/>
          <w:tab w:val="num" w:pos="709"/>
        </w:tabs>
        <w:spacing w:line="264" w:lineRule="auto"/>
        <w:ind w:left="709" w:hanging="283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bCs/>
          <w:szCs w:val="24"/>
        </w:rPr>
        <w:t>typizované sběrné nádoby o objemu 110l, 120l, 240l a 1100l označené identifikační známkou</w:t>
      </w:r>
    </w:p>
    <w:p w:rsidR="00D756DD" w:rsidRPr="009E5861" w:rsidRDefault="00D756DD" w:rsidP="00657BEB">
      <w:pPr>
        <w:widowControl/>
        <w:numPr>
          <w:ilvl w:val="0"/>
          <w:numId w:val="3"/>
        </w:numPr>
        <w:tabs>
          <w:tab w:val="clear" w:pos="360"/>
        </w:tabs>
        <w:spacing w:line="264" w:lineRule="auto"/>
        <w:ind w:left="709" w:hanging="283"/>
        <w:jc w:val="both"/>
        <w:rPr>
          <w:rFonts w:asciiTheme="minorHAnsi" w:hAnsiTheme="minorHAnsi" w:cstheme="minorHAnsi"/>
          <w:color w:val="00B0F0"/>
          <w:szCs w:val="24"/>
        </w:rPr>
      </w:pPr>
      <w:r w:rsidRPr="009E5861">
        <w:rPr>
          <w:rFonts w:asciiTheme="minorHAnsi" w:hAnsiTheme="minorHAnsi" w:cstheme="minorHAnsi"/>
          <w:szCs w:val="24"/>
        </w:rPr>
        <w:t>odpadkové koše, které jsou umístěny na veřejných prostranstvích v obci, sloužící pro odkládání drobného směsného komunálního odpadu.</w:t>
      </w:r>
    </w:p>
    <w:p w:rsidR="00D756DD" w:rsidRPr="009E5861" w:rsidRDefault="00D756DD" w:rsidP="00657BEB">
      <w:pPr>
        <w:widowControl/>
        <w:numPr>
          <w:ilvl w:val="0"/>
          <w:numId w:val="13"/>
        </w:numPr>
        <w:spacing w:line="264" w:lineRule="auto"/>
        <w:ind w:left="426" w:hanging="426"/>
        <w:jc w:val="both"/>
        <w:rPr>
          <w:rFonts w:asciiTheme="minorHAnsi" w:hAnsiTheme="minorHAnsi" w:cstheme="minorHAnsi"/>
          <w:color w:val="00B0F0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Soustřeďování směsného komunálního odpadu podléhá požadavkům stanoveným </w:t>
      </w:r>
      <w:r w:rsidRPr="009E5861">
        <w:rPr>
          <w:rFonts w:asciiTheme="minorHAnsi" w:hAnsiTheme="minorHAnsi" w:cstheme="minorHAnsi"/>
          <w:szCs w:val="24"/>
        </w:rPr>
        <w:br/>
        <w:t xml:space="preserve">v čl. 3 odst. 4 a 5. </w:t>
      </w:r>
    </w:p>
    <w:bookmarkEnd w:id="0"/>
    <w:p w:rsidR="00EF25D9" w:rsidRDefault="00EF25D9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</w:p>
    <w:p w:rsidR="00EF25D9" w:rsidRPr="009E5861" w:rsidRDefault="00EF25D9" w:rsidP="00EF25D9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 xml:space="preserve">Článek </w:t>
      </w:r>
      <w:r>
        <w:rPr>
          <w:rFonts w:asciiTheme="minorHAnsi" w:hAnsiTheme="minorHAnsi" w:cstheme="minorHAnsi"/>
          <w:b/>
          <w:szCs w:val="24"/>
        </w:rPr>
        <w:t>7</w:t>
      </w:r>
    </w:p>
    <w:p w:rsidR="00616D8C" w:rsidRDefault="00EF25D9" w:rsidP="00EF25D9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Nakládání s </w:t>
      </w:r>
      <w:r w:rsidRPr="009E5861">
        <w:rPr>
          <w:rFonts w:asciiTheme="minorHAnsi" w:hAnsiTheme="minorHAnsi" w:cstheme="minorHAnsi"/>
          <w:b/>
          <w:szCs w:val="24"/>
        </w:rPr>
        <w:t>komunální</w:t>
      </w:r>
      <w:r>
        <w:rPr>
          <w:rFonts w:asciiTheme="minorHAnsi" w:hAnsiTheme="minorHAnsi" w:cstheme="minorHAnsi"/>
          <w:b/>
          <w:szCs w:val="24"/>
        </w:rPr>
        <w:t>m</w:t>
      </w:r>
      <w:r w:rsidRPr="009E5861">
        <w:rPr>
          <w:rFonts w:asciiTheme="minorHAnsi" w:hAnsiTheme="minorHAnsi" w:cstheme="minorHAnsi"/>
          <w:b/>
          <w:szCs w:val="24"/>
        </w:rPr>
        <w:t xml:space="preserve"> odpad</w:t>
      </w:r>
      <w:r>
        <w:rPr>
          <w:rFonts w:asciiTheme="minorHAnsi" w:hAnsiTheme="minorHAnsi" w:cstheme="minorHAnsi"/>
          <w:b/>
          <w:szCs w:val="24"/>
        </w:rPr>
        <w:t xml:space="preserve">em vznikajícím na území obce při činnosti </w:t>
      </w:r>
    </w:p>
    <w:p w:rsidR="00EF25D9" w:rsidRPr="003231FA" w:rsidRDefault="00EF25D9" w:rsidP="00EF25D9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právnických a </w:t>
      </w:r>
      <w:r w:rsidRPr="003231FA">
        <w:rPr>
          <w:rFonts w:asciiTheme="minorHAnsi" w:hAnsiTheme="minorHAnsi" w:cstheme="minorHAnsi"/>
          <w:b/>
          <w:szCs w:val="24"/>
        </w:rPr>
        <w:t xml:space="preserve">podnikajících fyzických osob </w:t>
      </w:r>
    </w:p>
    <w:p w:rsidR="003231FA" w:rsidRPr="003231FA" w:rsidRDefault="003231FA" w:rsidP="003231FA">
      <w:pPr>
        <w:pStyle w:val="Odstavecseseznamem"/>
        <w:numPr>
          <w:ilvl w:val="0"/>
          <w:numId w:val="22"/>
        </w:numPr>
        <w:jc w:val="both"/>
        <w:rPr>
          <w:rFonts w:asciiTheme="minorHAnsi" w:eastAsiaTheme="minorHAnsi" w:hAnsiTheme="minorHAnsi" w:cstheme="minorHAnsi"/>
          <w:lang w:eastAsia="en-US"/>
        </w:rPr>
      </w:pPr>
      <w:r w:rsidRPr="003231FA">
        <w:rPr>
          <w:rFonts w:asciiTheme="minorHAnsi" w:eastAsiaTheme="minorHAnsi" w:hAnsiTheme="minorHAnsi" w:cstheme="minorHAnsi"/>
          <w:lang w:eastAsia="en-US"/>
        </w:rPr>
        <w:t>Do obecního systému se mohou na základě písemné smlouvy zapojit právnické a podnikající fyzické osoby, které mohou předávat komunální odpad dle čl. 2 odst. 1 písm. b), c), d), e) této vyhlášky</w:t>
      </w:r>
    </w:p>
    <w:p w:rsidR="003231FA" w:rsidRPr="003231FA" w:rsidRDefault="003231FA" w:rsidP="003231FA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ab/>
      </w:r>
      <w:r w:rsidRPr="003231FA">
        <w:rPr>
          <w:rFonts w:asciiTheme="minorHAnsi" w:eastAsiaTheme="minorHAnsi" w:hAnsiTheme="minorHAnsi" w:cstheme="minorHAnsi"/>
          <w:lang w:eastAsia="en-US"/>
        </w:rPr>
        <w:t xml:space="preserve">a) do nádob, které jsou barevně odlišeny a označeny příslušnými nápisy a umístěny na </w:t>
      </w:r>
      <w:r w:rsidRPr="003231FA">
        <w:rPr>
          <w:rFonts w:asciiTheme="minorHAnsi" w:eastAsiaTheme="minorHAnsi" w:hAnsiTheme="minorHAnsi" w:cstheme="minorHAnsi"/>
          <w:lang w:eastAsia="en-US"/>
        </w:rPr>
        <w:tab/>
        <w:t>stanovištích, jejichž seznam je uveřejněn na webových stránkách obce:</w:t>
      </w:r>
    </w:p>
    <w:p w:rsidR="003231FA" w:rsidRDefault="003231FA" w:rsidP="003231FA">
      <w:pPr>
        <w:spacing w:after="10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ab/>
      </w:r>
      <w:hyperlink r:id="rId9" w:history="1">
        <w:r w:rsidRPr="00D61AC8">
          <w:rPr>
            <w:rStyle w:val="Hypertextovodkaz"/>
            <w:rFonts w:asciiTheme="minorHAnsi" w:eastAsiaTheme="minorHAnsi" w:hAnsiTheme="minorHAnsi" w:cstheme="minorHAnsi"/>
            <w:lang w:eastAsia="en-US"/>
          </w:rPr>
          <w:t>https://www.chocen.cz/sberna-mista-odpadu/ms-38376/p1=38376</w:t>
        </w:r>
      </w:hyperlink>
    </w:p>
    <w:p w:rsidR="003231FA" w:rsidRDefault="003231FA" w:rsidP="003231FA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ab/>
      </w:r>
      <w:r w:rsidRPr="003231FA">
        <w:rPr>
          <w:rFonts w:asciiTheme="minorHAnsi" w:eastAsiaTheme="minorHAnsi" w:hAnsiTheme="minorHAnsi" w:cstheme="minorHAnsi"/>
          <w:lang w:eastAsia="en-US"/>
        </w:rPr>
        <w:t xml:space="preserve">b) v rámci provozní doby ve sběrném dvoře Technických služeb Choceň, který je umístěn </w:t>
      </w:r>
      <w:r w:rsidRPr="003231FA">
        <w:rPr>
          <w:rFonts w:asciiTheme="minorHAnsi" w:eastAsiaTheme="minorHAnsi" w:hAnsiTheme="minorHAnsi" w:cstheme="minorHAnsi"/>
          <w:lang w:eastAsia="en-US"/>
        </w:rPr>
        <w:tab/>
        <w:t>v ulici Pardubická 1881, Choceň.</w:t>
      </w:r>
    </w:p>
    <w:p w:rsidR="003231FA" w:rsidRDefault="003231FA" w:rsidP="003231FA">
      <w:pPr>
        <w:pStyle w:val="Odstavecseseznamem"/>
        <w:numPr>
          <w:ilvl w:val="0"/>
          <w:numId w:val="22"/>
        </w:num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Výše úhrady za zapojení do obecního systému se stanoví podle ceníku, který schvaluje Rada města a je zveřejněn na webových stránkách města. </w:t>
      </w:r>
    </w:p>
    <w:p w:rsidR="003231FA" w:rsidRPr="00B41935" w:rsidRDefault="003231FA" w:rsidP="003231FA">
      <w:pPr>
        <w:pStyle w:val="Odstavecseseznamem"/>
        <w:numPr>
          <w:ilvl w:val="0"/>
          <w:numId w:val="22"/>
        </w:numPr>
        <w:rPr>
          <w:rFonts w:asciiTheme="minorHAnsi" w:eastAsiaTheme="minorHAnsi" w:hAnsiTheme="minorHAnsi" w:cstheme="minorHAnsi"/>
          <w:lang w:eastAsia="en-US"/>
        </w:rPr>
      </w:pPr>
      <w:r w:rsidRPr="00B41935">
        <w:rPr>
          <w:rFonts w:asciiTheme="minorHAnsi" w:eastAsiaTheme="minorHAnsi" w:hAnsiTheme="minorHAnsi" w:cstheme="minorHAnsi"/>
          <w:lang w:eastAsia="en-US"/>
        </w:rPr>
        <w:t xml:space="preserve">Úhrada se vybírá měsíčně na základě vystavené faktury, a to převodem na účet města. </w:t>
      </w:r>
    </w:p>
    <w:p w:rsidR="006978DE" w:rsidRDefault="006978DE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bookmarkStart w:id="1" w:name="_GoBack"/>
      <w:bookmarkEnd w:id="1"/>
    </w:p>
    <w:p w:rsidR="00D756DD" w:rsidRPr="009E5861" w:rsidRDefault="009E5861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Článek</w:t>
      </w:r>
      <w:r w:rsidR="00D756DD" w:rsidRPr="009E5861">
        <w:rPr>
          <w:rFonts w:asciiTheme="minorHAnsi" w:hAnsiTheme="minorHAnsi" w:cstheme="minorHAnsi"/>
          <w:b/>
          <w:szCs w:val="24"/>
        </w:rPr>
        <w:t xml:space="preserve"> </w:t>
      </w:r>
      <w:r w:rsidR="003231FA">
        <w:rPr>
          <w:rFonts w:asciiTheme="minorHAnsi" w:hAnsiTheme="minorHAnsi" w:cstheme="minorHAnsi"/>
          <w:b/>
          <w:szCs w:val="24"/>
        </w:rPr>
        <w:t>8</w:t>
      </w:r>
    </w:p>
    <w:p w:rsidR="00D756DD" w:rsidRPr="009E5861" w:rsidRDefault="00D756DD" w:rsidP="00657BEB">
      <w:pPr>
        <w:pStyle w:val="Nadpis2"/>
        <w:spacing w:line="264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9E5861">
        <w:rPr>
          <w:rFonts w:asciiTheme="minorHAnsi" w:hAnsiTheme="minorHAnsi" w:cstheme="minorHAnsi"/>
          <w:b/>
          <w:bCs/>
          <w:color w:val="auto"/>
          <w:sz w:val="24"/>
          <w:szCs w:val="24"/>
        </w:rPr>
        <w:t>Nakládání s výrobky s ukončenou životností v rámci služby pro výrobce</w:t>
      </w:r>
      <w:r w:rsidR="00657BE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9E5861">
        <w:rPr>
          <w:rFonts w:asciiTheme="minorHAnsi" w:hAnsiTheme="minorHAnsi" w:cstheme="minorHAnsi"/>
          <w:b/>
          <w:bCs/>
          <w:color w:val="auto"/>
          <w:sz w:val="24"/>
          <w:szCs w:val="24"/>
        </w:rPr>
        <w:t>(zpětný odběr)</w:t>
      </w:r>
    </w:p>
    <w:p w:rsidR="00D756DD" w:rsidRPr="009E5861" w:rsidRDefault="00D756DD" w:rsidP="00657BEB">
      <w:pPr>
        <w:widowControl/>
        <w:numPr>
          <w:ilvl w:val="0"/>
          <w:numId w:val="14"/>
        </w:numPr>
        <w:autoSpaceDE w:val="0"/>
        <w:autoSpaceDN w:val="0"/>
        <w:adjustRightInd w:val="0"/>
        <w:spacing w:line="264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Obec v rámci služby pro výrobce nakládá s těmito výrobky s ukončenou životností: </w:t>
      </w:r>
    </w:p>
    <w:p w:rsidR="00D756DD" w:rsidRPr="009E5861" w:rsidRDefault="00D756DD" w:rsidP="00657BEB">
      <w:pPr>
        <w:autoSpaceDE w:val="0"/>
        <w:autoSpaceDN w:val="0"/>
        <w:adjustRightInd w:val="0"/>
        <w:spacing w:line="264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a) elektrozařízení</w:t>
      </w:r>
    </w:p>
    <w:p w:rsidR="00D756DD" w:rsidRPr="009E5861" w:rsidRDefault="00D756DD" w:rsidP="00657BEB">
      <w:pPr>
        <w:autoSpaceDE w:val="0"/>
        <w:autoSpaceDN w:val="0"/>
        <w:adjustRightInd w:val="0"/>
        <w:spacing w:line="264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b) baterie a akumulátory</w:t>
      </w:r>
    </w:p>
    <w:p w:rsidR="00D756DD" w:rsidRPr="009E5861" w:rsidRDefault="00D756DD" w:rsidP="00657BEB">
      <w:pPr>
        <w:autoSpaceDE w:val="0"/>
        <w:autoSpaceDN w:val="0"/>
        <w:adjustRightInd w:val="0"/>
        <w:spacing w:line="264" w:lineRule="auto"/>
        <w:ind w:left="720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c) světelné zdroje </w:t>
      </w:r>
    </w:p>
    <w:p w:rsidR="00D756DD" w:rsidRPr="009E5861" w:rsidRDefault="00D756DD" w:rsidP="00657BEB">
      <w:pPr>
        <w:widowControl/>
        <w:numPr>
          <w:ilvl w:val="0"/>
          <w:numId w:val="14"/>
        </w:numPr>
        <w:tabs>
          <w:tab w:val="num" w:pos="709"/>
        </w:tabs>
        <w:autoSpaceDE w:val="0"/>
        <w:autoSpaceDN w:val="0"/>
        <w:adjustRightInd w:val="0"/>
        <w:spacing w:line="264" w:lineRule="auto"/>
        <w:ind w:left="360" w:hanging="426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Výrobky s ukončenou životností uvedené v odst. 1 lze předávat:</w:t>
      </w:r>
    </w:p>
    <w:p w:rsidR="00D756DD" w:rsidRPr="009E5861" w:rsidRDefault="00D756DD" w:rsidP="00657BEB">
      <w:pPr>
        <w:tabs>
          <w:tab w:val="num" w:pos="1276"/>
        </w:tabs>
        <w:spacing w:line="264" w:lineRule="auto"/>
        <w:ind w:left="709" w:hanging="283"/>
        <w:jc w:val="both"/>
        <w:rPr>
          <w:rFonts w:asciiTheme="minorHAnsi" w:hAnsiTheme="minorHAnsi" w:cstheme="minorHAnsi"/>
          <w:i/>
          <w:szCs w:val="24"/>
        </w:rPr>
      </w:pPr>
      <w:r w:rsidRPr="009E5861">
        <w:rPr>
          <w:rStyle w:val="Zdraznn"/>
          <w:rFonts w:asciiTheme="minorHAnsi" w:hAnsiTheme="minorHAnsi" w:cstheme="minorHAnsi"/>
          <w:i w:val="0"/>
          <w:color w:val="000000"/>
          <w:szCs w:val="24"/>
          <w:shd w:val="clear" w:color="auto" w:fill="FFFFFF"/>
        </w:rPr>
        <w:t xml:space="preserve">a) elektrozařízení, baterie a akumulátory a světelné zdroje lze odevzdávat </w:t>
      </w:r>
      <w:r w:rsidR="00EC670A" w:rsidRPr="009E5861">
        <w:rPr>
          <w:rStyle w:val="Zdraznn"/>
          <w:rFonts w:asciiTheme="minorHAnsi" w:hAnsiTheme="minorHAnsi" w:cstheme="minorHAnsi"/>
          <w:i w:val="0"/>
          <w:color w:val="000000"/>
          <w:szCs w:val="24"/>
          <w:shd w:val="clear" w:color="auto" w:fill="FFFFFF"/>
        </w:rPr>
        <w:t xml:space="preserve">v rámci provozní doby </w:t>
      </w:r>
      <w:r w:rsidRPr="009E5861">
        <w:rPr>
          <w:rStyle w:val="Zdraznn"/>
          <w:rFonts w:asciiTheme="minorHAnsi" w:hAnsiTheme="minorHAnsi" w:cstheme="minorHAnsi"/>
          <w:i w:val="0"/>
          <w:color w:val="000000"/>
          <w:szCs w:val="24"/>
          <w:shd w:val="clear" w:color="auto" w:fill="FFFFFF"/>
        </w:rPr>
        <w:t>ve sběrném dvoře, který je umístěn v ulici Pardubická1881, Choceň.</w:t>
      </w:r>
      <w:r w:rsidRPr="009E5861">
        <w:rPr>
          <w:rFonts w:asciiTheme="minorHAnsi" w:hAnsiTheme="minorHAnsi" w:cstheme="minorHAnsi"/>
          <w:i/>
          <w:color w:val="000000"/>
          <w:szCs w:val="24"/>
          <w:shd w:val="clear" w:color="auto" w:fill="FFFFFF"/>
        </w:rPr>
        <w:t xml:space="preserve">  </w:t>
      </w:r>
    </w:p>
    <w:p w:rsidR="00424C22" w:rsidRPr="009E5861" w:rsidRDefault="00D756DD" w:rsidP="00657BEB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r w:rsidRPr="009E5861">
        <w:rPr>
          <w:rStyle w:val="Zdraznn"/>
          <w:rFonts w:asciiTheme="minorHAnsi" w:hAnsiTheme="minorHAnsi" w:cstheme="minorHAnsi"/>
          <w:i w:val="0"/>
          <w:color w:val="000000"/>
          <w:szCs w:val="24"/>
          <w:shd w:val="clear" w:color="auto" w:fill="FFFFFF"/>
        </w:rPr>
        <w:t xml:space="preserve">b) drobné elektrozařízení a baterie (mimo televize, monitory a zářivky) do sběrných kontejnerů červené barvy. </w:t>
      </w:r>
      <w:r w:rsidRPr="009E5861">
        <w:rPr>
          <w:rStyle w:val="Zdraznn"/>
          <w:rFonts w:asciiTheme="minorHAnsi" w:hAnsiTheme="minorHAnsi" w:cstheme="minorHAnsi"/>
          <w:color w:val="000000"/>
          <w:szCs w:val="24"/>
          <w:shd w:val="clear" w:color="auto" w:fill="FFFFFF"/>
        </w:rPr>
        <w:t>K</w:t>
      </w:r>
      <w:r w:rsidRPr="009E5861">
        <w:rPr>
          <w:rFonts w:asciiTheme="minorHAnsi" w:hAnsiTheme="minorHAnsi" w:cstheme="minorHAnsi"/>
          <w:color w:val="000000"/>
          <w:szCs w:val="24"/>
          <w:shd w:val="clear" w:color="auto" w:fill="FFFFFF"/>
        </w:rPr>
        <w:t>ontejnery jsou umístěny na stanovištích, která jsou zveřejněna na webových stránkách města pod odkazem:</w:t>
      </w:r>
    </w:p>
    <w:p w:rsidR="00D756DD" w:rsidRPr="009E5861" w:rsidRDefault="00467579" w:rsidP="00657BEB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Theme="minorHAnsi" w:hAnsiTheme="minorHAnsi" w:cstheme="minorHAnsi"/>
          <w:color w:val="000000"/>
          <w:szCs w:val="24"/>
          <w:shd w:val="clear" w:color="auto" w:fill="FFFFFF"/>
        </w:rPr>
      </w:pPr>
      <w:hyperlink r:id="rId10" w:history="1">
        <w:r w:rsidR="009321AC" w:rsidRPr="009E5861">
          <w:rPr>
            <w:rStyle w:val="Hypertextovodkaz"/>
            <w:rFonts w:asciiTheme="minorHAnsi" w:hAnsiTheme="minorHAnsi" w:cstheme="minorHAnsi"/>
            <w:szCs w:val="24"/>
            <w:shd w:val="clear" w:color="auto" w:fill="FFFFFF"/>
          </w:rPr>
          <w:t>https://www.chocen.cz/sberna-mista-odpadu/ms-38376/p1=38376</w:t>
        </w:r>
      </w:hyperlink>
    </w:p>
    <w:p w:rsidR="009321AC" w:rsidRPr="009E5861" w:rsidRDefault="009321AC" w:rsidP="00657BEB">
      <w:pPr>
        <w:tabs>
          <w:tab w:val="num" w:pos="927"/>
          <w:tab w:val="num" w:pos="1276"/>
        </w:tabs>
        <w:spacing w:line="264" w:lineRule="auto"/>
        <w:ind w:left="709" w:hanging="283"/>
        <w:jc w:val="both"/>
        <w:rPr>
          <w:rFonts w:asciiTheme="minorHAnsi" w:hAnsiTheme="minorHAnsi" w:cstheme="minorHAnsi"/>
          <w:i/>
          <w:szCs w:val="24"/>
        </w:rPr>
      </w:pPr>
    </w:p>
    <w:p w:rsidR="00CD0093" w:rsidRPr="009E5861" w:rsidRDefault="00657BEB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657BEB">
        <w:rPr>
          <w:rFonts w:asciiTheme="minorHAnsi" w:hAnsiTheme="minorHAnsi" w:cstheme="minorHAnsi"/>
          <w:b/>
          <w:szCs w:val="24"/>
        </w:rPr>
        <w:t xml:space="preserve">Článek </w:t>
      </w:r>
      <w:r w:rsidR="003231FA">
        <w:rPr>
          <w:rFonts w:asciiTheme="minorHAnsi" w:hAnsiTheme="minorHAnsi" w:cstheme="minorHAnsi"/>
          <w:b/>
          <w:szCs w:val="24"/>
        </w:rPr>
        <w:t>9</w:t>
      </w:r>
    </w:p>
    <w:p w:rsidR="00CD0093" w:rsidRPr="009E5861" w:rsidRDefault="00CD0093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Nakládání se zeminou a kameny</w:t>
      </w:r>
    </w:p>
    <w:p w:rsidR="00CD0093" w:rsidRPr="009E5861" w:rsidRDefault="00CD0093" w:rsidP="00657BEB">
      <w:pPr>
        <w:widowControl/>
        <w:numPr>
          <w:ilvl w:val="0"/>
          <w:numId w:val="17"/>
        </w:numPr>
        <w:spacing w:line="264" w:lineRule="auto"/>
        <w:jc w:val="both"/>
        <w:rPr>
          <w:rFonts w:asciiTheme="minorHAnsi" w:hAnsiTheme="minorHAnsi" w:cstheme="minorHAnsi"/>
          <w:color w:val="00B0F0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Zemina a kameny se odevzdávají v rámci provozní doby ve sběrném dvoře, který je umístěn v ulici Pardubická1881, Choceň. </w:t>
      </w:r>
    </w:p>
    <w:p w:rsidR="00CD0093" w:rsidRPr="009E5861" w:rsidRDefault="00CD0093" w:rsidP="00657BEB">
      <w:pPr>
        <w:widowControl/>
        <w:numPr>
          <w:ilvl w:val="0"/>
          <w:numId w:val="17"/>
        </w:numPr>
        <w:tabs>
          <w:tab w:val="left" w:pos="567"/>
        </w:tabs>
        <w:spacing w:line="264" w:lineRule="auto"/>
        <w:ind w:left="0" w:firstLine="0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Soustřeďování zemin</w:t>
      </w:r>
      <w:r w:rsidR="00B65BF3" w:rsidRPr="009E5861">
        <w:rPr>
          <w:rFonts w:asciiTheme="minorHAnsi" w:hAnsiTheme="minorHAnsi" w:cstheme="minorHAnsi"/>
          <w:szCs w:val="24"/>
        </w:rPr>
        <w:t>y</w:t>
      </w:r>
      <w:r w:rsidRPr="009E5861">
        <w:rPr>
          <w:rFonts w:asciiTheme="minorHAnsi" w:hAnsiTheme="minorHAnsi" w:cstheme="minorHAnsi"/>
          <w:szCs w:val="24"/>
        </w:rPr>
        <w:t xml:space="preserve"> a kamení podléhá požadavkům stanoveným v čl. 3 odst. 4 a 5. </w:t>
      </w:r>
    </w:p>
    <w:p w:rsidR="00424C22" w:rsidRPr="009E5861" w:rsidRDefault="00424C22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</w:p>
    <w:p w:rsidR="00D756DD" w:rsidRPr="009E5861" w:rsidRDefault="00657BEB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657BEB">
        <w:rPr>
          <w:rFonts w:asciiTheme="minorHAnsi" w:hAnsiTheme="minorHAnsi" w:cstheme="minorHAnsi"/>
          <w:b/>
          <w:szCs w:val="24"/>
        </w:rPr>
        <w:lastRenderedPageBreak/>
        <w:t xml:space="preserve">Článek </w:t>
      </w:r>
      <w:r w:rsidR="003231FA">
        <w:rPr>
          <w:rFonts w:asciiTheme="minorHAnsi" w:hAnsiTheme="minorHAnsi" w:cstheme="minorHAnsi"/>
          <w:b/>
          <w:szCs w:val="24"/>
        </w:rPr>
        <w:t>10</w:t>
      </w:r>
    </w:p>
    <w:p w:rsidR="00D756DD" w:rsidRPr="009E5861" w:rsidRDefault="00D756DD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Nakládání se stavebním a demoličním odpadem</w:t>
      </w:r>
    </w:p>
    <w:p w:rsidR="00D756DD" w:rsidRPr="009E5861" w:rsidRDefault="00D756DD" w:rsidP="00657BEB">
      <w:pPr>
        <w:widowControl/>
        <w:numPr>
          <w:ilvl w:val="0"/>
          <w:numId w:val="15"/>
        </w:numPr>
        <w:spacing w:line="264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Stavebním odpadem a demoličním odpadem se rozumí odpad vznikající při stavebních </w:t>
      </w:r>
      <w:r w:rsidRPr="009E5861">
        <w:rPr>
          <w:rFonts w:asciiTheme="minorHAnsi" w:hAnsiTheme="minorHAnsi" w:cstheme="minorHAnsi"/>
          <w:szCs w:val="24"/>
        </w:rPr>
        <w:br/>
        <w:t>a demoličních činnostech nepodnikajících fyzických osob. Stavební a demoliční odpad není odpadem komunálním.</w:t>
      </w:r>
    </w:p>
    <w:p w:rsidR="00D756DD" w:rsidRPr="009E5861" w:rsidRDefault="00D756DD" w:rsidP="00657BEB">
      <w:pPr>
        <w:widowControl/>
        <w:numPr>
          <w:ilvl w:val="0"/>
          <w:numId w:val="15"/>
        </w:numPr>
        <w:spacing w:line="264" w:lineRule="auto"/>
        <w:ind w:left="426" w:hanging="426"/>
        <w:jc w:val="both"/>
        <w:rPr>
          <w:rFonts w:asciiTheme="minorHAnsi" w:hAnsiTheme="minorHAnsi" w:cstheme="minorHAnsi"/>
          <w:i/>
          <w:szCs w:val="24"/>
        </w:rPr>
      </w:pPr>
      <w:r w:rsidRPr="009E5861">
        <w:rPr>
          <w:rFonts w:asciiTheme="minorHAnsi" w:hAnsiTheme="minorHAnsi" w:cstheme="minorHAnsi"/>
          <w:szCs w:val="24"/>
        </w:rPr>
        <w:t>Stavební a demoliční odpad lze</w:t>
      </w:r>
      <w:r w:rsidR="00CE71F1" w:rsidRPr="009E5861">
        <w:rPr>
          <w:rFonts w:asciiTheme="minorHAnsi" w:hAnsiTheme="minorHAnsi" w:cstheme="minorHAnsi"/>
          <w:szCs w:val="24"/>
        </w:rPr>
        <w:t xml:space="preserve"> dle stanovených limitu</w:t>
      </w:r>
      <w:r w:rsidRPr="009E5861">
        <w:rPr>
          <w:rFonts w:asciiTheme="minorHAnsi" w:hAnsiTheme="minorHAnsi" w:cstheme="minorHAnsi"/>
          <w:szCs w:val="24"/>
        </w:rPr>
        <w:t xml:space="preserve"> předávat </w:t>
      </w:r>
      <w:r w:rsidR="00CE71F1" w:rsidRPr="009E5861">
        <w:rPr>
          <w:rFonts w:asciiTheme="minorHAnsi" w:hAnsiTheme="minorHAnsi" w:cstheme="minorHAnsi"/>
          <w:szCs w:val="24"/>
        </w:rPr>
        <w:t xml:space="preserve">v rámci </w:t>
      </w:r>
      <w:r w:rsidR="000C4610" w:rsidRPr="009E5861">
        <w:rPr>
          <w:rFonts w:asciiTheme="minorHAnsi" w:hAnsiTheme="minorHAnsi" w:cstheme="minorHAnsi"/>
          <w:szCs w:val="24"/>
        </w:rPr>
        <w:t>provozní doby</w:t>
      </w:r>
      <w:r w:rsidR="00CE71F1" w:rsidRPr="009E5861">
        <w:rPr>
          <w:rFonts w:asciiTheme="minorHAnsi" w:hAnsiTheme="minorHAnsi" w:cstheme="minorHAnsi"/>
          <w:szCs w:val="24"/>
        </w:rPr>
        <w:t xml:space="preserve"> </w:t>
      </w:r>
      <w:r w:rsidRPr="009E5861">
        <w:rPr>
          <w:rFonts w:asciiTheme="minorHAnsi" w:hAnsiTheme="minorHAnsi" w:cstheme="minorHAnsi"/>
          <w:szCs w:val="24"/>
        </w:rPr>
        <w:t>ve sběrném dvoře, který je umístěn v ulici Pardubická</w:t>
      </w:r>
      <w:r w:rsidR="00B41935">
        <w:rPr>
          <w:rFonts w:asciiTheme="minorHAnsi" w:hAnsiTheme="minorHAnsi" w:cstheme="minorHAnsi"/>
          <w:szCs w:val="24"/>
        </w:rPr>
        <w:t xml:space="preserve"> </w:t>
      </w:r>
      <w:r w:rsidRPr="009E5861">
        <w:rPr>
          <w:rFonts w:asciiTheme="minorHAnsi" w:hAnsiTheme="minorHAnsi" w:cstheme="minorHAnsi"/>
          <w:szCs w:val="24"/>
        </w:rPr>
        <w:t>1881, Choceň</w:t>
      </w:r>
      <w:r w:rsidR="00CE71F1" w:rsidRPr="009E5861">
        <w:rPr>
          <w:rFonts w:asciiTheme="minorHAnsi" w:hAnsiTheme="minorHAnsi" w:cstheme="minorHAnsi"/>
          <w:szCs w:val="24"/>
        </w:rPr>
        <w:t>.</w:t>
      </w:r>
      <w:r w:rsidRPr="009E5861">
        <w:rPr>
          <w:rFonts w:asciiTheme="minorHAnsi" w:hAnsiTheme="minorHAnsi" w:cstheme="minorHAnsi"/>
          <w:i/>
          <w:color w:val="00B0F0"/>
          <w:szCs w:val="24"/>
        </w:rPr>
        <w:t xml:space="preserve"> </w:t>
      </w:r>
    </w:p>
    <w:p w:rsidR="00D756DD" w:rsidRPr="009E5861" w:rsidRDefault="00D756DD" w:rsidP="00657BEB">
      <w:pPr>
        <w:widowControl/>
        <w:numPr>
          <w:ilvl w:val="0"/>
          <w:numId w:val="15"/>
        </w:numPr>
        <w:spacing w:line="264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 xml:space="preserve">Fyzické osoby mohou předávat stavební a demoliční odpad na určených místech při jednotlivých předáních o maximální hmotnosti </w:t>
      </w:r>
      <w:r w:rsidR="005665DE" w:rsidRPr="009E5861">
        <w:rPr>
          <w:rFonts w:asciiTheme="minorHAnsi" w:hAnsiTheme="minorHAnsi" w:cstheme="minorHAnsi"/>
          <w:szCs w:val="24"/>
        </w:rPr>
        <w:t>5</w:t>
      </w:r>
      <w:r w:rsidRPr="009E5861">
        <w:rPr>
          <w:rFonts w:asciiTheme="minorHAnsi" w:hAnsiTheme="minorHAnsi" w:cstheme="minorHAnsi"/>
          <w:szCs w:val="24"/>
        </w:rPr>
        <w:t xml:space="preserve">00 kg. Celková maximální hmotnost přebíraného stavebního a demoličního odpadu činí od jednotlivých fyzických osob </w:t>
      </w:r>
      <w:r w:rsidR="005665DE" w:rsidRPr="009E5861">
        <w:rPr>
          <w:rFonts w:asciiTheme="minorHAnsi" w:hAnsiTheme="minorHAnsi" w:cstheme="minorHAnsi"/>
          <w:szCs w:val="24"/>
        </w:rPr>
        <w:t>6</w:t>
      </w:r>
      <w:r w:rsidRPr="009E5861">
        <w:rPr>
          <w:rFonts w:asciiTheme="minorHAnsi" w:hAnsiTheme="minorHAnsi" w:cstheme="minorHAnsi"/>
          <w:szCs w:val="24"/>
        </w:rPr>
        <w:t xml:space="preserve"> 000 kg/osobu/rok.</w:t>
      </w:r>
    </w:p>
    <w:p w:rsidR="002B66B2" w:rsidRPr="009E5861" w:rsidRDefault="002B66B2" w:rsidP="00657BEB">
      <w:pPr>
        <w:spacing w:line="264" w:lineRule="auto"/>
        <w:rPr>
          <w:rFonts w:asciiTheme="minorHAnsi" w:hAnsiTheme="minorHAnsi" w:cstheme="minorHAnsi"/>
          <w:b/>
          <w:szCs w:val="24"/>
        </w:rPr>
      </w:pPr>
    </w:p>
    <w:p w:rsidR="00D756DD" w:rsidRPr="009E5861" w:rsidRDefault="00657BEB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657BEB">
        <w:rPr>
          <w:rFonts w:asciiTheme="minorHAnsi" w:hAnsiTheme="minorHAnsi" w:cstheme="minorHAnsi"/>
          <w:b/>
          <w:szCs w:val="24"/>
        </w:rPr>
        <w:t>Článek</w:t>
      </w:r>
      <w:r w:rsidR="00D756DD" w:rsidRPr="009E5861">
        <w:rPr>
          <w:rFonts w:asciiTheme="minorHAnsi" w:hAnsiTheme="minorHAnsi" w:cstheme="minorHAnsi"/>
          <w:b/>
          <w:szCs w:val="24"/>
        </w:rPr>
        <w:t xml:space="preserve"> 1</w:t>
      </w:r>
      <w:r w:rsidR="003231FA">
        <w:rPr>
          <w:rFonts w:asciiTheme="minorHAnsi" w:hAnsiTheme="minorHAnsi" w:cstheme="minorHAnsi"/>
          <w:b/>
          <w:szCs w:val="24"/>
        </w:rPr>
        <w:t>1</w:t>
      </w:r>
    </w:p>
    <w:p w:rsidR="00D756DD" w:rsidRPr="009E5861" w:rsidRDefault="00D756DD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9E5861">
        <w:rPr>
          <w:rFonts w:asciiTheme="minorHAnsi" w:hAnsiTheme="minorHAnsi" w:cstheme="minorHAnsi"/>
          <w:b/>
          <w:szCs w:val="24"/>
        </w:rPr>
        <w:t>Zrušovací ustanovení</w:t>
      </w:r>
    </w:p>
    <w:p w:rsidR="00D756DD" w:rsidRPr="009E5861" w:rsidRDefault="00D756DD" w:rsidP="00657BEB">
      <w:pPr>
        <w:spacing w:before="120" w:line="264" w:lineRule="auto"/>
        <w:jc w:val="both"/>
        <w:rPr>
          <w:rFonts w:asciiTheme="minorHAnsi" w:hAnsiTheme="minorHAnsi" w:cstheme="minorHAnsi"/>
          <w:szCs w:val="24"/>
        </w:rPr>
      </w:pPr>
      <w:bookmarkStart w:id="2" w:name="_Hlk54595723"/>
      <w:r w:rsidRPr="009E5861">
        <w:rPr>
          <w:rFonts w:asciiTheme="minorHAnsi" w:hAnsiTheme="minorHAnsi" w:cstheme="minorHAnsi"/>
          <w:szCs w:val="24"/>
        </w:rPr>
        <w:t xml:space="preserve">Zrušuje se obecně závazná vyhláška </w:t>
      </w:r>
      <w:bookmarkEnd w:id="2"/>
      <w:r w:rsidRPr="009E5861">
        <w:rPr>
          <w:rFonts w:asciiTheme="minorHAnsi" w:hAnsiTheme="minorHAnsi" w:cstheme="minorHAnsi"/>
          <w:szCs w:val="24"/>
        </w:rPr>
        <w:t xml:space="preserve">č. </w:t>
      </w:r>
      <w:r w:rsidR="002B66B2">
        <w:rPr>
          <w:rFonts w:asciiTheme="minorHAnsi" w:hAnsiTheme="minorHAnsi" w:cstheme="minorHAnsi"/>
          <w:szCs w:val="24"/>
        </w:rPr>
        <w:t>3</w:t>
      </w:r>
      <w:r w:rsidRPr="009E5861">
        <w:rPr>
          <w:rFonts w:asciiTheme="minorHAnsi" w:hAnsiTheme="minorHAnsi" w:cstheme="minorHAnsi"/>
          <w:szCs w:val="24"/>
        </w:rPr>
        <w:t>/</w:t>
      </w:r>
      <w:r w:rsidR="002B66B2">
        <w:rPr>
          <w:rFonts w:asciiTheme="minorHAnsi" w:hAnsiTheme="minorHAnsi" w:cstheme="minorHAnsi"/>
          <w:szCs w:val="24"/>
        </w:rPr>
        <w:t>2022</w:t>
      </w:r>
      <w:r w:rsidR="004B538A">
        <w:rPr>
          <w:rFonts w:asciiTheme="minorHAnsi" w:hAnsiTheme="minorHAnsi" w:cstheme="minorHAnsi"/>
          <w:szCs w:val="24"/>
        </w:rPr>
        <w:t>,</w:t>
      </w:r>
      <w:r w:rsidRPr="009E5861">
        <w:rPr>
          <w:rFonts w:asciiTheme="minorHAnsi" w:hAnsiTheme="minorHAnsi" w:cstheme="minorHAnsi"/>
          <w:szCs w:val="24"/>
        </w:rPr>
        <w:t xml:space="preserve"> </w:t>
      </w:r>
      <w:r w:rsidR="004B538A">
        <w:rPr>
          <w:rFonts w:asciiTheme="minorHAnsi" w:hAnsiTheme="minorHAnsi" w:cstheme="minorHAnsi"/>
          <w:szCs w:val="24"/>
        </w:rPr>
        <w:t>O</w:t>
      </w:r>
      <w:r w:rsidRPr="009E5861">
        <w:rPr>
          <w:rFonts w:asciiTheme="minorHAnsi" w:hAnsiTheme="minorHAnsi" w:cstheme="minorHAnsi"/>
          <w:szCs w:val="24"/>
        </w:rPr>
        <w:t xml:space="preserve"> stanovení </w:t>
      </w:r>
      <w:r w:rsidR="004B538A">
        <w:rPr>
          <w:rFonts w:asciiTheme="minorHAnsi" w:hAnsiTheme="minorHAnsi" w:cstheme="minorHAnsi"/>
          <w:szCs w:val="24"/>
        </w:rPr>
        <w:t xml:space="preserve">obecního </w:t>
      </w:r>
      <w:r w:rsidRPr="009E5861">
        <w:rPr>
          <w:rFonts w:asciiTheme="minorHAnsi" w:hAnsiTheme="minorHAnsi" w:cstheme="minorHAnsi"/>
          <w:szCs w:val="24"/>
        </w:rPr>
        <w:t xml:space="preserve">systému </w:t>
      </w:r>
      <w:r w:rsidR="004B538A">
        <w:rPr>
          <w:rFonts w:asciiTheme="minorHAnsi" w:hAnsiTheme="minorHAnsi" w:cstheme="minorHAnsi"/>
          <w:szCs w:val="24"/>
        </w:rPr>
        <w:t>odpadového hospodářství</w:t>
      </w:r>
      <w:r w:rsidRPr="009E5861">
        <w:rPr>
          <w:rFonts w:asciiTheme="minorHAnsi" w:hAnsiTheme="minorHAnsi" w:cstheme="minorHAnsi"/>
          <w:szCs w:val="24"/>
        </w:rPr>
        <w:t xml:space="preserve">, schválená Zastupitelstvem města Choceň usnesením č. </w:t>
      </w:r>
      <w:r w:rsidR="004B538A">
        <w:rPr>
          <w:rFonts w:asciiTheme="minorHAnsi" w:hAnsiTheme="minorHAnsi" w:cstheme="minorHAnsi"/>
          <w:szCs w:val="24"/>
        </w:rPr>
        <w:t>504/30/</w:t>
      </w:r>
      <w:proofErr w:type="spellStart"/>
      <w:r w:rsidR="004B538A">
        <w:rPr>
          <w:rFonts w:asciiTheme="minorHAnsi" w:hAnsiTheme="minorHAnsi" w:cstheme="minorHAnsi"/>
          <w:szCs w:val="24"/>
        </w:rPr>
        <w:t>ZM</w:t>
      </w:r>
      <w:proofErr w:type="spellEnd"/>
      <w:r w:rsidR="004B538A">
        <w:rPr>
          <w:rFonts w:asciiTheme="minorHAnsi" w:hAnsiTheme="minorHAnsi" w:cstheme="minorHAnsi"/>
          <w:szCs w:val="24"/>
        </w:rPr>
        <w:t>/2022</w:t>
      </w:r>
      <w:r w:rsidRPr="009E5861">
        <w:rPr>
          <w:rFonts w:asciiTheme="minorHAnsi" w:hAnsiTheme="minorHAnsi" w:cstheme="minorHAnsi"/>
          <w:szCs w:val="24"/>
        </w:rPr>
        <w:t xml:space="preserve"> ze dne </w:t>
      </w:r>
      <w:r w:rsidR="004B538A">
        <w:rPr>
          <w:rFonts w:asciiTheme="minorHAnsi" w:hAnsiTheme="minorHAnsi" w:cstheme="minorHAnsi"/>
          <w:szCs w:val="24"/>
        </w:rPr>
        <w:br/>
      </w:r>
      <w:r w:rsidRPr="009E5861">
        <w:rPr>
          <w:rFonts w:asciiTheme="minorHAnsi" w:hAnsiTheme="minorHAnsi" w:cstheme="minorHAnsi"/>
          <w:szCs w:val="24"/>
        </w:rPr>
        <w:t xml:space="preserve">27. </w:t>
      </w:r>
      <w:r w:rsidR="004B538A">
        <w:rPr>
          <w:rFonts w:asciiTheme="minorHAnsi" w:hAnsiTheme="minorHAnsi" w:cstheme="minorHAnsi"/>
          <w:szCs w:val="24"/>
        </w:rPr>
        <w:t>června 2022</w:t>
      </w:r>
      <w:r w:rsidRPr="009E5861">
        <w:rPr>
          <w:rFonts w:asciiTheme="minorHAnsi" w:hAnsiTheme="minorHAnsi" w:cstheme="minorHAnsi"/>
          <w:szCs w:val="24"/>
        </w:rPr>
        <w:t>.</w:t>
      </w:r>
    </w:p>
    <w:p w:rsidR="00922556" w:rsidRPr="009E5861" w:rsidRDefault="00922556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</w:p>
    <w:p w:rsidR="00D756DD" w:rsidRPr="009E5861" w:rsidRDefault="00657BEB" w:rsidP="00657BEB">
      <w:pPr>
        <w:spacing w:line="264" w:lineRule="auto"/>
        <w:jc w:val="center"/>
        <w:rPr>
          <w:rFonts w:asciiTheme="minorHAnsi" w:hAnsiTheme="minorHAnsi" w:cstheme="minorHAnsi"/>
          <w:b/>
          <w:szCs w:val="24"/>
        </w:rPr>
      </w:pPr>
      <w:r w:rsidRPr="00657BEB">
        <w:rPr>
          <w:rFonts w:asciiTheme="minorHAnsi" w:hAnsiTheme="minorHAnsi" w:cstheme="minorHAnsi"/>
          <w:b/>
          <w:szCs w:val="24"/>
        </w:rPr>
        <w:t>Článek</w:t>
      </w:r>
      <w:r w:rsidR="00D756DD" w:rsidRPr="009E5861">
        <w:rPr>
          <w:rFonts w:asciiTheme="minorHAnsi" w:hAnsiTheme="minorHAnsi" w:cstheme="minorHAnsi"/>
          <w:b/>
          <w:szCs w:val="24"/>
        </w:rPr>
        <w:t xml:space="preserve"> 1</w:t>
      </w:r>
      <w:r w:rsidR="003231FA">
        <w:rPr>
          <w:rFonts w:asciiTheme="minorHAnsi" w:hAnsiTheme="minorHAnsi" w:cstheme="minorHAnsi"/>
          <w:b/>
          <w:szCs w:val="24"/>
        </w:rPr>
        <w:t>2</w:t>
      </w:r>
    </w:p>
    <w:p w:rsidR="00D756DD" w:rsidRPr="009E5861" w:rsidRDefault="00D756DD" w:rsidP="00657BEB">
      <w:pPr>
        <w:pStyle w:val="Nzvylnk"/>
        <w:spacing w:before="0" w:after="0" w:line="264" w:lineRule="auto"/>
        <w:rPr>
          <w:rFonts w:asciiTheme="minorHAnsi" w:hAnsiTheme="minorHAnsi" w:cstheme="minorHAnsi"/>
          <w:szCs w:val="24"/>
        </w:rPr>
      </w:pPr>
      <w:r w:rsidRPr="009E5861">
        <w:rPr>
          <w:rFonts w:asciiTheme="minorHAnsi" w:hAnsiTheme="minorHAnsi" w:cstheme="minorHAnsi"/>
          <w:szCs w:val="24"/>
        </w:rPr>
        <w:t>Účinnost</w:t>
      </w:r>
    </w:p>
    <w:p w:rsidR="00D756DD" w:rsidRPr="009E5861" w:rsidRDefault="00D756DD" w:rsidP="00657BEB">
      <w:pPr>
        <w:spacing w:before="120" w:line="264" w:lineRule="auto"/>
        <w:jc w:val="both"/>
        <w:rPr>
          <w:rFonts w:asciiTheme="minorHAnsi" w:hAnsiTheme="minorHAnsi" w:cstheme="minorHAnsi"/>
          <w:szCs w:val="24"/>
        </w:rPr>
      </w:pPr>
      <w:bookmarkStart w:id="3" w:name="_Hlk112827943"/>
      <w:r w:rsidRPr="009E5861">
        <w:rPr>
          <w:rFonts w:asciiTheme="minorHAnsi" w:hAnsiTheme="minorHAnsi" w:cstheme="minorHAnsi"/>
          <w:szCs w:val="24"/>
        </w:rPr>
        <w:t>Tato vyhláška nabývá účinnosti počátkem patnáctého dne následujícího po dni jejího vyhlášení.</w:t>
      </w:r>
    </w:p>
    <w:bookmarkEnd w:id="3"/>
    <w:p w:rsidR="00D756DD" w:rsidRPr="009E5861" w:rsidRDefault="00D756DD" w:rsidP="00657BEB">
      <w:pPr>
        <w:spacing w:before="120" w:line="264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:rsidR="00324DD9" w:rsidRPr="009E5861" w:rsidRDefault="00324DD9" w:rsidP="00657BEB">
      <w:pPr>
        <w:spacing w:before="120" w:line="264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:rsidR="00D756DD" w:rsidRPr="009E5861" w:rsidRDefault="00D756DD" w:rsidP="00657BEB">
      <w:pPr>
        <w:spacing w:before="120" w:line="264" w:lineRule="auto"/>
        <w:jc w:val="both"/>
        <w:rPr>
          <w:rFonts w:asciiTheme="minorHAnsi" w:hAnsiTheme="minorHAnsi" w:cstheme="minorHAnsi"/>
          <w:szCs w:val="24"/>
        </w:rPr>
      </w:pPr>
    </w:p>
    <w:p w:rsidR="00D756DD" w:rsidRPr="009E5861" w:rsidRDefault="00D756DD" w:rsidP="00657BEB">
      <w:pPr>
        <w:spacing w:line="264" w:lineRule="auto"/>
        <w:ind w:firstLine="708"/>
        <w:rPr>
          <w:rFonts w:asciiTheme="minorHAnsi" w:hAnsiTheme="minorHAnsi" w:cstheme="minorHAnsi"/>
          <w:bCs/>
          <w:i/>
          <w:szCs w:val="24"/>
        </w:rPr>
      </w:pP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  <w:r w:rsidRPr="009E5861">
        <w:rPr>
          <w:rFonts w:asciiTheme="minorHAnsi" w:hAnsiTheme="minorHAnsi" w:cstheme="minorHAnsi"/>
          <w:bCs/>
          <w:i/>
          <w:szCs w:val="24"/>
        </w:rPr>
        <w:tab/>
      </w:r>
    </w:p>
    <w:p w:rsidR="00922556" w:rsidRPr="009E5861" w:rsidRDefault="00922556" w:rsidP="00657BEB">
      <w:pPr>
        <w:spacing w:line="264" w:lineRule="auto"/>
        <w:ind w:left="708"/>
        <w:rPr>
          <w:rFonts w:asciiTheme="minorHAnsi" w:hAnsiTheme="minorHAnsi" w:cstheme="minorHAnsi"/>
          <w:bCs/>
          <w:szCs w:val="24"/>
        </w:rPr>
      </w:pPr>
      <w:r w:rsidRPr="009E5861">
        <w:rPr>
          <w:rFonts w:asciiTheme="minorHAnsi" w:hAnsiTheme="minorHAnsi" w:cstheme="minorHAnsi"/>
          <w:bCs/>
          <w:szCs w:val="24"/>
        </w:rPr>
        <w:t>. . . . . . . . . . . . . . . . . . . . . . . . .</w:t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Pr="009E5861">
        <w:rPr>
          <w:rFonts w:asciiTheme="minorHAnsi" w:hAnsiTheme="minorHAnsi" w:cstheme="minorHAnsi"/>
          <w:bCs/>
          <w:szCs w:val="24"/>
        </w:rPr>
        <w:t>. . . . . . . . . . . . . . . . . . . . . . . . .</w:t>
      </w:r>
    </w:p>
    <w:p w:rsidR="00922556" w:rsidRPr="009E5861" w:rsidRDefault="00922556" w:rsidP="00657BEB">
      <w:pPr>
        <w:spacing w:line="264" w:lineRule="auto"/>
        <w:ind w:left="708"/>
        <w:rPr>
          <w:rFonts w:asciiTheme="minorHAnsi" w:hAnsiTheme="minorHAnsi" w:cstheme="minorHAnsi"/>
          <w:bCs/>
          <w:szCs w:val="24"/>
        </w:rPr>
      </w:pPr>
      <w:r w:rsidRPr="009E5861">
        <w:rPr>
          <w:rFonts w:asciiTheme="minorHAnsi" w:hAnsiTheme="minorHAnsi" w:cstheme="minorHAnsi"/>
          <w:bCs/>
          <w:szCs w:val="24"/>
        </w:rPr>
        <w:tab/>
      </w:r>
      <w:r w:rsidR="00324DD9" w:rsidRPr="009E5861">
        <w:rPr>
          <w:rFonts w:asciiTheme="minorHAnsi" w:hAnsiTheme="minorHAnsi" w:cstheme="minorHAnsi"/>
          <w:bCs/>
          <w:szCs w:val="24"/>
        </w:rPr>
        <w:t>Jiří Hejzlar</w:t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324DD9" w:rsidRPr="009E5861">
        <w:rPr>
          <w:rFonts w:asciiTheme="minorHAnsi" w:hAnsiTheme="minorHAnsi" w:cstheme="minorHAnsi"/>
          <w:bCs/>
          <w:szCs w:val="24"/>
        </w:rPr>
        <w:t>Ing. Jan Ropek</w:t>
      </w:r>
    </w:p>
    <w:p w:rsidR="00D756DD" w:rsidRPr="009E5861" w:rsidRDefault="00922556" w:rsidP="00657BEB">
      <w:pPr>
        <w:spacing w:line="264" w:lineRule="auto"/>
        <w:ind w:left="708"/>
        <w:rPr>
          <w:rFonts w:asciiTheme="minorHAnsi" w:hAnsiTheme="minorHAnsi" w:cstheme="minorHAnsi"/>
          <w:bCs/>
          <w:szCs w:val="24"/>
        </w:rPr>
      </w:pPr>
      <w:r w:rsidRPr="009E5861">
        <w:rPr>
          <w:rFonts w:asciiTheme="minorHAnsi" w:hAnsiTheme="minorHAnsi" w:cstheme="minorHAnsi"/>
          <w:bCs/>
          <w:szCs w:val="24"/>
        </w:rPr>
        <w:t xml:space="preserve">           </w:t>
      </w:r>
      <w:r w:rsidR="00D756DD" w:rsidRPr="009E5861">
        <w:rPr>
          <w:rFonts w:asciiTheme="minorHAnsi" w:hAnsiTheme="minorHAnsi" w:cstheme="minorHAnsi"/>
          <w:bCs/>
          <w:szCs w:val="24"/>
        </w:rPr>
        <w:t>místostarosta</w:t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="00D756DD" w:rsidRPr="009E5861">
        <w:rPr>
          <w:rFonts w:asciiTheme="minorHAnsi" w:hAnsiTheme="minorHAnsi" w:cstheme="minorHAnsi"/>
          <w:bCs/>
          <w:szCs w:val="24"/>
        </w:rPr>
        <w:tab/>
      </w:r>
      <w:r w:rsidRPr="009E5861">
        <w:rPr>
          <w:rFonts w:asciiTheme="minorHAnsi" w:hAnsiTheme="minorHAnsi" w:cstheme="minorHAnsi"/>
          <w:bCs/>
          <w:szCs w:val="24"/>
        </w:rPr>
        <w:t xml:space="preserve"> </w:t>
      </w:r>
      <w:r w:rsidR="00324DD9" w:rsidRPr="009E5861">
        <w:rPr>
          <w:rFonts w:asciiTheme="minorHAnsi" w:hAnsiTheme="minorHAnsi" w:cstheme="minorHAnsi"/>
          <w:bCs/>
          <w:szCs w:val="24"/>
        </w:rPr>
        <w:t xml:space="preserve">    </w:t>
      </w:r>
      <w:r w:rsidR="00D756DD" w:rsidRPr="009E5861">
        <w:rPr>
          <w:rFonts w:asciiTheme="minorHAnsi" w:hAnsiTheme="minorHAnsi" w:cstheme="minorHAnsi"/>
          <w:bCs/>
          <w:szCs w:val="24"/>
        </w:rPr>
        <w:t>starosta</w:t>
      </w:r>
    </w:p>
    <w:p w:rsidR="00D756DD" w:rsidRPr="00922556" w:rsidRDefault="00D756DD" w:rsidP="00657BEB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D756DD" w:rsidRPr="00922556" w:rsidRDefault="00D756DD" w:rsidP="00657BEB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D756DD" w:rsidRPr="00700CD9" w:rsidRDefault="00D756DD" w:rsidP="00657BEB">
      <w:pPr>
        <w:pStyle w:val="Zkladntext"/>
        <w:tabs>
          <w:tab w:val="left" w:pos="1080"/>
          <w:tab w:val="left" w:pos="702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D756DD" w:rsidRPr="00700CD9" w:rsidRDefault="00D756DD" w:rsidP="00657BEB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062826" w:rsidRPr="00700CD9" w:rsidRDefault="00062826" w:rsidP="00D756DD">
      <w:pPr>
        <w:tabs>
          <w:tab w:val="left" w:pos="9498"/>
        </w:tabs>
        <w:jc w:val="center"/>
        <w:rPr>
          <w:rFonts w:asciiTheme="minorHAnsi" w:hAnsiTheme="minorHAnsi" w:cstheme="minorHAnsi"/>
          <w:b/>
        </w:rPr>
      </w:pPr>
    </w:p>
    <w:sectPr w:rsidR="00062826" w:rsidRPr="00700CD9" w:rsidSect="00657BEB">
      <w:footerReference w:type="default" r:id="rId11"/>
      <w:headerReference w:type="first" r:id="rId12"/>
      <w:type w:val="continuous"/>
      <w:pgSz w:w="11907" w:h="16840" w:code="9"/>
      <w:pgMar w:top="1134" w:right="1134" w:bottom="851" w:left="1134" w:header="709" w:footer="4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579" w:rsidRDefault="00467579" w:rsidP="009332B3">
      <w:r>
        <w:separator/>
      </w:r>
    </w:p>
  </w:endnote>
  <w:endnote w:type="continuationSeparator" w:id="0">
    <w:p w:rsidR="00467579" w:rsidRDefault="00467579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83" w:rsidRDefault="00503C83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3F54D1">
          <w:fldChar w:fldCharType="begin"/>
        </w:r>
        <w:r w:rsidR="003F54D1">
          <w:instrText xml:space="preserve"> PAGE   \* MERGEFORMAT </w:instrText>
        </w:r>
        <w:r w:rsidR="003F54D1">
          <w:fldChar w:fldCharType="separate"/>
        </w:r>
        <w:r w:rsidR="00424C22">
          <w:rPr>
            <w:noProof/>
          </w:rPr>
          <w:t>4</w:t>
        </w:r>
        <w:r w:rsidR="003F54D1">
          <w:rPr>
            <w:noProof/>
          </w:rPr>
          <w:fldChar w:fldCharType="end"/>
        </w:r>
      </w:sdtContent>
    </w:sdt>
  </w:p>
  <w:p w:rsidR="00503C83" w:rsidRDefault="00503C83">
    <w:pPr>
      <w:pStyle w:val="Zpat"/>
    </w:pPr>
  </w:p>
  <w:p w:rsidR="00A04282" w:rsidRDefault="00A04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579" w:rsidRDefault="00467579" w:rsidP="009332B3">
      <w:r>
        <w:separator/>
      </w:r>
    </w:p>
  </w:footnote>
  <w:footnote w:type="continuationSeparator" w:id="0">
    <w:p w:rsidR="00467579" w:rsidRDefault="00467579" w:rsidP="009332B3">
      <w:r>
        <w:continuationSeparator/>
      </w:r>
    </w:p>
  </w:footnote>
  <w:footnote w:id="1">
    <w:p w:rsidR="00D756DD" w:rsidRPr="00DF28D8" w:rsidRDefault="00D756DD" w:rsidP="00D756D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D756DD" w:rsidRDefault="00D756DD" w:rsidP="00D756D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5861" w:rsidRPr="006C651D" w:rsidRDefault="009E5861" w:rsidP="009E5861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6C651D">
      <w:rPr>
        <w:rFonts w:asciiTheme="minorHAnsi" w:hAnsiTheme="minorHAnsi" w:cstheme="minorHAnsi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9264" behindDoc="0" locked="0" layoutInCell="1" allowOverlap="1" wp14:anchorId="1E583C4C" wp14:editId="3A0DF093">
          <wp:simplePos x="0" y="0"/>
          <wp:positionH relativeFrom="page">
            <wp:posOffset>857250</wp:posOffset>
          </wp:positionH>
          <wp:positionV relativeFrom="page">
            <wp:posOffset>412750</wp:posOffset>
          </wp:positionV>
          <wp:extent cx="628650" cy="768350"/>
          <wp:effectExtent l="19050" t="0" r="0" b="0"/>
          <wp:wrapNone/>
          <wp:docPr id="2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651D">
      <w:rPr>
        <w:rFonts w:asciiTheme="minorHAnsi" w:hAnsiTheme="minorHAnsi" w:cstheme="minorHAnsi"/>
        <w:b/>
        <w:spacing w:val="60"/>
        <w:sz w:val="40"/>
        <w:szCs w:val="40"/>
      </w:rPr>
      <w:t>MĚSTO CHOCEŇ</w:t>
    </w:r>
  </w:p>
  <w:p w:rsidR="009E5861" w:rsidRPr="00E05935" w:rsidRDefault="009E5861" w:rsidP="009E5861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b/>
        <w:szCs w:val="24"/>
      </w:rPr>
    </w:pPr>
    <w:r w:rsidRPr="00E05935">
      <w:rPr>
        <w:rFonts w:asciiTheme="minorHAnsi" w:hAnsiTheme="minorHAnsi" w:cstheme="minorHAnsi"/>
        <w:b/>
        <w:szCs w:val="24"/>
      </w:rPr>
      <w:t>ZASTUPITELSTVO MĚSTA CHOCEŇ</w:t>
    </w:r>
  </w:p>
  <w:p w:rsidR="00503C83" w:rsidRDefault="009E5861" w:rsidP="009E5861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  <w:r w:rsidRPr="006C651D">
      <w:rPr>
        <w:rFonts w:asciiTheme="minorHAnsi" w:hAnsiTheme="minorHAnsi" w:cstheme="minorHAnsi"/>
        <w:szCs w:val="24"/>
      </w:rPr>
      <w:t xml:space="preserve">Jungmannova 301, 565 </w:t>
    </w:r>
    <w:r w:rsidR="001B402D">
      <w:rPr>
        <w:rFonts w:asciiTheme="minorHAnsi" w:hAnsiTheme="minorHAnsi" w:cstheme="minorHAnsi"/>
        <w:szCs w:val="24"/>
      </w:rPr>
      <w:t>0</w:t>
    </w:r>
    <w:r w:rsidRPr="006C651D">
      <w:rPr>
        <w:rFonts w:asciiTheme="minorHAnsi" w:hAnsiTheme="minorHAnsi" w:cstheme="minorHAnsi"/>
        <w:szCs w:val="24"/>
      </w:rPr>
      <w:t>1 Choce</w:t>
    </w:r>
    <w:r>
      <w:rPr>
        <w:rFonts w:asciiTheme="minorHAnsi" w:hAnsiTheme="minorHAnsi" w:cstheme="minorHAnsi"/>
        <w:szCs w:val="24"/>
      </w:rPr>
      <w:t xml:space="preserve">ň, </w:t>
    </w:r>
    <w:r w:rsidRPr="006C651D">
      <w:rPr>
        <w:rFonts w:asciiTheme="minorHAnsi" w:hAnsiTheme="minorHAnsi" w:cstheme="minorHAnsi"/>
        <w:szCs w:val="24"/>
      </w:rPr>
      <w:t>tel. 465 461 924, http://www.chocen.cz</w:t>
    </w:r>
  </w:p>
  <w:p w:rsidR="009E5861" w:rsidRDefault="009E5861" w:rsidP="009332B3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F82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DB5"/>
    <w:multiLevelType w:val="hybridMultilevel"/>
    <w:tmpl w:val="936AAFC8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8A488B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43BCB"/>
    <w:multiLevelType w:val="hybridMultilevel"/>
    <w:tmpl w:val="53208462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C9A"/>
    <w:multiLevelType w:val="hybridMultilevel"/>
    <w:tmpl w:val="5378777E"/>
    <w:lvl w:ilvl="0" w:tplc="7D1E69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5721E2"/>
    <w:multiLevelType w:val="hybridMultilevel"/>
    <w:tmpl w:val="76784526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71C52"/>
    <w:multiLevelType w:val="hybridMultilevel"/>
    <w:tmpl w:val="60588FE4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67B54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86086"/>
    <w:multiLevelType w:val="hybridMultilevel"/>
    <w:tmpl w:val="2FB21612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2106F"/>
    <w:multiLevelType w:val="hybridMultilevel"/>
    <w:tmpl w:val="6396EF72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18"/>
  </w:num>
  <w:num w:numId="5">
    <w:abstractNumId w:val="8"/>
  </w:num>
  <w:num w:numId="6">
    <w:abstractNumId w:val="19"/>
  </w:num>
  <w:num w:numId="7">
    <w:abstractNumId w:val="17"/>
  </w:num>
  <w:num w:numId="8">
    <w:abstractNumId w:val="11"/>
  </w:num>
  <w:num w:numId="9">
    <w:abstractNumId w:val="6"/>
  </w:num>
  <w:num w:numId="10">
    <w:abstractNumId w:val="1"/>
  </w:num>
  <w:num w:numId="11">
    <w:abstractNumId w:val="7"/>
  </w:num>
  <w:num w:numId="12">
    <w:abstractNumId w:val="4"/>
  </w:num>
  <w:num w:numId="13">
    <w:abstractNumId w:val="12"/>
  </w:num>
  <w:num w:numId="14">
    <w:abstractNumId w:val="9"/>
  </w:num>
  <w:num w:numId="15">
    <w:abstractNumId w:val="20"/>
  </w:num>
  <w:num w:numId="16">
    <w:abstractNumId w:val="10"/>
  </w:num>
  <w:num w:numId="17">
    <w:abstractNumId w:val="0"/>
  </w:num>
  <w:num w:numId="18">
    <w:abstractNumId w:val="14"/>
  </w:num>
  <w:num w:numId="19">
    <w:abstractNumId w:val="13"/>
  </w:num>
  <w:num w:numId="20">
    <w:abstractNumId w:val="16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30505"/>
    <w:rsid w:val="0005478F"/>
    <w:rsid w:val="00062826"/>
    <w:rsid w:val="0007364C"/>
    <w:rsid w:val="0007761B"/>
    <w:rsid w:val="00092923"/>
    <w:rsid w:val="000B4D09"/>
    <w:rsid w:val="000C4610"/>
    <w:rsid w:val="000D4D7E"/>
    <w:rsid w:val="00116C5D"/>
    <w:rsid w:val="00130762"/>
    <w:rsid w:val="00152892"/>
    <w:rsid w:val="00166CC2"/>
    <w:rsid w:val="00177C05"/>
    <w:rsid w:val="001B132F"/>
    <w:rsid w:val="001B402D"/>
    <w:rsid w:val="001D472C"/>
    <w:rsid w:val="001E09DE"/>
    <w:rsid w:val="001E2326"/>
    <w:rsid w:val="001F6332"/>
    <w:rsid w:val="00214037"/>
    <w:rsid w:val="002264EA"/>
    <w:rsid w:val="00236A56"/>
    <w:rsid w:val="00240FC0"/>
    <w:rsid w:val="00246389"/>
    <w:rsid w:val="00265F61"/>
    <w:rsid w:val="002B319E"/>
    <w:rsid w:val="002B4928"/>
    <w:rsid w:val="002B66B2"/>
    <w:rsid w:val="002C28E7"/>
    <w:rsid w:val="002C394C"/>
    <w:rsid w:val="002E0D15"/>
    <w:rsid w:val="002E7A76"/>
    <w:rsid w:val="003010B1"/>
    <w:rsid w:val="00311ED1"/>
    <w:rsid w:val="003152B4"/>
    <w:rsid w:val="003231FA"/>
    <w:rsid w:val="00324DD9"/>
    <w:rsid w:val="003260A6"/>
    <w:rsid w:val="003273D0"/>
    <w:rsid w:val="0034116E"/>
    <w:rsid w:val="0036381B"/>
    <w:rsid w:val="003874AC"/>
    <w:rsid w:val="00395025"/>
    <w:rsid w:val="003966E4"/>
    <w:rsid w:val="003A76E9"/>
    <w:rsid w:val="003B428A"/>
    <w:rsid w:val="003F54D1"/>
    <w:rsid w:val="003F6561"/>
    <w:rsid w:val="00424C22"/>
    <w:rsid w:val="00427994"/>
    <w:rsid w:val="00451F7E"/>
    <w:rsid w:val="00467579"/>
    <w:rsid w:val="0049472E"/>
    <w:rsid w:val="00495663"/>
    <w:rsid w:val="004B538A"/>
    <w:rsid w:val="004C4FF5"/>
    <w:rsid w:val="004E02B6"/>
    <w:rsid w:val="00502D13"/>
    <w:rsid w:val="00503C83"/>
    <w:rsid w:val="00556D06"/>
    <w:rsid w:val="005665DE"/>
    <w:rsid w:val="00567EC5"/>
    <w:rsid w:val="0057160A"/>
    <w:rsid w:val="005A0A37"/>
    <w:rsid w:val="005A0D31"/>
    <w:rsid w:val="005A1A12"/>
    <w:rsid w:val="005C4E6C"/>
    <w:rsid w:val="006072DC"/>
    <w:rsid w:val="00614C59"/>
    <w:rsid w:val="00616D8C"/>
    <w:rsid w:val="00637B3A"/>
    <w:rsid w:val="00657BEB"/>
    <w:rsid w:val="00664773"/>
    <w:rsid w:val="00673BAF"/>
    <w:rsid w:val="00676119"/>
    <w:rsid w:val="006773CE"/>
    <w:rsid w:val="006978DE"/>
    <w:rsid w:val="006B7184"/>
    <w:rsid w:val="006E0091"/>
    <w:rsid w:val="006F2B5E"/>
    <w:rsid w:val="00700CD9"/>
    <w:rsid w:val="007037EA"/>
    <w:rsid w:val="0072192B"/>
    <w:rsid w:val="00735B26"/>
    <w:rsid w:val="0073660A"/>
    <w:rsid w:val="00742CC6"/>
    <w:rsid w:val="007603EA"/>
    <w:rsid w:val="0078181A"/>
    <w:rsid w:val="00795909"/>
    <w:rsid w:val="007A48BF"/>
    <w:rsid w:val="0080751F"/>
    <w:rsid w:val="008212BE"/>
    <w:rsid w:val="0085729E"/>
    <w:rsid w:val="008721FE"/>
    <w:rsid w:val="008A1537"/>
    <w:rsid w:val="008A52C1"/>
    <w:rsid w:val="008C11DF"/>
    <w:rsid w:val="008C3BEB"/>
    <w:rsid w:val="008E1CFF"/>
    <w:rsid w:val="008E25FF"/>
    <w:rsid w:val="008F4EB3"/>
    <w:rsid w:val="0091655D"/>
    <w:rsid w:val="00922556"/>
    <w:rsid w:val="009321AC"/>
    <w:rsid w:val="009332B3"/>
    <w:rsid w:val="00964AE1"/>
    <w:rsid w:val="0098027B"/>
    <w:rsid w:val="00991838"/>
    <w:rsid w:val="009A4CC1"/>
    <w:rsid w:val="009A547C"/>
    <w:rsid w:val="009B540F"/>
    <w:rsid w:val="009C0CE3"/>
    <w:rsid w:val="009E5861"/>
    <w:rsid w:val="00A02826"/>
    <w:rsid w:val="00A04282"/>
    <w:rsid w:val="00A4148F"/>
    <w:rsid w:val="00A50895"/>
    <w:rsid w:val="00A97BE7"/>
    <w:rsid w:val="00AA0496"/>
    <w:rsid w:val="00AE3C29"/>
    <w:rsid w:val="00AF61E9"/>
    <w:rsid w:val="00B05A0A"/>
    <w:rsid w:val="00B41935"/>
    <w:rsid w:val="00B45159"/>
    <w:rsid w:val="00B65BF3"/>
    <w:rsid w:val="00BA6CE8"/>
    <w:rsid w:val="00BB0D10"/>
    <w:rsid w:val="00BC11AB"/>
    <w:rsid w:val="00BD06A9"/>
    <w:rsid w:val="00BD77C5"/>
    <w:rsid w:val="00C25FAB"/>
    <w:rsid w:val="00C30A83"/>
    <w:rsid w:val="00C47BFD"/>
    <w:rsid w:val="00C5032A"/>
    <w:rsid w:val="00C65D1C"/>
    <w:rsid w:val="00C751D5"/>
    <w:rsid w:val="00C82A24"/>
    <w:rsid w:val="00C83BB2"/>
    <w:rsid w:val="00C8501F"/>
    <w:rsid w:val="00CA1AD2"/>
    <w:rsid w:val="00CA5ADF"/>
    <w:rsid w:val="00CD0093"/>
    <w:rsid w:val="00CE71F1"/>
    <w:rsid w:val="00CF1266"/>
    <w:rsid w:val="00CF5219"/>
    <w:rsid w:val="00D15BBF"/>
    <w:rsid w:val="00D22610"/>
    <w:rsid w:val="00D252B1"/>
    <w:rsid w:val="00D4269F"/>
    <w:rsid w:val="00D51F67"/>
    <w:rsid w:val="00D756DD"/>
    <w:rsid w:val="00D92CA9"/>
    <w:rsid w:val="00DA322F"/>
    <w:rsid w:val="00DB3888"/>
    <w:rsid w:val="00DC3E0B"/>
    <w:rsid w:val="00DD780F"/>
    <w:rsid w:val="00DE41D3"/>
    <w:rsid w:val="00E00C9B"/>
    <w:rsid w:val="00E2261D"/>
    <w:rsid w:val="00E271D5"/>
    <w:rsid w:val="00E357CB"/>
    <w:rsid w:val="00E41013"/>
    <w:rsid w:val="00E50C0B"/>
    <w:rsid w:val="00EA4A03"/>
    <w:rsid w:val="00EC6568"/>
    <w:rsid w:val="00EC670A"/>
    <w:rsid w:val="00EE3F44"/>
    <w:rsid w:val="00EE7E5E"/>
    <w:rsid w:val="00EF25D9"/>
    <w:rsid w:val="00EF45FD"/>
    <w:rsid w:val="00F04A06"/>
    <w:rsid w:val="00F31A2F"/>
    <w:rsid w:val="00F47D50"/>
    <w:rsid w:val="00F805DF"/>
    <w:rsid w:val="00FB6C6C"/>
    <w:rsid w:val="00FC22FA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A1453"/>
  <w15:docId w15:val="{C3B81C63-26DB-4CC0-926D-DE2C9F1D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25D9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56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02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Textpoznpodarou">
    <w:name w:val="footnote text"/>
    <w:basedOn w:val="Normln"/>
    <w:link w:val="TextpoznpodarouChar"/>
    <w:rsid w:val="001E2326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E2326"/>
    <w:rPr>
      <w:rFonts w:ascii="Times New Roman" w:eastAsia="Times New Roman" w:hAnsi="Times New Roman"/>
      <w:noProof/>
      <w:position w:val="0"/>
      <w:sz w:val="20"/>
      <w:szCs w:val="20"/>
      <w:lang w:eastAsia="cs-CZ"/>
    </w:rPr>
  </w:style>
  <w:style w:type="character" w:styleId="Znakapoznpodarou">
    <w:name w:val="footnote reference"/>
    <w:semiHidden/>
    <w:rsid w:val="001E2326"/>
    <w:rPr>
      <w:vertAlign w:val="superscript"/>
    </w:rPr>
  </w:style>
  <w:style w:type="paragraph" w:styleId="Odstavecseseznamem">
    <w:name w:val="List Paragraph"/>
    <w:basedOn w:val="Normln"/>
    <w:uiPriority w:val="99"/>
    <w:qFormat/>
    <w:rsid w:val="001E2326"/>
    <w:pPr>
      <w:widowControl/>
      <w:ind w:left="720"/>
      <w:contextualSpacing/>
    </w:pPr>
    <w:rPr>
      <w:szCs w:val="24"/>
    </w:rPr>
  </w:style>
  <w:style w:type="character" w:customStyle="1" w:styleId="TextChar">
    <w:name w:val="Text Char"/>
    <w:link w:val="Text"/>
    <w:locked/>
    <w:rsid w:val="001E2326"/>
    <w:rPr>
      <w:rFonts w:eastAsia="Times New Roman" w:cs="Arial"/>
      <w:position w:val="0"/>
      <w:lang w:eastAsia="cs-CZ"/>
    </w:rPr>
  </w:style>
  <w:style w:type="character" w:customStyle="1" w:styleId="Znakapoznpodarou1">
    <w:name w:val="Značka pozn. pod čarou1"/>
    <w:rsid w:val="00C47BFD"/>
    <w:rPr>
      <w:vertAlign w:val="superscript"/>
    </w:rPr>
  </w:style>
  <w:style w:type="character" w:customStyle="1" w:styleId="Znakypropoznmkupodarou">
    <w:name w:val="Znaky pro poznámku pod čarou"/>
    <w:rsid w:val="00C47BFD"/>
  </w:style>
  <w:style w:type="character" w:customStyle="1" w:styleId="Nadpis3Char">
    <w:name w:val="Nadpis 3 Char"/>
    <w:basedOn w:val="Standardnpsmoodstavce"/>
    <w:link w:val="Nadpis3"/>
    <w:uiPriority w:val="9"/>
    <w:semiHidden/>
    <w:rsid w:val="004E02B6"/>
    <w:rPr>
      <w:rFonts w:asciiTheme="majorHAnsi" w:eastAsiaTheme="majorEastAsia" w:hAnsiTheme="majorHAnsi" w:cstheme="majorBidi"/>
      <w:color w:val="243F60" w:themeColor="accent1" w:themeShade="7F"/>
      <w:position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E02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02B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02B6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02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02B6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  <w:style w:type="paragraph" w:styleId="Bezmezer">
    <w:name w:val="No Spacing"/>
    <w:uiPriority w:val="1"/>
    <w:qFormat/>
    <w:rsid w:val="00C25FAB"/>
    <w:pPr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56DD"/>
    <w:rPr>
      <w:rFonts w:asciiTheme="majorHAnsi" w:eastAsiaTheme="majorEastAsia" w:hAnsiTheme="majorHAnsi" w:cstheme="majorBidi"/>
      <w:color w:val="365F91" w:themeColor="accent1" w:themeShade="BF"/>
      <w:position w:val="0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56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756D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756DD"/>
    <w:rPr>
      <w:rFonts w:ascii="Times New Roman" w:eastAsia="Times New Roman" w:hAnsi="Times New Roman"/>
      <w:position w:val="0"/>
      <w:szCs w:val="20"/>
      <w:lang w:eastAsia="cs-CZ"/>
    </w:rPr>
  </w:style>
  <w:style w:type="paragraph" w:customStyle="1" w:styleId="NormlnIMP">
    <w:name w:val="Normální_IMP"/>
    <w:basedOn w:val="Normln"/>
    <w:rsid w:val="00D756DD"/>
    <w:pPr>
      <w:widowControl/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Default">
    <w:name w:val="Default"/>
    <w:rsid w:val="00D756DD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position w:val="0"/>
      <w:lang w:eastAsia="cs-CZ"/>
    </w:rPr>
  </w:style>
  <w:style w:type="paragraph" w:customStyle="1" w:styleId="Nzvylnk">
    <w:name w:val="Názvy článků"/>
    <w:basedOn w:val="Normln"/>
    <w:rsid w:val="00D756DD"/>
    <w:pPr>
      <w:keepNext/>
      <w:keepLines/>
      <w:widowControl/>
      <w:spacing w:before="60" w:after="160"/>
      <w:jc w:val="center"/>
    </w:pPr>
    <w:rPr>
      <w:b/>
      <w:bCs/>
    </w:rPr>
  </w:style>
  <w:style w:type="character" w:styleId="Zdraznn">
    <w:name w:val="Emphasis"/>
    <w:basedOn w:val="Standardnpsmoodstavce"/>
    <w:uiPriority w:val="20"/>
    <w:qFormat/>
    <w:rsid w:val="00D756D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21A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1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cen.cz/sberna-mista-odpadu/ms-38376/p1=383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hocen.cz/sberna-mista-odpadu/ms-38376/p1=383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ocen.cz/sberna-mista-odpadu/ms-38376/p1=3837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3DF21-C958-428A-AACC-1D66DEAA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120</TotalTime>
  <Pages>4</Pages>
  <Words>1111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9</cp:revision>
  <cp:lastPrinted>2022-08-30T07:03:00Z</cp:lastPrinted>
  <dcterms:created xsi:type="dcterms:W3CDTF">2022-08-30T07:02:00Z</dcterms:created>
  <dcterms:modified xsi:type="dcterms:W3CDTF">2022-09-23T11:44:00Z</dcterms:modified>
</cp:coreProperties>
</file>