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DC1E" w14:textId="02693C97" w:rsidR="00FC401D" w:rsidRPr="00F53F74" w:rsidRDefault="00FC401D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A46305E" w14:textId="11BA52E1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40A4C38" w14:textId="0A1AC8F4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09BEC7E" w14:textId="77777777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F53F74" w:rsidRPr="00F53F74" w14:paraId="6E2382A1" w14:textId="77777777" w:rsidTr="00F53F74">
        <w:tc>
          <w:tcPr>
            <w:tcW w:w="1384" w:type="dxa"/>
            <w:hideMark/>
          </w:tcPr>
          <w:p w14:paraId="4EC8A108" w14:textId="77777777" w:rsidR="00F53F74" w:rsidRPr="00F53F74" w:rsidRDefault="00F53F74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hideMark/>
          </w:tcPr>
          <w:p w14:paraId="01D68C72" w14:textId="1812A635" w:rsidR="00F53F74" w:rsidRPr="00F53F74" w:rsidRDefault="00F11D60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>OPOR</w:t>
            </w:r>
          </w:p>
        </w:tc>
        <w:tc>
          <w:tcPr>
            <w:tcW w:w="1560" w:type="dxa"/>
            <w:hideMark/>
          </w:tcPr>
          <w:p w14:paraId="1ED6B168" w14:textId="77777777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hideMark/>
          </w:tcPr>
          <w:p w14:paraId="2D609AE8" w14:textId="0FD36BDF" w:rsidR="00F53F74" w:rsidRPr="00482445" w:rsidRDefault="0079672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724">
              <w:rPr>
                <w:rFonts w:ascii="Times New Roman" w:eastAsia="Times New Roman" w:hAnsi="Times New Roman"/>
                <w:lang w:eastAsia="cs-CZ"/>
              </w:rPr>
              <w:t>SZ UKZUZ 171648/2022/55701</w:t>
            </w:r>
          </w:p>
        </w:tc>
      </w:tr>
      <w:tr w:rsidR="00F53F74" w:rsidRPr="00F53F74" w14:paraId="64E2BAF3" w14:textId="77777777" w:rsidTr="00F53F74">
        <w:tc>
          <w:tcPr>
            <w:tcW w:w="1384" w:type="dxa"/>
            <w:hideMark/>
          </w:tcPr>
          <w:p w14:paraId="63575E36" w14:textId="77777777" w:rsidR="00F53F74" w:rsidRPr="00F53F74" w:rsidRDefault="00F53F74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hideMark/>
          </w:tcPr>
          <w:p w14:paraId="29C6240C" w14:textId="07663BF7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F11D60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hideMark/>
          </w:tcPr>
          <w:p w14:paraId="31619F73" w14:textId="77777777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hideMark/>
          </w:tcPr>
          <w:p w14:paraId="092ED65F" w14:textId="69691502" w:rsidR="00F53F74" w:rsidRPr="00482445" w:rsidRDefault="002E6E39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E39">
              <w:rPr>
                <w:rFonts w:ascii="Times New Roman" w:eastAsia="Times New Roman" w:hAnsi="Times New Roman"/>
                <w:lang w:eastAsia="cs-CZ"/>
              </w:rPr>
              <w:t>UKZUZ 217457/2022</w:t>
            </w:r>
          </w:p>
        </w:tc>
      </w:tr>
      <w:tr w:rsidR="00F53F74" w:rsidRPr="00F53F74" w14:paraId="270E0B0B" w14:textId="77777777" w:rsidTr="00F53F74">
        <w:tc>
          <w:tcPr>
            <w:tcW w:w="1384" w:type="dxa"/>
            <w:hideMark/>
          </w:tcPr>
          <w:p w14:paraId="692ADE35" w14:textId="77777777" w:rsidR="00F53F74" w:rsidRPr="00F53F74" w:rsidRDefault="00F53F74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hideMark/>
          </w:tcPr>
          <w:p w14:paraId="2C9B809B" w14:textId="56BAE62A" w:rsidR="00F53F74" w:rsidRPr="00F53F74" w:rsidRDefault="00F11D60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F53F74" w:rsidRPr="00F53F74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F53F74" w:rsidRPr="00F53F74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hideMark/>
          </w:tcPr>
          <w:p w14:paraId="64A17C9E" w14:textId="77777777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hideMark/>
          </w:tcPr>
          <w:p w14:paraId="2236B016" w14:textId="54032C84" w:rsidR="00F53F74" w:rsidRPr="00482445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445">
              <w:rPr>
                <w:rFonts w:ascii="Times New Roman" w:hAnsi="Times New Roman"/>
              </w:rPr>
              <w:t xml:space="preserve">UKZ / </w:t>
            </w:r>
            <w:proofErr w:type="spellStart"/>
            <w:r w:rsidRPr="00482445">
              <w:rPr>
                <w:rFonts w:ascii="Times New Roman" w:hAnsi="Times New Roman"/>
              </w:rPr>
              <w:t>cruiser</w:t>
            </w:r>
            <w:proofErr w:type="spellEnd"/>
            <w:r w:rsidRPr="00482445">
              <w:rPr>
                <w:rFonts w:ascii="Times New Roman" w:hAnsi="Times New Roman"/>
              </w:rPr>
              <w:t xml:space="preserve"> </w:t>
            </w:r>
            <w:proofErr w:type="spellStart"/>
            <w:r w:rsidRPr="00482445">
              <w:rPr>
                <w:rFonts w:ascii="Times New Roman" w:hAnsi="Times New Roman"/>
              </w:rPr>
              <w:t>osr</w:t>
            </w:r>
            <w:proofErr w:type="spellEnd"/>
          </w:p>
        </w:tc>
      </w:tr>
      <w:tr w:rsidR="00F53F74" w:rsidRPr="00F53F74" w14:paraId="0FAEF4AC" w14:textId="77777777" w:rsidTr="00F53F74">
        <w:tc>
          <w:tcPr>
            <w:tcW w:w="1384" w:type="dxa"/>
            <w:hideMark/>
          </w:tcPr>
          <w:p w14:paraId="60CA70AC" w14:textId="77777777" w:rsidR="00F53F74" w:rsidRPr="00F53F74" w:rsidRDefault="00F53F74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hideMark/>
          </w:tcPr>
          <w:p w14:paraId="515161DB" w14:textId="1C4726CC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F11D60">
              <w:rPr>
                <w:rFonts w:ascii="Times New Roman" w:eastAsia="Times New Roman" w:hAnsi="Times New Roman"/>
                <w:lang w:eastAsia="cs-CZ"/>
              </w:rPr>
              <w:t>44</w:t>
            </w:r>
          </w:p>
        </w:tc>
        <w:tc>
          <w:tcPr>
            <w:tcW w:w="1560" w:type="dxa"/>
          </w:tcPr>
          <w:p w14:paraId="3A23F390" w14:textId="77777777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1043AF76" w14:textId="77777777" w:rsidR="00F53F74" w:rsidRPr="00482445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4" w:rsidRPr="00F53F74" w14:paraId="6CB95D50" w14:textId="77777777" w:rsidTr="00F53F74">
        <w:tc>
          <w:tcPr>
            <w:tcW w:w="1384" w:type="dxa"/>
            <w:hideMark/>
          </w:tcPr>
          <w:p w14:paraId="45ED23CE" w14:textId="77777777" w:rsidR="00F53F74" w:rsidRPr="00F53F74" w:rsidRDefault="00F53F74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hideMark/>
          </w:tcPr>
          <w:p w14:paraId="35836DF4" w14:textId="77777777" w:rsidR="00F53F74" w:rsidRPr="00F53F74" w:rsidRDefault="00F53F74" w:rsidP="00F53F7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F53F74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F53F74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hideMark/>
          </w:tcPr>
          <w:p w14:paraId="0E1DF47F" w14:textId="77777777" w:rsidR="00F53F74" w:rsidRPr="00F53F74" w:rsidRDefault="00F53F74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hideMark/>
          </w:tcPr>
          <w:p w14:paraId="2E397139" w14:textId="462AE1C9" w:rsidR="00F53F74" w:rsidRPr="00482445" w:rsidRDefault="0040565A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65A">
              <w:rPr>
                <w:rFonts w:ascii="Times New Roman" w:eastAsia="Times New Roman" w:hAnsi="Times New Roman"/>
                <w:lang w:eastAsia="cs-CZ"/>
              </w:rPr>
              <w:t>10</w:t>
            </w:r>
            <w:r w:rsidR="00213EB5" w:rsidRPr="0040565A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96724" w:rsidRPr="0040565A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213EB5" w:rsidRPr="0040565A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796724" w:rsidRPr="0040565A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</w:tbl>
    <w:p w14:paraId="7278F534" w14:textId="77777777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FEE2CD5" w14:textId="77777777" w:rsidR="00BE42C7" w:rsidRPr="00F53F74" w:rsidRDefault="00BE42C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A802584" w14:textId="77777777" w:rsidR="006C2402" w:rsidRPr="00F53F74" w:rsidRDefault="006C2402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2C08D4" w14:textId="77777777" w:rsidR="00861476" w:rsidRPr="00F53F74" w:rsidRDefault="00861476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F53F74">
        <w:rPr>
          <w:rFonts w:ascii="Times New Roman" w:hAnsi="Times New Roman"/>
          <w:b/>
          <w:sz w:val="24"/>
          <w:szCs w:val="24"/>
        </w:rPr>
        <w:t xml:space="preserve">povolení </w:t>
      </w:r>
      <w:r w:rsidR="003D2E4F" w:rsidRPr="00F53F74">
        <w:rPr>
          <w:rFonts w:ascii="Times New Roman" w:hAnsi="Times New Roman"/>
          <w:b/>
          <w:sz w:val="24"/>
          <w:szCs w:val="24"/>
        </w:rPr>
        <w:br/>
      </w:r>
      <w:r w:rsidR="00716AF3" w:rsidRPr="00F53F74">
        <w:rPr>
          <w:rFonts w:ascii="Times New Roman" w:hAnsi="Times New Roman"/>
          <w:b/>
          <w:sz w:val="24"/>
          <w:szCs w:val="24"/>
        </w:rPr>
        <w:t>přípravku na ochranu rostlin pro omezené a kontrolované</w:t>
      </w:r>
      <w:r w:rsidRPr="00F53F74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615B789E" w14:textId="77777777" w:rsidR="005A67F5" w:rsidRPr="00F53F74" w:rsidRDefault="005A67F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2F29CE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 w:rsidRPr="00F53F74">
        <w:rPr>
          <w:rFonts w:ascii="Times New Roman" w:hAnsi="Times New Roman"/>
          <w:sz w:val="24"/>
          <w:szCs w:val="24"/>
        </w:rPr>
        <w:t>jako příslušný orgán ve smyslu §</w:t>
      </w:r>
      <w:r w:rsidRPr="00F53F74">
        <w:rPr>
          <w:rFonts w:ascii="Times New Roman" w:hAnsi="Times New Roman"/>
          <w:sz w:val="24"/>
          <w:szCs w:val="24"/>
        </w:rPr>
        <w:t xml:space="preserve"> 72 odst. </w:t>
      </w:r>
      <w:r w:rsidR="003B6D7F" w:rsidRPr="00F53F74">
        <w:rPr>
          <w:rFonts w:ascii="Times New Roman" w:hAnsi="Times New Roman"/>
          <w:sz w:val="24"/>
          <w:szCs w:val="24"/>
        </w:rPr>
        <w:t>1</w:t>
      </w:r>
      <w:r w:rsidRPr="00F53F74">
        <w:rPr>
          <w:rFonts w:ascii="Times New Roman" w:hAnsi="Times New Roman"/>
          <w:sz w:val="24"/>
          <w:szCs w:val="24"/>
        </w:rPr>
        <w:t xml:space="preserve"> písm. </w:t>
      </w:r>
      <w:r w:rsidR="004D19E1" w:rsidRPr="00F53F74">
        <w:rPr>
          <w:rFonts w:ascii="Times New Roman" w:hAnsi="Times New Roman"/>
          <w:sz w:val="24"/>
          <w:szCs w:val="24"/>
        </w:rPr>
        <w:t>e</w:t>
      </w:r>
      <w:r w:rsidRPr="00F53F7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 w:rsidRPr="00F53F74">
        <w:rPr>
          <w:rFonts w:ascii="Times New Roman" w:hAnsi="Times New Roman"/>
          <w:sz w:val="24"/>
          <w:szCs w:val="24"/>
        </w:rPr>
        <w:t xml:space="preserve"> platném </w:t>
      </w:r>
      <w:r w:rsidRPr="00F53F74">
        <w:rPr>
          <w:rFonts w:ascii="Times New Roman" w:hAnsi="Times New Roman"/>
          <w:sz w:val="24"/>
          <w:szCs w:val="24"/>
        </w:rPr>
        <w:t xml:space="preserve">znění </w:t>
      </w:r>
      <w:r w:rsidR="005A67F5" w:rsidRPr="00F53F74">
        <w:rPr>
          <w:rFonts w:ascii="Times New Roman" w:hAnsi="Times New Roman"/>
          <w:sz w:val="24"/>
          <w:szCs w:val="24"/>
        </w:rPr>
        <w:t>(</w:t>
      </w:r>
      <w:r w:rsidRPr="00F53F74">
        <w:rPr>
          <w:rFonts w:ascii="Times New Roman" w:hAnsi="Times New Roman"/>
          <w:sz w:val="24"/>
          <w:szCs w:val="24"/>
        </w:rPr>
        <w:t>dále jen „zákon “), tímto</w:t>
      </w:r>
    </w:p>
    <w:p w14:paraId="65638698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62F6F5A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CFAC6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E14F987" w14:textId="1387AB16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 xml:space="preserve">podle § 37a odst. 1 zákona v návaznosti na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čl. 5</w:t>
      </w:r>
      <w:r w:rsidR="00AF7FBD" w:rsidRPr="00F53F74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 xml:space="preserve">nařízení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t>E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P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arlamentu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br/>
      </w:r>
      <w:r w:rsidR="00861476" w:rsidRPr="00F53F74">
        <w:rPr>
          <w:rFonts w:ascii="Times New Roman" w:hAnsi="Times New Roman"/>
          <w:sz w:val="24"/>
          <w:szCs w:val="24"/>
          <w:u w:val="single"/>
        </w:rPr>
        <w:t>a Rady (ES) č. 1107/2009</w:t>
      </w:r>
      <w:r w:rsidR="00213EB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 w:rsidRPr="00F53F74">
        <w:rPr>
          <w:rFonts w:ascii="Times New Roman" w:hAnsi="Times New Roman"/>
          <w:sz w:val="24"/>
          <w:szCs w:val="24"/>
          <w:u w:val="single"/>
        </w:rPr>
        <w:t>S</w:t>
      </w:r>
      <w:r w:rsidR="00154886" w:rsidRPr="00F53F74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)</w:t>
      </w:r>
    </w:p>
    <w:p w14:paraId="45B5864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FED7AFB" w14:textId="77777777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F53F74">
        <w:rPr>
          <w:rFonts w:ascii="Times New Roman" w:hAnsi="Times New Roman"/>
          <w:b/>
          <w:sz w:val="24"/>
          <w:szCs w:val="24"/>
          <w:u w:val="single"/>
        </w:rPr>
        <w:t>použití</w:t>
      </w:r>
    </w:p>
    <w:p w14:paraId="3493CE9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568734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6D20A7" w:rsidRPr="00F53F74">
        <w:rPr>
          <w:rFonts w:ascii="Times New Roman" w:hAnsi="Times New Roman"/>
          <w:b/>
          <w:sz w:val="24"/>
          <w:szCs w:val="24"/>
        </w:rPr>
        <w:t>Cruiser</w:t>
      </w:r>
      <w:proofErr w:type="spellEnd"/>
      <w:r w:rsidR="006D20A7" w:rsidRPr="00F53F74">
        <w:rPr>
          <w:rFonts w:ascii="Times New Roman" w:hAnsi="Times New Roman"/>
          <w:b/>
          <w:sz w:val="24"/>
          <w:szCs w:val="24"/>
        </w:rPr>
        <w:t xml:space="preserve"> OSR </w:t>
      </w:r>
    </w:p>
    <w:p w14:paraId="331B6C7F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1E07B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F53F74">
        <w:rPr>
          <w:rFonts w:ascii="Times New Roman" w:hAnsi="Times New Roman"/>
          <w:sz w:val="24"/>
          <w:szCs w:val="24"/>
        </w:rPr>
        <w:t>:</w:t>
      </w:r>
    </w:p>
    <w:p w14:paraId="211B17E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770CEA3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1</w:t>
      </w:r>
    </w:p>
    <w:p w14:paraId="2DB41543" w14:textId="77777777" w:rsidR="00ED14C3" w:rsidRPr="00F53F74" w:rsidRDefault="00ED14C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A08134" w14:textId="77777777" w:rsidR="006322AA" w:rsidRPr="00F53F74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559"/>
        <w:gridCol w:w="1417"/>
        <w:gridCol w:w="2339"/>
      </w:tblGrid>
      <w:tr w:rsidR="001F14E8" w:rsidRPr="00F53F74" w14:paraId="42A6C424" w14:textId="77777777" w:rsidTr="00F53F74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AE3C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7D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0AA0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E96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7EC1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7BF078EB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35BC229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234833A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3DD" w14:textId="77777777" w:rsidR="001F14E8" w:rsidRPr="00F53F74" w:rsidRDefault="007234D9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5CF00D2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0366AAB" w14:textId="77777777" w:rsidR="001F14E8" w:rsidRPr="00F53F74" w:rsidRDefault="005D2D6B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D2D6B" w:rsidRPr="00F53F74" w14:paraId="1677B4EA" w14:textId="77777777" w:rsidTr="00F53F74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5E64" w14:textId="77777777" w:rsidR="005D2D6B" w:rsidRPr="00F53F74" w:rsidRDefault="003F2576" w:rsidP="00F53F7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4E4DD" w14:textId="77777777" w:rsidR="005D2D6B" w:rsidRPr="00F53F74" w:rsidRDefault="003F2576" w:rsidP="00F53F74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CD784" w14:textId="6ACC9B97" w:rsidR="005D2D6B" w:rsidRPr="00F53F74" w:rsidRDefault="003F2576" w:rsidP="00F53F74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25 l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t osiva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5A4" w14:textId="77777777" w:rsidR="005D2D6B" w:rsidRPr="00F53F74" w:rsidRDefault="00446FD2" w:rsidP="00F53F74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5161" w14:textId="77777777" w:rsidR="005D2D6B" w:rsidRPr="00F53F74" w:rsidRDefault="005D2D6B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D70C" w14:textId="75364789" w:rsidR="005D2D6B" w:rsidRPr="00F53F74" w:rsidRDefault="003F2576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</w:t>
            </w:r>
            <w:r w:rsidR="00713CD6"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) </w:t>
            </w: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výsevek </w:t>
            </w:r>
            <w:r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</w:t>
            </w:r>
            <w:r w:rsidR="00F53F74"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75</w:t>
            </w:r>
            <w:r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kg/ha</w:t>
            </w:r>
          </w:p>
        </w:tc>
      </w:tr>
    </w:tbl>
    <w:p w14:paraId="0964286A" w14:textId="77777777" w:rsidR="005D2D6B" w:rsidRPr="00F53F74" w:rsidRDefault="00DA78E1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53F7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aplikace a sklizní</w:t>
      </w:r>
      <w:r w:rsidR="009C21BE" w:rsidRPr="00F53F74">
        <w:rPr>
          <w:rFonts w:ascii="Times New Roman" w:hAnsi="Times New Roman"/>
          <w:bCs/>
          <w:iCs/>
          <w:sz w:val="24"/>
          <w:szCs w:val="24"/>
        </w:rPr>
        <w:t>.</w:t>
      </w:r>
    </w:p>
    <w:p w14:paraId="626F0ED9" w14:textId="1DA289AB" w:rsidR="00D069AF" w:rsidRPr="00F53F74" w:rsidRDefault="00D069AF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32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661"/>
        <w:gridCol w:w="1936"/>
      </w:tblGrid>
      <w:tr w:rsidR="003F2576" w:rsidRPr="00F53F74" w14:paraId="54B23D0B" w14:textId="77777777" w:rsidTr="00966295">
        <w:trPr>
          <w:trHeight w:val="410"/>
        </w:trPr>
        <w:tc>
          <w:tcPr>
            <w:tcW w:w="2014" w:type="pct"/>
            <w:hideMark/>
          </w:tcPr>
          <w:p w14:paraId="59997857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379" w:type="pct"/>
            <w:hideMark/>
          </w:tcPr>
          <w:p w14:paraId="6FAA95D1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607" w:type="pct"/>
            <w:hideMark/>
          </w:tcPr>
          <w:p w14:paraId="7E42688F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3F2576" w:rsidRPr="00F53F74" w14:paraId="5F15EBB0" w14:textId="77777777" w:rsidTr="00966295">
        <w:tc>
          <w:tcPr>
            <w:tcW w:w="2014" w:type="pct"/>
            <w:hideMark/>
          </w:tcPr>
          <w:p w14:paraId="54DCBC04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1379" w:type="pct"/>
            <w:hideMark/>
          </w:tcPr>
          <w:p w14:paraId="3325CA4F" w14:textId="7C778CD3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A5CF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4 l / t    </w:t>
            </w:r>
          </w:p>
        </w:tc>
        <w:tc>
          <w:tcPr>
            <w:tcW w:w="1607" w:type="pct"/>
            <w:hideMark/>
          </w:tcPr>
          <w:p w14:paraId="4BCEFEE8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moření </w:t>
            </w:r>
          </w:p>
        </w:tc>
      </w:tr>
    </w:tbl>
    <w:p w14:paraId="66FF9DDF" w14:textId="4CE7BBDC" w:rsidR="00713CD6" w:rsidRDefault="00713CD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B8CB0" w14:textId="77777777" w:rsidR="0001146C" w:rsidRPr="00F53F74" w:rsidRDefault="0001146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Údaje o přípravku:</w:t>
      </w:r>
    </w:p>
    <w:p w14:paraId="28D0FD5A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1A20AE" w:rsidRPr="00F53F74">
        <w:rPr>
          <w:rFonts w:ascii="Times New Roman" w:hAnsi="Times New Roman"/>
          <w:b/>
          <w:sz w:val="24"/>
          <w:szCs w:val="24"/>
        </w:rPr>
        <w:t>Cruiser</w:t>
      </w:r>
      <w:proofErr w:type="spellEnd"/>
      <w:r w:rsidR="001A20AE" w:rsidRPr="00F53F74">
        <w:rPr>
          <w:rFonts w:ascii="Times New Roman" w:hAnsi="Times New Roman"/>
          <w:b/>
          <w:sz w:val="24"/>
          <w:szCs w:val="24"/>
        </w:rPr>
        <w:t> OSR</w:t>
      </w:r>
    </w:p>
    <w:p w14:paraId="74942F1F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481FDE" w:rsidRPr="00F53F74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fludioxonyl</w:t>
      </w:r>
      <w:proofErr w:type="spellEnd"/>
      <w:r w:rsidR="00481FDE" w:rsidRPr="00F53F74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                </w:t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8</w:t>
      </w:r>
      <w:r w:rsidRPr="00F53F7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  <w:r w:rsidR="00481FDE"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br/>
      </w:r>
      <w:proofErr w:type="spellStart"/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metalaxyl</w:t>
      </w:r>
      <w:proofErr w:type="spellEnd"/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-M          32,3 g/l</w:t>
      </w:r>
      <w:r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br/>
      </w:r>
      <w:proofErr w:type="spellStart"/>
      <w:r w:rsidR="00481FDE" w:rsidRPr="00F53F74">
        <w:rPr>
          <w:rFonts w:ascii="Times New Roman" w:eastAsia="Times New Roman" w:hAnsi="Times New Roman"/>
          <w:sz w:val="24"/>
          <w:szCs w:val="24"/>
          <w:lang w:eastAsia="cs-CZ"/>
        </w:rPr>
        <w:t>thiamethoxam</w:t>
      </w:r>
      <w:proofErr w:type="spellEnd"/>
      <w:r w:rsidR="00481FDE" w:rsidRPr="00F53F7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280 g/l</w:t>
      </w:r>
    </w:p>
    <w:p w14:paraId="73E0B8C3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kapalný suspenzní koncentrát pro moření osiva</w:t>
      </w:r>
    </w:p>
    <w:p w14:paraId="0F1CFE77" w14:textId="77777777" w:rsidR="006322AA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665AC4D0" w14:textId="77777777" w:rsidR="0090229C" w:rsidRPr="00F53F74" w:rsidRDefault="0090229C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33D587F" w14:textId="77777777" w:rsidR="0090229C" w:rsidRPr="006505C1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0A41C02F" w14:textId="2BB4452A" w:rsidR="00921E3A" w:rsidRPr="00921E3A" w:rsidRDefault="00921E3A" w:rsidP="00921E3A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1E3A">
        <w:rPr>
          <w:rFonts w:ascii="Times New Roman" w:hAnsi="Times New Roman"/>
          <w:bCs/>
          <w:sz w:val="24"/>
          <w:szCs w:val="24"/>
        </w:rPr>
        <w:t>Repr</w:t>
      </w:r>
      <w:proofErr w:type="spellEnd"/>
      <w:r w:rsidRPr="00921E3A">
        <w:rPr>
          <w:rFonts w:ascii="Times New Roman" w:hAnsi="Times New Roman"/>
          <w:bCs/>
          <w:sz w:val="24"/>
          <w:szCs w:val="24"/>
        </w:rPr>
        <w:t>. 2, H361fd</w:t>
      </w:r>
    </w:p>
    <w:p w14:paraId="2378E06C" w14:textId="1D043627" w:rsidR="0090229C" w:rsidRDefault="0090229C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A1BEB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FA1B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444" w:rsidRPr="00FA1BEB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="00F56444" w:rsidRPr="00FA1BEB">
        <w:rPr>
          <w:rFonts w:ascii="Times New Roman" w:hAnsi="Times New Roman"/>
          <w:bCs/>
          <w:sz w:val="24"/>
          <w:szCs w:val="24"/>
        </w:rPr>
        <w:t xml:space="preserve"> 1</w:t>
      </w:r>
      <w:r w:rsidRPr="00FA1BEB">
        <w:rPr>
          <w:rFonts w:ascii="Times New Roman" w:hAnsi="Times New Roman"/>
          <w:bCs/>
          <w:sz w:val="24"/>
          <w:szCs w:val="24"/>
        </w:rPr>
        <w:t>, H4</w:t>
      </w:r>
      <w:r w:rsidR="00F56444" w:rsidRPr="00FA1BEB">
        <w:rPr>
          <w:rFonts w:ascii="Times New Roman" w:hAnsi="Times New Roman"/>
          <w:bCs/>
          <w:sz w:val="24"/>
          <w:szCs w:val="24"/>
        </w:rPr>
        <w:t>00</w:t>
      </w:r>
      <w:r w:rsidR="00F56444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F56444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="00F564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444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="00F56444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5D4DC769" w14:textId="0BE7F7EA" w:rsidR="00F56444" w:rsidRDefault="00F56444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7D2D6C2" w14:textId="22824F5A" w:rsidR="0090229C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35BCE4D4" w14:textId="25C2783F" w:rsidR="008962EC" w:rsidRDefault="008962EC" w:rsidP="008962EC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308BC043" w14:textId="331893FE" w:rsidR="008962EC" w:rsidRDefault="008962EC" w:rsidP="00934157">
      <w:pPr>
        <w:widowControl w:val="0"/>
        <w:tabs>
          <w:tab w:val="num" w:pos="5520"/>
        </w:tabs>
        <w:spacing w:after="0"/>
        <w:ind w:left="567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1" w:name="_Hlk89172923"/>
      <w:r w:rsidRPr="004D56C8">
        <w:rPr>
          <w:bCs/>
          <w:noProof/>
          <w:lang w:eastAsia="cs-CZ"/>
        </w:rPr>
        <w:drawing>
          <wp:inline distT="0" distB="0" distL="0" distR="0" wp14:anchorId="72642B1D" wp14:editId="07D6E130">
            <wp:extent cx="695325" cy="695325"/>
            <wp:effectExtent l="0" t="0" r="9525" b="9525"/>
            <wp:docPr id="4" name="obrázek 4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Pr="00AA1E40">
        <w:rPr>
          <w:noProof/>
          <w:sz w:val="20"/>
          <w:szCs w:val="20"/>
          <w:lang w:eastAsia="cs-CZ"/>
        </w:rPr>
        <w:drawing>
          <wp:inline distT="0" distB="0" distL="0" distR="0" wp14:anchorId="29A38167" wp14:editId="00A80B10">
            <wp:extent cx="685800" cy="685800"/>
            <wp:effectExtent l="0" t="0" r="0" b="0"/>
            <wp:docPr id="5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14:paraId="50F24D97" w14:textId="77777777" w:rsidR="000B3B2F" w:rsidRPr="00934157" w:rsidRDefault="000B3B2F" w:rsidP="00934157">
      <w:pPr>
        <w:widowControl w:val="0"/>
        <w:tabs>
          <w:tab w:val="num" w:pos="5520"/>
        </w:tabs>
        <w:spacing w:after="0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</w:p>
    <w:bookmarkEnd w:id="1"/>
    <w:p w14:paraId="0EA8790C" w14:textId="485F09FF" w:rsidR="008962EC" w:rsidRPr="008962EC" w:rsidRDefault="008962EC" w:rsidP="00934157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 platném znění:</w:t>
      </w:r>
    </w:p>
    <w:p w14:paraId="7C2B045C" w14:textId="6320966C" w:rsidR="008962EC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ind w:left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Varování</w:t>
      </w:r>
    </w:p>
    <w:p w14:paraId="38337C11" w14:textId="77777777" w:rsidR="008962EC" w:rsidRPr="00934157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6E85BEFE" w14:textId="77777777" w:rsidR="0090229C" w:rsidRPr="006505C1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2" w:name="_Hlk529183332"/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2"/>
    <w:p w14:paraId="17F6CC83" w14:textId="77777777" w:rsidR="008962EC" w:rsidRDefault="00921E3A" w:rsidP="00F53F74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921E3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H361fd Podezření na poškození reprodukční schopnosti. Podezření na poškození plodu </w:t>
      </w:r>
    </w:p>
    <w:p w14:paraId="675ECD9D" w14:textId="576D522F" w:rsidR="00921E3A" w:rsidRDefault="00921E3A" w:rsidP="00F53F74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921E3A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v těle matky.</w:t>
      </w:r>
    </w:p>
    <w:p w14:paraId="1BFD137B" w14:textId="49D99A06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3" w:name="_Hlk89171843"/>
      <w:r w:rsidRPr="006505C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H4</w:t>
      </w:r>
      <w:r w:rsidR="008962E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10</w:t>
      </w:r>
      <w:r w:rsidRPr="006505C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F5644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Vysoce toxický</w:t>
      </w:r>
      <w:r w:rsidRPr="006505C1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</w:t>
      </w:r>
      <w:r w:rsidRPr="006505C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pro vodní organismy, s dlouhodobými účinky</w:t>
      </w:r>
      <w:r w:rsidRPr="006505C1">
        <w:rPr>
          <w:rFonts w:ascii="Times New Roman" w:hAnsi="Times New Roman"/>
          <w:bCs/>
          <w:spacing w:val="-4"/>
          <w:sz w:val="24"/>
          <w:szCs w:val="24"/>
        </w:rPr>
        <w:t xml:space="preserve">.  </w:t>
      </w:r>
    </w:p>
    <w:p w14:paraId="3BF6BE4F" w14:textId="218FCE04" w:rsidR="00D84565" w:rsidRDefault="00D84565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19ACEBFF" w14:textId="2E7623CF" w:rsidR="000B3B2F" w:rsidRPr="000B3B2F" w:rsidRDefault="000B3B2F" w:rsidP="000B3B2F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B3B2F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24DF3E94" w14:textId="685C2C33" w:rsidR="000B3B2F" w:rsidRDefault="000B3B2F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t</w:t>
      </w:r>
      <w:r w:rsidRPr="000B3B2F">
        <w:rPr>
          <w:rFonts w:ascii="Times New Roman" w:hAnsi="Times New Roman"/>
          <w:bCs/>
          <w:spacing w:val="-4"/>
          <w:sz w:val="24"/>
          <w:szCs w:val="24"/>
        </w:rPr>
        <w:t>hiamethoxam</w:t>
      </w:r>
      <w:proofErr w:type="spellEnd"/>
    </w:p>
    <w:p w14:paraId="4960D575" w14:textId="77777777" w:rsidR="000B3B2F" w:rsidRPr="006505C1" w:rsidRDefault="000B3B2F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3"/>
    <w:p w14:paraId="56E11D3D" w14:textId="11A46A60" w:rsidR="0090229C" w:rsidRPr="00EC476B" w:rsidRDefault="00D84565" w:rsidP="00D84565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C476B">
        <w:rPr>
          <w:rFonts w:ascii="Times New Roman" w:hAnsi="Times New Roman"/>
          <w:i/>
          <w:snapToGrid w:val="0"/>
          <w:sz w:val="24"/>
          <w:szCs w:val="24"/>
        </w:rPr>
        <w:t>Pokyny pro bezpečné zacházení – podle přílohy IV nařízení (ES) č. 1272/2008, v platném znění:</w:t>
      </w:r>
    </w:p>
    <w:p w14:paraId="54ABFF92" w14:textId="77777777" w:rsidR="00D84565" w:rsidRPr="00EC476B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EC476B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P202 Nepoužívejte, dokud jste si nepřečetli všechny bezpečnostní pokyny a neporozuměli jim.</w:t>
      </w:r>
    </w:p>
    <w:p w14:paraId="65786ECF" w14:textId="77777777" w:rsidR="00D84565" w:rsidRPr="00EC476B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EC476B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P264 Po manipulaci důkladně omyjte ruce i další potřísněné části těla.</w:t>
      </w:r>
    </w:p>
    <w:p w14:paraId="583FF52E" w14:textId="77777777" w:rsidR="00D84565" w:rsidRPr="00EC476B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EC476B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P280 Používejte ochranné rukavice/ochranný oděv.</w:t>
      </w:r>
    </w:p>
    <w:p w14:paraId="5218F5EB" w14:textId="30B0A6D2" w:rsid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EC476B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P501 Odstraňte obsah/obal předáním oprávněné osobě.</w:t>
      </w:r>
    </w:p>
    <w:p w14:paraId="03FC9BC9" w14:textId="77777777" w:rsidR="00D84565" w:rsidRP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152B98E9" w14:textId="77777777" w:rsidR="0090229C" w:rsidRPr="000E3D72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4495DDC3" w14:textId="77777777" w:rsidR="0090229C" w:rsidRPr="000E3D72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E3D72">
        <w:rPr>
          <w:rFonts w:ascii="Times New Roman" w:hAnsi="Times New Roman"/>
          <w:bCs/>
          <w:spacing w:val="-4"/>
          <w:sz w:val="24"/>
          <w:szCs w:val="24"/>
        </w:rPr>
        <w:t>EUH208 Obsahuje 1,2-benzoisothiazol-3(2</w:t>
      </w:r>
      <w:proofErr w:type="gramStart"/>
      <w:r w:rsidRPr="000E3D72">
        <w:rPr>
          <w:rFonts w:ascii="Times New Roman" w:hAnsi="Times New Roman"/>
          <w:bCs/>
          <w:spacing w:val="-4"/>
          <w:sz w:val="24"/>
          <w:szCs w:val="24"/>
        </w:rPr>
        <w:t>H)-</w:t>
      </w:r>
      <w:proofErr w:type="gramEnd"/>
      <w:r w:rsidRPr="000E3D72">
        <w:rPr>
          <w:rFonts w:ascii="Times New Roman" w:hAnsi="Times New Roman"/>
          <w:bCs/>
          <w:spacing w:val="-4"/>
          <w:sz w:val="24"/>
          <w:szCs w:val="24"/>
        </w:rPr>
        <w:t>on. Může vyvolat alergickou reakci.</w:t>
      </w:r>
    </w:p>
    <w:p w14:paraId="446967BE" w14:textId="77777777" w:rsidR="0090229C" w:rsidRPr="000E3D72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E3D72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C61BC7D" w14:textId="77777777" w:rsidR="00261EFE" w:rsidRPr="000E3D72" w:rsidRDefault="00261EFE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7C5796E2" w14:textId="43304D6E" w:rsidR="00F84754" w:rsidRPr="006505C1" w:rsidRDefault="00F84754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 xml:space="preserve">Označení přípravku podle nařízení Komise (EU) č. </w:t>
      </w:r>
      <w:r w:rsidR="0003722F">
        <w:rPr>
          <w:rFonts w:ascii="Times New Roman" w:hAnsi="Times New Roman"/>
          <w:i/>
          <w:iCs/>
          <w:snapToGrid w:val="0"/>
          <w:sz w:val="24"/>
          <w:szCs w:val="24"/>
        </w:rPr>
        <w:t>5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47/2011:    </w:t>
      </w:r>
    </w:p>
    <w:p w14:paraId="474466A5" w14:textId="77777777" w:rsidR="00F84754" w:rsidRPr="006505C1" w:rsidRDefault="00F84754" w:rsidP="00F53F74">
      <w:pPr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26229C3D" w14:textId="77777777" w:rsidR="00F84754" w:rsidRPr="006505C1" w:rsidRDefault="00F84754" w:rsidP="00F53F7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8D090E7" w14:textId="77777777" w:rsidR="00F84754" w:rsidRPr="006505C1" w:rsidRDefault="00F84754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39F00" w14:textId="77777777" w:rsidR="00F84754" w:rsidRPr="00921E3A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21E3A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a r) nařízení Komise (EU) č. 547/2011: </w:t>
      </w:r>
    </w:p>
    <w:p w14:paraId="67077580" w14:textId="77777777" w:rsidR="00F84754" w:rsidRPr="00921E3A" w:rsidRDefault="00FF4B6F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921E3A">
        <w:rPr>
          <w:rFonts w:ascii="Times New Roman" w:hAnsi="Times New Roman"/>
          <w:sz w:val="24"/>
          <w:szCs w:val="24"/>
        </w:rPr>
        <w:t>T</w:t>
      </w:r>
      <w:r w:rsidR="00F84754" w:rsidRPr="00921E3A">
        <w:rPr>
          <w:rFonts w:ascii="Times New Roman" w:hAnsi="Times New Roman"/>
          <w:sz w:val="24"/>
          <w:szCs w:val="24"/>
        </w:rPr>
        <w:t xml:space="preserve">eplota skladování </w:t>
      </w:r>
      <w:r w:rsidR="0052475B" w:rsidRPr="00921E3A">
        <w:rPr>
          <w:rFonts w:ascii="Times New Roman" w:hAnsi="Times New Roman"/>
          <w:sz w:val="24"/>
          <w:szCs w:val="24"/>
        </w:rPr>
        <w:t>0</w:t>
      </w:r>
      <w:r w:rsidR="00F84754" w:rsidRPr="00921E3A">
        <w:rPr>
          <w:rFonts w:ascii="Times New Roman" w:hAnsi="Times New Roman"/>
          <w:sz w:val="24"/>
          <w:szCs w:val="24"/>
        </w:rPr>
        <w:t xml:space="preserve"> °C až + 30 °C</w:t>
      </w:r>
      <w:r w:rsidR="00F84754" w:rsidRPr="00921E3A">
        <w:rPr>
          <w:rFonts w:ascii="Times New Roman" w:hAnsi="Times New Roman"/>
          <w:iCs/>
          <w:sz w:val="24"/>
          <w:szCs w:val="24"/>
        </w:rPr>
        <w:t>.</w:t>
      </w:r>
    </w:p>
    <w:p w14:paraId="650CE31B" w14:textId="77777777" w:rsidR="00F732C9" w:rsidRPr="006505C1" w:rsidRDefault="00F732C9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6A9B4415" w14:textId="1B7AA5D2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písm. u) nařízení Komise (EU) č.</w:t>
      </w:r>
      <w:r w:rsidR="00035B1E" w:rsidRPr="006505C1">
        <w:rPr>
          <w:rFonts w:ascii="Times New Roman" w:hAnsi="Times New Roman"/>
          <w:i/>
          <w:snapToGrid w:val="0"/>
          <w:sz w:val="24"/>
          <w:szCs w:val="24"/>
        </w:rPr>
        <w:t> 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618FC958" w14:textId="7431AE1C" w:rsidR="00F84754" w:rsidRDefault="00F84754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Profesionální uživatel</w:t>
      </w:r>
    </w:p>
    <w:p w14:paraId="30F15066" w14:textId="77777777" w:rsidR="00F732C9" w:rsidRPr="006505C1" w:rsidRDefault="00F732C9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E00D62B" w14:textId="77777777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5124F827" w14:textId="77777777" w:rsidR="00F84754" w:rsidRPr="006505C1" w:rsidRDefault="00F84754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Obecná ustanovení</w:t>
      </w:r>
    </w:p>
    <w:p w14:paraId="1250C36B" w14:textId="4905BD11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SP 1 Neznečišťujte vody přípravkem nebo jeho obalem. (Nečistěte aplikační zařízení v</w:t>
      </w:r>
      <w:r w:rsidR="00380FB6" w:rsidRPr="006505C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blízkosti povrchových vod/Zabraňte kontaminaci vod splachem z farem a cest).</w:t>
      </w:r>
    </w:p>
    <w:p w14:paraId="3F658BC8" w14:textId="281E46E1" w:rsidR="00F84754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B03C11" w14:textId="77777777" w:rsidR="00B45480" w:rsidRPr="006505C1" w:rsidRDefault="00B45480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p w14:paraId="44FD2BCC" w14:textId="16130BBB" w:rsidR="00845C2A" w:rsidRPr="006505C1" w:rsidRDefault="00845C2A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Hlk89171921"/>
      <w:proofErr w:type="spellStart"/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 3 Za účelem ochrany vodních organismů dodržte neoseté ochranné pásmo 4</w:t>
      </w:r>
      <w:r w:rsidR="00380FB6" w:rsidRPr="006505C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80FB6" w:rsidRPr="006505C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vzhledem k povrchové vodě.</w:t>
      </w:r>
      <w:bookmarkEnd w:id="4"/>
    </w:p>
    <w:p w14:paraId="12B57118" w14:textId="77777777" w:rsidR="00B45480" w:rsidRPr="006505C1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 5 Za účelem ochrany ptáků/savců ošetřené osivo zcela zapravte do půdy; zajistěte, aby ošetřené osivo bylo na koncích výsevních</w:t>
      </w:r>
      <w:r w:rsidR="00965E14" w:rsidRPr="006505C1">
        <w:rPr>
          <w:rFonts w:ascii="Times New Roman" w:eastAsia="Times New Roman" w:hAnsi="Times New Roman"/>
          <w:sz w:val="24"/>
          <w:szCs w:val="24"/>
          <w:lang w:eastAsia="cs-CZ"/>
        </w:rPr>
        <w:t xml:space="preserve"> nebo výsadbových</w:t>
      </w:r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 xml:space="preserve"> řádků zcela zapraveno do půdy.</w:t>
      </w:r>
    </w:p>
    <w:p w14:paraId="55C054D9" w14:textId="42BEF70E" w:rsidR="00F84754" w:rsidRPr="006505C1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6505C1">
        <w:rPr>
          <w:rFonts w:ascii="Times New Roman" w:eastAsia="Times New Roman" w:hAnsi="Times New Roman"/>
          <w:sz w:val="24"/>
          <w:szCs w:val="24"/>
          <w:lang w:eastAsia="cs-CZ"/>
        </w:rPr>
        <w:t> 6 Za účelem ochrany ptáků/savců rozsypané ošetřené osivo</w:t>
      </w:r>
      <w:r w:rsidR="00944A27" w:rsidRPr="006505C1">
        <w:rPr>
          <w:rFonts w:ascii="Times New Roman" w:eastAsia="Times New Roman" w:hAnsi="Times New Roman"/>
          <w:sz w:val="24"/>
          <w:szCs w:val="24"/>
          <w:lang w:eastAsia="cs-CZ"/>
        </w:rPr>
        <w:t xml:space="preserve"> odstraňte</w:t>
      </w:r>
      <w:r w:rsidR="00F84754" w:rsidRPr="006505C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E83EC56" w14:textId="77777777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0E8179" w14:textId="77777777" w:rsidR="00F84754" w:rsidRPr="00261EFE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 547/2011:</w:t>
      </w:r>
    </w:p>
    <w:p w14:paraId="6589DDD0" w14:textId="77777777" w:rsidR="00B37813" w:rsidRPr="00261EFE" w:rsidRDefault="00F84754" w:rsidP="00F53F74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61EFE">
        <w:rPr>
          <w:rFonts w:ascii="Times New Roman" w:hAnsi="Times New Roman"/>
          <w:bCs/>
          <w:sz w:val="24"/>
          <w:szCs w:val="24"/>
        </w:rPr>
        <w:t xml:space="preserve">Všeobecné pokyny: Projeví-li </w:t>
      </w:r>
      <w:r w:rsidRPr="00261EFE">
        <w:rPr>
          <w:rFonts w:ascii="Times New Roman" w:hAnsi="Times New Roman"/>
          <w:bCs/>
          <w:iCs/>
          <w:sz w:val="24"/>
          <w:szCs w:val="24"/>
        </w:rPr>
        <w:t xml:space="preserve">se zdravotní </w:t>
      </w:r>
      <w:r w:rsidR="00B37813" w:rsidRPr="00261EFE">
        <w:rPr>
          <w:rFonts w:ascii="Times New Roman" w:hAnsi="Times New Roman"/>
          <w:bCs/>
          <w:iCs/>
          <w:sz w:val="24"/>
          <w:szCs w:val="24"/>
        </w:rPr>
        <w:t>potíže nebo v případě pochybností kontaktujte lékaře.</w:t>
      </w:r>
    </w:p>
    <w:p w14:paraId="750F731D" w14:textId="77777777" w:rsidR="00B37813" w:rsidRPr="00261EFE" w:rsidRDefault="00B37813" w:rsidP="00F53F74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61EFE">
        <w:rPr>
          <w:rFonts w:ascii="Times New Roman" w:hAnsi="Times New Roman"/>
          <w:bCs/>
          <w:iCs/>
          <w:sz w:val="24"/>
          <w:szCs w:val="24"/>
        </w:rPr>
        <w:t xml:space="preserve">První pomoc při nadýchání: Přerušte práci. Přejděte mimo ošetřovanou oblast. Odložte kontaminovaný oděv.  </w:t>
      </w:r>
    </w:p>
    <w:p w14:paraId="6CC017B8" w14:textId="77777777" w:rsidR="00B37813" w:rsidRPr="00261EFE" w:rsidRDefault="00B37813" w:rsidP="00F53F74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61EFE">
        <w:rPr>
          <w:rFonts w:ascii="Times New Roman" w:hAnsi="Times New Roman"/>
          <w:bCs/>
          <w:iCs/>
          <w:sz w:val="24"/>
          <w:szCs w:val="24"/>
        </w:rPr>
        <w:t xml:space="preserve">První pomoc při zasažení kůže: Odložte kontaminovaný / nasáklý oděv. Zasažené části pokožky umyjte vodou a mýdlem, pokožku následně dobře opláchněte. </w:t>
      </w:r>
    </w:p>
    <w:p w14:paraId="205AD52C" w14:textId="18D43BF7" w:rsidR="00B37813" w:rsidRPr="00261EFE" w:rsidRDefault="00B37813" w:rsidP="00F53F74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61EFE">
        <w:rPr>
          <w:rFonts w:ascii="Times New Roman" w:hAnsi="Times New Roman"/>
          <w:bCs/>
          <w:iCs/>
          <w:sz w:val="24"/>
          <w:szCs w:val="24"/>
        </w:rPr>
        <w:t>První pomoc při zasažení očí: Vyplachujte oči velkým množstvím vlahé čisté vody a</w:t>
      </w:r>
      <w:r w:rsidR="00FF2250" w:rsidRPr="00261EFE">
        <w:rPr>
          <w:rFonts w:ascii="Times New Roman" w:hAnsi="Times New Roman"/>
          <w:bCs/>
          <w:iCs/>
          <w:sz w:val="24"/>
          <w:szCs w:val="24"/>
        </w:rPr>
        <w:t> </w:t>
      </w:r>
      <w:r w:rsidRPr="00261EFE">
        <w:rPr>
          <w:rFonts w:ascii="Times New Roman" w:hAnsi="Times New Roman"/>
          <w:bCs/>
          <w:iCs/>
          <w:sz w:val="24"/>
          <w:szCs w:val="24"/>
        </w:rPr>
        <w:t xml:space="preserve">současně odstraňte kontaktní čočky, jsou-li nasazeny, a pokud je lze snadno vyjmout. Kontaktní čočky nelze znova použít, je třeba je zlikvidovat. </w:t>
      </w:r>
    </w:p>
    <w:p w14:paraId="57B0BF0B" w14:textId="77777777" w:rsidR="00B37813" w:rsidRPr="00261EFE" w:rsidRDefault="00B37813" w:rsidP="00F53F74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61EFE">
        <w:rPr>
          <w:rFonts w:ascii="Times New Roman" w:hAnsi="Times New Roman"/>
          <w:bCs/>
          <w:iCs/>
          <w:sz w:val="24"/>
          <w:szCs w:val="24"/>
        </w:rPr>
        <w:t>První pomoc při náhodném požití:</w:t>
      </w:r>
      <w:r w:rsidRPr="00261EF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61EFE">
        <w:rPr>
          <w:rFonts w:ascii="Times New Roman" w:hAnsi="Times New Roman"/>
          <w:bCs/>
          <w:iCs/>
          <w:sz w:val="24"/>
          <w:szCs w:val="24"/>
        </w:rPr>
        <w:t xml:space="preserve">Vypláchněte ústa vodou, případně dejte vypít asi sklenici (1/4 litru) vody. Nevyvolávejte zvracení.    </w:t>
      </w:r>
    </w:p>
    <w:p w14:paraId="329DDC78" w14:textId="77777777" w:rsidR="00F84754" w:rsidRPr="00261EFE" w:rsidRDefault="00B37813" w:rsidP="00F53F74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61EFE">
        <w:rPr>
          <w:rFonts w:ascii="Times New Roman" w:hAnsi="Times New Roman"/>
          <w:bCs/>
          <w:iCs/>
          <w:sz w:val="24"/>
          <w:szCs w:val="24"/>
        </w:rPr>
        <w:t>Při vyhledání lékařského ošetření informujte lékaře o přípravku, se kterým se pracovalo, poskytněte mu informace ze štítku, etikety nebo příbalového letáku a o poskytnuté první pomoci. Další postup první pomoci (i event. následnou terapii) lze konzultovat s Toxikologickým informačním střediskem: Telefon nepřetržitě: 224 919 293 nebo 224 915 402</w:t>
      </w:r>
      <w:r w:rsidR="00F84754" w:rsidRPr="00261EFE">
        <w:rPr>
          <w:rFonts w:ascii="Times New Roman" w:hAnsi="Times New Roman"/>
          <w:bCs/>
          <w:sz w:val="24"/>
          <w:szCs w:val="24"/>
        </w:rPr>
        <w:t>.</w:t>
      </w:r>
    </w:p>
    <w:p w14:paraId="728C7C30" w14:textId="77777777" w:rsidR="00F84754" w:rsidRPr="000E3D72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1BD7171F" w14:textId="233EDD3A" w:rsidR="00F84754" w:rsidRPr="000B3B2F" w:rsidRDefault="00F84754" w:rsidP="000B3B2F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bookmarkStart w:id="5" w:name="_Hlk89172189"/>
      <w:r w:rsidRPr="000E3D72">
        <w:rPr>
          <w:rFonts w:ascii="Times New Roman" w:hAnsi="Times New Roman"/>
          <w:bCs/>
          <w:sz w:val="24"/>
          <w:szCs w:val="24"/>
        </w:rPr>
        <w:t>Ochrana dýchacích orgánů</w:t>
      </w:r>
      <w:r w:rsidR="00FF2250" w:rsidRPr="000E3D72">
        <w:rPr>
          <w:rFonts w:ascii="Times New Roman" w:hAnsi="Times New Roman"/>
          <w:bCs/>
          <w:sz w:val="24"/>
          <w:szCs w:val="24"/>
        </w:rPr>
        <w:t xml:space="preserve"> </w:t>
      </w:r>
      <w:r w:rsidR="000B3B2F">
        <w:rPr>
          <w:rFonts w:ascii="Times New Roman" w:hAnsi="Times New Roman"/>
          <w:bCs/>
          <w:sz w:val="24"/>
          <w:szCs w:val="24"/>
        </w:rPr>
        <w:tab/>
      </w:r>
      <w:r w:rsidR="0092116A" w:rsidRPr="000E3D72">
        <w:rPr>
          <w:rFonts w:ascii="Times New Roman" w:hAnsi="Times New Roman"/>
          <w:bCs/>
          <w:sz w:val="24"/>
          <w:szCs w:val="24"/>
        </w:rPr>
        <w:t>alespoň vhodný typ filtrační polomasky např.</w:t>
      </w:r>
      <w:r w:rsidR="00FF2250" w:rsidRPr="000E3D72">
        <w:rPr>
          <w:rFonts w:ascii="Times New Roman" w:hAnsi="Times New Roman"/>
          <w:bCs/>
          <w:sz w:val="24"/>
          <w:szCs w:val="24"/>
        </w:rPr>
        <w:t> </w:t>
      </w:r>
      <w:r w:rsidR="0092116A" w:rsidRPr="000E3D72">
        <w:rPr>
          <w:rFonts w:ascii="Times New Roman" w:hAnsi="Times New Roman"/>
          <w:bCs/>
          <w:sz w:val="24"/>
          <w:szCs w:val="24"/>
        </w:rPr>
        <w:t>s ventily proti plynům a částicím podle ČSN EN 405+</w:t>
      </w:r>
      <w:r w:rsidR="00FF581B" w:rsidRPr="000E3D72">
        <w:rPr>
          <w:rFonts w:ascii="Times New Roman" w:hAnsi="Times New Roman"/>
          <w:bCs/>
          <w:sz w:val="24"/>
          <w:szCs w:val="24"/>
        </w:rPr>
        <w:t>A1 nebo k ochraně proti částicím podle ČSN EN 149+A1, (typ FFP2 nebo FFP3)</w:t>
      </w:r>
    </w:p>
    <w:p w14:paraId="259EC5F2" w14:textId="5AEF194A" w:rsidR="00F84754" w:rsidRPr="000E3D72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>Ochrana rukou</w:t>
      </w:r>
      <w:r w:rsidRPr="000E3D72">
        <w:rPr>
          <w:rFonts w:ascii="Times New Roman" w:hAnsi="Times New Roman"/>
          <w:bCs/>
          <w:sz w:val="24"/>
          <w:szCs w:val="24"/>
        </w:rPr>
        <w:tab/>
      </w:r>
      <w:r w:rsidR="00404937">
        <w:rPr>
          <w:rFonts w:ascii="Times New Roman" w:hAnsi="Times New Roman"/>
          <w:bCs/>
          <w:sz w:val="24"/>
          <w:szCs w:val="24"/>
        </w:rPr>
        <w:t>ochranné</w:t>
      </w:r>
      <w:r w:rsidRPr="000E3D72">
        <w:rPr>
          <w:rFonts w:ascii="Times New Roman" w:hAnsi="Times New Roman"/>
          <w:bCs/>
          <w:sz w:val="24"/>
          <w:szCs w:val="24"/>
        </w:rPr>
        <w:t xml:space="preserve"> rukavice označené piktogramem pro</w:t>
      </w:r>
      <w:r w:rsidR="00380FB6" w:rsidRPr="000E3D72">
        <w:rPr>
          <w:rFonts w:ascii="Times New Roman" w:hAnsi="Times New Roman"/>
          <w:bCs/>
          <w:sz w:val="24"/>
          <w:szCs w:val="24"/>
        </w:rPr>
        <w:t> </w:t>
      </w:r>
      <w:r w:rsidRPr="000E3D72">
        <w:rPr>
          <w:rFonts w:ascii="Times New Roman" w:hAnsi="Times New Roman"/>
          <w:bCs/>
          <w:sz w:val="24"/>
          <w:szCs w:val="24"/>
        </w:rPr>
        <w:t>chemická nebezpečí podle ČSN EN </w:t>
      </w:r>
      <w:r w:rsidR="000E3D72" w:rsidRPr="00921E3A">
        <w:rPr>
          <w:rFonts w:ascii="Times New Roman" w:hAnsi="Times New Roman"/>
          <w:bCs/>
          <w:sz w:val="24"/>
          <w:szCs w:val="24"/>
        </w:rPr>
        <w:t xml:space="preserve">ISO 21420 </w:t>
      </w:r>
      <w:r w:rsidRPr="000E3D72">
        <w:rPr>
          <w:rFonts w:ascii="Times New Roman" w:hAnsi="Times New Roman"/>
          <w:bCs/>
          <w:sz w:val="24"/>
          <w:szCs w:val="24"/>
        </w:rPr>
        <w:t>s kódem podle ČSN EN ISO 374-1</w:t>
      </w:r>
    </w:p>
    <w:p w14:paraId="571CABE8" w14:textId="77777777" w:rsidR="00FF581B" w:rsidRPr="000E3D72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>Ochrana očí a obličeje</w:t>
      </w:r>
    </w:p>
    <w:p w14:paraId="01FBB8B4" w14:textId="39BB52E2" w:rsidR="00FF581B" w:rsidRPr="000E3D72" w:rsidRDefault="00FF581B" w:rsidP="00380FB6">
      <w:pPr>
        <w:widowControl w:val="0"/>
        <w:tabs>
          <w:tab w:val="left" w:pos="3402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 xml:space="preserve">při běžné manipulaci: </w:t>
      </w:r>
      <w:r w:rsidR="00404937">
        <w:rPr>
          <w:rFonts w:ascii="Times New Roman" w:hAnsi="Times New Roman"/>
          <w:bCs/>
          <w:sz w:val="24"/>
          <w:szCs w:val="24"/>
        </w:rPr>
        <w:tab/>
      </w:r>
      <w:r w:rsidRPr="000E3D72">
        <w:rPr>
          <w:rFonts w:ascii="Times New Roman" w:hAnsi="Times New Roman"/>
          <w:bCs/>
          <w:sz w:val="24"/>
          <w:szCs w:val="24"/>
        </w:rPr>
        <w:t xml:space="preserve">není nutná </w:t>
      </w:r>
    </w:p>
    <w:p w14:paraId="30E98791" w14:textId="77777777" w:rsidR="00FF581B" w:rsidRPr="000E3D72" w:rsidRDefault="00FF581B" w:rsidP="00380FB6">
      <w:pPr>
        <w:widowControl w:val="0"/>
        <w:tabs>
          <w:tab w:val="left" w:pos="3402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 xml:space="preserve">při čištění zařízení: </w:t>
      </w:r>
      <w:r w:rsidRPr="000E3D72">
        <w:rPr>
          <w:rFonts w:ascii="Times New Roman" w:hAnsi="Times New Roman"/>
          <w:bCs/>
          <w:sz w:val="24"/>
          <w:szCs w:val="24"/>
        </w:rPr>
        <w:tab/>
        <w:t xml:space="preserve">ochranné brýle nebo ochranný štít podle ČSN EN 166 </w:t>
      </w:r>
    </w:p>
    <w:p w14:paraId="2EBCE712" w14:textId="78945131" w:rsidR="003C055D" w:rsidRPr="006505C1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0E3D72">
        <w:rPr>
          <w:rFonts w:ascii="Times New Roman" w:hAnsi="Times New Roman"/>
          <w:bCs/>
          <w:sz w:val="24"/>
          <w:szCs w:val="24"/>
        </w:rPr>
        <w:t>Ochrana těla</w:t>
      </w:r>
      <w:r w:rsidRPr="000E3D72">
        <w:rPr>
          <w:rFonts w:ascii="Times New Roman" w:hAnsi="Times New Roman"/>
          <w:bCs/>
          <w:sz w:val="24"/>
          <w:szCs w:val="24"/>
        </w:rPr>
        <w:tab/>
      </w:r>
      <w:r w:rsidR="003C055D" w:rsidRPr="000E3D72">
        <w:rPr>
          <w:rFonts w:ascii="Times New Roman" w:hAnsi="Times New Roman"/>
          <w:bCs/>
          <w:sz w:val="24"/>
          <w:szCs w:val="24"/>
        </w:rPr>
        <w:t>ochranný oděv podle ČSN EN ISO 27065 (pro práci s</w:t>
      </w:r>
      <w:r w:rsidR="008268B1" w:rsidRPr="000E3D72">
        <w:rPr>
          <w:rFonts w:ascii="Times New Roman" w:hAnsi="Times New Roman"/>
          <w:bCs/>
          <w:sz w:val="24"/>
          <w:szCs w:val="24"/>
        </w:rPr>
        <w:t> </w:t>
      </w:r>
      <w:r w:rsidR="003C055D" w:rsidRPr="000E3D72">
        <w:rPr>
          <w:rFonts w:ascii="Times New Roman" w:hAnsi="Times New Roman"/>
          <w:bCs/>
          <w:sz w:val="24"/>
          <w:szCs w:val="24"/>
        </w:rPr>
        <w:t>pesticidy – typu C2 nebo C3)</w:t>
      </w:r>
      <w:r w:rsidR="00404937">
        <w:rPr>
          <w:rFonts w:ascii="Times New Roman" w:hAnsi="Times New Roman"/>
          <w:bCs/>
          <w:sz w:val="24"/>
          <w:szCs w:val="24"/>
        </w:rPr>
        <w:t xml:space="preserve"> </w:t>
      </w:r>
      <w:r w:rsidR="00404937" w:rsidRPr="000B3B2F">
        <w:rPr>
          <w:rFonts w:ascii="Times New Roman" w:hAnsi="Times New Roman"/>
          <w:bCs/>
          <w:sz w:val="24"/>
          <w:szCs w:val="24"/>
        </w:rPr>
        <w:t>nebo celkový ochranný typu 6 ČSN EN 13034+A1</w:t>
      </w:r>
      <w:r w:rsidR="003C055D" w:rsidRPr="000E3D72">
        <w:rPr>
          <w:rFonts w:ascii="Times New Roman" w:hAnsi="Times New Roman"/>
          <w:bCs/>
          <w:sz w:val="24"/>
          <w:szCs w:val="24"/>
        </w:rPr>
        <w:t xml:space="preserve"> </w:t>
      </w:r>
      <w:r w:rsidR="000E3D72" w:rsidRPr="00921E3A">
        <w:rPr>
          <w:rFonts w:ascii="Times New Roman" w:hAnsi="Times New Roman"/>
          <w:bCs/>
          <w:sz w:val="24"/>
          <w:szCs w:val="24"/>
        </w:rPr>
        <w:t xml:space="preserve">(nezbytná </w:t>
      </w:r>
      <w:proofErr w:type="gramStart"/>
      <w:r w:rsidR="000E3D72" w:rsidRPr="00921E3A">
        <w:rPr>
          <w:rFonts w:ascii="Times New Roman" w:hAnsi="Times New Roman"/>
          <w:bCs/>
          <w:sz w:val="24"/>
          <w:szCs w:val="24"/>
        </w:rPr>
        <w:t>podmínka - oděv</w:t>
      </w:r>
      <w:proofErr w:type="gramEnd"/>
      <w:r w:rsidR="000E3D72" w:rsidRPr="00921E3A">
        <w:rPr>
          <w:rFonts w:ascii="Times New Roman" w:hAnsi="Times New Roman"/>
          <w:bCs/>
          <w:sz w:val="24"/>
          <w:szCs w:val="24"/>
        </w:rPr>
        <w:t xml:space="preserve"> musí mít dlouhé rukávy a nohavice)</w:t>
      </w:r>
    </w:p>
    <w:p w14:paraId="1DCEC03F" w14:textId="4BB9B761" w:rsidR="00F84754" w:rsidRPr="000E3D72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>Dodatečná ochrana hlavy</w:t>
      </w:r>
      <w:r w:rsidRPr="000E3D72">
        <w:rPr>
          <w:rFonts w:ascii="Times New Roman" w:hAnsi="Times New Roman"/>
          <w:bCs/>
          <w:sz w:val="24"/>
          <w:szCs w:val="24"/>
        </w:rPr>
        <w:tab/>
        <w:t xml:space="preserve">není nutná </w:t>
      </w:r>
    </w:p>
    <w:p w14:paraId="1FB20389" w14:textId="625DEF97" w:rsidR="00F84754" w:rsidRPr="000E3D72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>Dodatečná ochrana nohou</w:t>
      </w:r>
      <w:r w:rsidRPr="000E3D72">
        <w:rPr>
          <w:rFonts w:ascii="Times New Roman" w:hAnsi="Times New Roman"/>
          <w:bCs/>
          <w:sz w:val="24"/>
          <w:szCs w:val="24"/>
        </w:rPr>
        <w:tab/>
        <w:t xml:space="preserve">pracovní obuv </w:t>
      </w:r>
      <w:r w:rsidR="00404937" w:rsidRPr="000B3B2F">
        <w:rPr>
          <w:rFonts w:ascii="Times New Roman" w:hAnsi="Times New Roman"/>
          <w:bCs/>
          <w:sz w:val="24"/>
          <w:szCs w:val="24"/>
        </w:rPr>
        <w:t xml:space="preserve">(např. gumové nebo plastové holínky) </w:t>
      </w:r>
      <w:r w:rsidRPr="000B3B2F">
        <w:rPr>
          <w:rFonts w:ascii="Times New Roman" w:hAnsi="Times New Roman"/>
          <w:bCs/>
          <w:sz w:val="24"/>
          <w:szCs w:val="24"/>
        </w:rPr>
        <w:t xml:space="preserve">podle ČSN EN ISO </w:t>
      </w:r>
      <w:r w:rsidR="00404937" w:rsidRPr="000B3B2F">
        <w:rPr>
          <w:rFonts w:ascii="Times New Roman" w:hAnsi="Times New Roman"/>
          <w:bCs/>
          <w:sz w:val="24"/>
          <w:szCs w:val="24"/>
        </w:rPr>
        <w:t>20346 nebo</w:t>
      </w:r>
      <w:r w:rsidR="00404937" w:rsidRPr="00404937">
        <w:rPr>
          <w:rFonts w:ascii="Times New Roman" w:hAnsi="Times New Roman"/>
          <w:bCs/>
          <w:sz w:val="24"/>
          <w:szCs w:val="24"/>
        </w:rPr>
        <w:t xml:space="preserve"> ČSN EN ISO</w:t>
      </w:r>
      <w:r w:rsidR="00404937">
        <w:rPr>
          <w:rFonts w:ascii="Times New Roman" w:hAnsi="Times New Roman"/>
          <w:bCs/>
          <w:sz w:val="24"/>
          <w:szCs w:val="24"/>
        </w:rPr>
        <w:t xml:space="preserve"> </w:t>
      </w:r>
      <w:r w:rsidRPr="000E3D72">
        <w:rPr>
          <w:rFonts w:ascii="Times New Roman" w:hAnsi="Times New Roman"/>
          <w:bCs/>
          <w:sz w:val="24"/>
          <w:szCs w:val="24"/>
        </w:rPr>
        <w:t>2034</w:t>
      </w:r>
      <w:r w:rsidR="00A82A4B" w:rsidRPr="000E3D72">
        <w:rPr>
          <w:rFonts w:ascii="Times New Roman" w:hAnsi="Times New Roman"/>
          <w:bCs/>
          <w:sz w:val="24"/>
          <w:szCs w:val="24"/>
        </w:rPr>
        <w:t>7</w:t>
      </w:r>
      <w:r w:rsidRPr="000E3D72">
        <w:rPr>
          <w:rFonts w:ascii="Times New Roman" w:hAnsi="Times New Roman"/>
          <w:bCs/>
          <w:sz w:val="24"/>
          <w:szCs w:val="24"/>
        </w:rPr>
        <w:t xml:space="preserve"> (s ohledem na </w:t>
      </w:r>
      <w:r w:rsidR="00A82A4B" w:rsidRPr="000E3D72">
        <w:rPr>
          <w:rFonts w:ascii="Times New Roman" w:hAnsi="Times New Roman"/>
          <w:bCs/>
          <w:sz w:val="24"/>
          <w:szCs w:val="24"/>
        </w:rPr>
        <w:t xml:space="preserve">vykonávanou </w:t>
      </w:r>
      <w:r w:rsidR="002C66D8" w:rsidRPr="000E3D72">
        <w:rPr>
          <w:rFonts w:ascii="Times New Roman" w:hAnsi="Times New Roman"/>
          <w:bCs/>
          <w:sz w:val="24"/>
          <w:szCs w:val="24"/>
        </w:rPr>
        <w:t>práci</w:t>
      </w:r>
      <w:r w:rsidRPr="000E3D72">
        <w:rPr>
          <w:rFonts w:ascii="Times New Roman" w:hAnsi="Times New Roman"/>
          <w:bCs/>
          <w:sz w:val="24"/>
          <w:szCs w:val="24"/>
        </w:rPr>
        <w:t>)</w:t>
      </w:r>
    </w:p>
    <w:p w14:paraId="0B3E5FA9" w14:textId="40AFF2CB" w:rsidR="00F84754" w:rsidRPr="000E3D72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E3D72">
        <w:rPr>
          <w:rFonts w:ascii="Times New Roman" w:hAnsi="Times New Roman"/>
          <w:bCs/>
          <w:sz w:val="24"/>
          <w:szCs w:val="24"/>
        </w:rPr>
        <w:t>Společný údaj k</w:t>
      </w:r>
      <w:r w:rsidR="00380FB6" w:rsidRPr="000E3D72">
        <w:rPr>
          <w:rFonts w:ascii="Times New Roman" w:hAnsi="Times New Roman"/>
          <w:bCs/>
          <w:sz w:val="24"/>
          <w:szCs w:val="24"/>
        </w:rPr>
        <w:t> </w:t>
      </w:r>
      <w:r w:rsidRPr="000E3D72">
        <w:rPr>
          <w:rFonts w:ascii="Times New Roman" w:hAnsi="Times New Roman"/>
          <w:bCs/>
          <w:sz w:val="24"/>
          <w:szCs w:val="24"/>
        </w:rPr>
        <w:t xml:space="preserve">OOPP </w:t>
      </w:r>
      <w:r w:rsidRPr="000E3D72">
        <w:rPr>
          <w:rFonts w:ascii="Times New Roman" w:hAnsi="Times New Roman"/>
          <w:bCs/>
          <w:sz w:val="24"/>
          <w:szCs w:val="24"/>
        </w:rPr>
        <w:tab/>
        <w:t>poškozené OOPP (např. protržené rukavice) je třeba vyměnit</w:t>
      </w:r>
      <w:r w:rsidR="00380FB6" w:rsidRPr="000E3D72">
        <w:rPr>
          <w:rFonts w:ascii="Times New Roman" w:hAnsi="Times New Roman"/>
          <w:bCs/>
          <w:sz w:val="24"/>
          <w:szCs w:val="24"/>
        </w:rPr>
        <w:t>.</w:t>
      </w:r>
    </w:p>
    <w:p w14:paraId="72E89568" w14:textId="6B63AF44" w:rsidR="00F84754" w:rsidRPr="000E3D72" w:rsidRDefault="006C7E63" w:rsidP="00F53F74">
      <w:pPr>
        <w:widowControl w:val="0"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3D72">
        <w:rPr>
          <w:rFonts w:ascii="Times New Roman" w:hAnsi="Times New Roman"/>
          <w:color w:val="000000"/>
          <w:sz w:val="24"/>
          <w:szCs w:val="24"/>
        </w:rPr>
        <w:t xml:space="preserve">OOPP používat při nakládání s přípravkem i při </w:t>
      </w:r>
      <w:r w:rsidRPr="000E3D72">
        <w:rPr>
          <w:rFonts w:ascii="Times New Roman" w:hAnsi="Times New Roman"/>
          <w:bCs/>
          <w:color w:val="000000"/>
          <w:sz w:val="24"/>
          <w:szCs w:val="24"/>
        </w:rPr>
        <w:t>balení</w:t>
      </w:r>
      <w:r w:rsidR="002C66D8" w:rsidRPr="000E3D7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E3D72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2C66D8" w:rsidRPr="000E3D7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E3D72">
        <w:rPr>
          <w:rFonts w:ascii="Times New Roman" w:hAnsi="Times New Roman"/>
          <w:bCs/>
          <w:color w:val="000000"/>
          <w:sz w:val="24"/>
          <w:szCs w:val="24"/>
        </w:rPr>
        <w:t>pytlování namořeného osiva a</w:t>
      </w:r>
      <w:r w:rsidR="00A5793A" w:rsidRPr="000E3D7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E3D72">
        <w:rPr>
          <w:rFonts w:ascii="Times New Roman" w:hAnsi="Times New Roman"/>
          <w:bCs/>
          <w:color w:val="000000"/>
          <w:sz w:val="24"/>
          <w:szCs w:val="24"/>
        </w:rPr>
        <w:t>při</w:t>
      </w:r>
      <w:r w:rsidR="00A5793A" w:rsidRPr="000E3D7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E3D72">
        <w:rPr>
          <w:rFonts w:ascii="Times New Roman" w:hAnsi="Times New Roman"/>
          <w:bCs/>
          <w:color w:val="000000"/>
          <w:sz w:val="24"/>
          <w:szCs w:val="24"/>
        </w:rPr>
        <w:t>čištění zařízení</w:t>
      </w:r>
      <w:r w:rsidR="00F84754" w:rsidRPr="000E3D72">
        <w:rPr>
          <w:rFonts w:ascii="Times New Roman" w:hAnsi="Times New Roman"/>
          <w:color w:val="000000"/>
          <w:sz w:val="24"/>
          <w:szCs w:val="24"/>
        </w:rPr>
        <w:t>.</w:t>
      </w:r>
      <w:r w:rsidR="00F84754" w:rsidRPr="000E3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bookmarkEnd w:id="5"/>
    <w:p w14:paraId="5FB8ADC4" w14:textId="77777777" w:rsidR="001A20AE" w:rsidRPr="006505C1" w:rsidRDefault="001A20AE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4AEF2320" w14:textId="77777777" w:rsidR="006322AA" w:rsidRPr="00261EFE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6872629" w14:textId="22885A64" w:rsidR="00921E3A" w:rsidRDefault="00921E3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6" w:name="_Hlk89172161"/>
      <w:r w:rsidRPr="00921E3A">
        <w:rPr>
          <w:rFonts w:ascii="Times New Roman" w:hAnsi="Times New Roman"/>
          <w:sz w:val="24"/>
          <w:szCs w:val="24"/>
        </w:rPr>
        <w:t>Nebezpečný pro ptáky a savce.</w:t>
      </w:r>
    </w:p>
    <w:p w14:paraId="64007EA7" w14:textId="70CA7D3D" w:rsidR="00921E3A" w:rsidRDefault="00921E3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21E3A">
        <w:rPr>
          <w:rFonts w:ascii="Times New Roman" w:hAnsi="Times New Roman"/>
          <w:sz w:val="24"/>
          <w:szCs w:val="24"/>
        </w:rPr>
        <w:t>Nebezpečný pro včely.</w:t>
      </w:r>
    </w:p>
    <w:p w14:paraId="2D083298" w14:textId="1AB901CF" w:rsidR="002166D2" w:rsidRPr="000E3D72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>Zamezte styku přípravku s kůží.</w:t>
      </w:r>
    </w:p>
    <w:p w14:paraId="3AFE5B11" w14:textId="48BD6EF6" w:rsidR="00DB03EC" w:rsidRPr="000E3D72" w:rsidRDefault="00DB03EC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 xml:space="preserve">Při práci na </w:t>
      </w:r>
      <w:proofErr w:type="spellStart"/>
      <w:r w:rsidRPr="000E3D72">
        <w:rPr>
          <w:rFonts w:ascii="Times New Roman" w:hAnsi="Times New Roman"/>
          <w:sz w:val="24"/>
          <w:szCs w:val="24"/>
        </w:rPr>
        <w:t>mořičce</w:t>
      </w:r>
      <w:proofErr w:type="spellEnd"/>
      <w:r w:rsidRPr="000E3D72">
        <w:rPr>
          <w:rFonts w:ascii="Times New Roman" w:hAnsi="Times New Roman"/>
          <w:sz w:val="24"/>
          <w:szCs w:val="24"/>
        </w:rPr>
        <w:t xml:space="preserve"> nepoužívejte kontaktní čočky.</w:t>
      </w:r>
    </w:p>
    <w:p w14:paraId="140541E3" w14:textId="641746FB" w:rsidR="00AF7550" w:rsidRPr="000E3D72" w:rsidRDefault="00AF7550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 xml:space="preserve">Nejezte, nepijte a nekuřte při práci a až do odložení </w:t>
      </w:r>
      <w:r w:rsidR="008C6410" w:rsidRPr="000E3D72">
        <w:rPr>
          <w:rFonts w:ascii="Times New Roman" w:hAnsi="Times New Roman"/>
          <w:sz w:val="24"/>
          <w:szCs w:val="24"/>
        </w:rPr>
        <w:t>OOPP</w:t>
      </w:r>
      <w:r w:rsidRPr="000E3D72">
        <w:rPr>
          <w:rFonts w:ascii="Times New Roman" w:hAnsi="Times New Roman"/>
          <w:sz w:val="24"/>
          <w:szCs w:val="24"/>
        </w:rPr>
        <w:t>.</w:t>
      </w:r>
    </w:p>
    <w:p w14:paraId="0888DA00" w14:textId="77777777" w:rsidR="00AF7550" w:rsidRPr="000E3D72" w:rsidRDefault="00336565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 xml:space="preserve">Po skončení práce, resp. odložení osobních ochranných pracovních prostředků se </w:t>
      </w:r>
      <w:r w:rsidR="00AF7550" w:rsidRPr="000E3D72">
        <w:rPr>
          <w:rFonts w:ascii="Times New Roman" w:hAnsi="Times New Roman"/>
          <w:sz w:val="24"/>
          <w:szCs w:val="24"/>
        </w:rPr>
        <w:t>důkladně umyjte/</w:t>
      </w:r>
      <w:r w:rsidRPr="000E3D72">
        <w:rPr>
          <w:rFonts w:ascii="Times New Roman" w:hAnsi="Times New Roman"/>
          <w:sz w:val="24"/>
          <w:szCs w:val="24"/>
        </w:rPr>
        <w:t xml:space="preserve">osprchujte. </w:t>
      </w:r>
    </w:p>
    <w:p w14:paraId="7843F4C8" w14:textId="7EB1BED7" w:rsidR="00AF7550" w:rsidRDefault="008C6410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 xml:space="preserve">Po skončení práce </w:t>
      </w:r>
      <w:r w:rsidR="00AF7550" w:rsidRPr="000E3D72">
        <w:rPr>
          <w:rFonts w:ascii="Times New Roman" w:hAnsi="Times New Roman"/>
          <w:sz w:val="24"/>
          <w:szCs w:val="24"/>
        </w:rPr>
        <w:t>ochranný oděv</w:t>
      </w:r>
      <w:r w:rsidRPr="000E3D72">
        <w:rPr>
          <w:rFonts w:ascii="Times New Roman" w:hAnsi="Times New Roman"/>
          <w:sz w:val="24"/>
          <w:szCs w:val="24"/>
        </w:rPr>
        <w:t xml:space="preserve"> a další</w:t>
      </w:r>
      <w:r w:rsidR="00AF7550" w:rsidRPr="000E3D72">
        <w:rPr>
          <w:rFonts w:ascii="Times New Roman" w:hAnsi="Times New Roman"/>
          <w:sz w:val="24"/>
          <w:szCs w:val="24"/>
        </w:rPr>
        <w:t xml:space="preserve"> OOPP vyperte</w:t>
      </w:r>
      <w:r w:rsidRPr="000E3D72">
        <w:rPr>
          <w:rFonts w:ascii="Times New Roman" w:hAnsi="Times New Roman"/>
          <w:sz w:val="24"/>
          <w:szCs w:val="24"/>
        </w:rPr>
        <w:t xml:space="preserve"> /</w:t>
      </w:r>
      <w:r w:rsidR="00AF7550" w:rsidRPr="000E3D72">
        <w:rPr>
          <w:rFonts w:ascii="Times New Roman" w:hAnsi="Times New Roman"/>
          <w:sz w:val="24"/>
          <w:szCs w:val="24"/>
        </w:rPr>
        <w:t>očistěte.</w:t>
      </w:r>
    </w:p>
    <w:p w14:paraId="03F32E5A" w14:textId="31E2C305" w:rsidR="00404937" w:rsidRDefault="00404937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B3B2F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30856F65" w14:textId="6F95138A" w:rsidR="002A7B74" w:rsidRPr="000E3D72" w:rsidRDefault="002A7B74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A7B74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577D53DB" w14:textId="77777777" w:rsidR="00336565" w:rsidRPr="000E3D72" w:rsidRDefault="00A76FA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>S namořeným osivem manipulujte tak, aby se minimalizovala prašnost.</w:t>
      </w:r>
      <w:r w:rsidR="00336565" w:rsidRPr="000E3D72">
        <w:rPr>
          <w:rFonts w:ascii="Times New Roman" w:hAnsi="Times New Roman"/>
          <w:sz w:val="24"/>
          <w:szCs w:val="24"/>
        </w:rPr>
        <w:t xml:space="preserve"> </w:t>
      </w:r>
    </w:p>
    <w:p w14:paraId="7E06DE88" w14:textId="73165400" w:rsidR="00336565" w:rsidRPr="000E3D72" w:rsidRDefault="00336565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 xml:space="preserve">Na obalech </w:t>
      </w:r>
      <w:r w:rsidR="00391C09" w:rsidRPr="000E3D72">
        <w:rPr>
          <w:rFonts w:ascii="Times New Roman" w:hAnsi="Times New Roman"/>
          <w:sz w:val="24"/>
          <w:szCs w:val="24"/>
        </w:rPr>
        <w:t xml:space="preserve">(pytlích) </w:t>
      </w:r>
      <w:r w:rsidR="00A76FA3" w:rsidRPr="000E3D72">
        <w:rPr>
          <w:rFonts w:ascii="Times New Roman" w:hAnsi="Times New Roman"/>
          <w:sz w:val="24"/>
          <w:szCs w:val="24"/>
        </w:rPr>
        <w:t xml:space="preserve">s osivem </w:t>
      </w:r>
      <w:r w:rsidRPr="000E3D72">
        <w:rPr>
          <w:rFonts w:ascii="Times New Roman" w:hAnsi="Times New Roman"/>
          <w:sz w:val="24"/>
          <w:szCs w:val="24"/>
        </w:rPr>
        <w:t xml:space="preserve">musí být uvedena opatření ke zmírnění rizika při nakládání s osivem ošetřeným přípravkem </w:t>
      </w:r>
      <w:proofErr w:type="spellStart"/>
      <w:r w:rsidRPr="000E3D72">
        <w:rPr>
          <w:rFonts w:ascii="Times New Roman" w:hAnsi="Times New Roman"/>
          <w:sz w:val="24"/>
          <w:szCs w:val="24"/>
        </w:rPr>
        <w:t>Cruiser</w:t>
      </w:r>
      <w:proofErr w:type="spellEnd"/>
      <w:r w:rsidRPr="000E3D72">
        <w:rPr>
          <w:rFonts w:ascii="Times New Roman" w:hAnsi="Times New Roman"/>
          <w:sz w:val="24"/>
          <w:szCs w:val="24"/>
        </w:rPr>
        <w:t> OSR</w:t>
      </w:r>
      <w:r w:rsidRPr="000E3D72">
        <w:rPr>
          <w:rFonts w:ascii="Times New Roman" w:hAnsi="Times New Roman"/>
          <w:bCs/>
          <w:sz w:val="24"/>
          <w:szCs w:val="24"/>
        </w:rPr>
        <w:t xml:space="preserve"> a musí být zřetelně označeny:</w:t>
      </w:r>
    </w:p>
    <w:p w14:paraId="132E0F40" w14:textId="01415C1A" w:rsidR="00336565" w:rsidRPr="000E3D72" w:rsidRDefault="00BF2FDE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>„</w:t>
      </w:r>
      <w:r w:rsidR="00336565" w:rsidRPr="000E3D72">
        <w:rPr>
          <w:rFonts w:ascii="Times New Roman" w:hAnsi="Times New Roman"/>
          <w:sz w:val="24"/>
          <w:szCs w:val="24"/>
        </w:rPr>
        <w:t xml:space="preserve">Osivo namořeno přípravkem </w:t>
      </w:r>
      <w:proofErr w:type="spellStart"/>
      <w:r w:rsidR="00336565" w:rsidRPr="000E3D72">
        <w:rPr>
          <w:rFonts w:ascii="Times New Roman" w:hAnsi="Times New Roman"/>
          <w:sz w:val="24"/>
          <w:szCs w:val="24"/>
        </w:rPr>
        <w:t>Cruiser</w:t>
      </w:r>
      <w:proofErr w:type="spellEnd"/>
      <w:r w:rsidR="00336565" w:rsidRPr="000E3D72">
        <w:rPr>
          <w:rFonts w:ascii="Times New Roman" w:hAnsi="Times New Roman"/>
          <w:sz w:val="24"/>
          <w:szCs w:val="24"/>
        </w:rPr>
        <w:t> OSR</w:t>
      </w:r>
      <w:r w:rsidR="00336565" w:rsidRPr="000E3D72">
        <w:rPr>
          <w:rFonts w:ascii="Times New Roman" w:hAnsi="Times New Roman"/>
          <w:bCs/>
          <w:sz w:val="24"/>
          <w:szCs w:val="24"/>
        </w:rPr>
        <w:t xml:space="preserve"> </w:t>
      </w:r>
      <w:r w:rsidR="00336565" w:rsidRPr="000E3D72">
        <w:rPr>
          <w:rFonts w:ascii="Times New Roman" w:hAnsi="Times New Roman"/>
          <w:sz w:val="24"/>
          <w:szCs w:val="24"/>
        </w:rPr>
        <w:t>na</w:t>
      </w:r>
      <w:r w:rsidRPr="000E3D72">
        <w:rPr>
          <w:rFonts w:ascii="Times New Roman" w:hAnsi="Times New Roman"/>
          <w:sz w:val="24"/>
          <w:szCs w:val="24"/>
        </w:rPr>
        <w:t> </w:t>
      </w:r>
      <w:r w:rsidR="00336565" w:rsidRPr="000E3D72">
        <w:rPr>
          <w:rFonts w:ascii="Times New Roman" w:hAnsi="Times New Roman"/>
          <w:sz w:val="24"/>
          <w:szCs w:val="24"/>
        </w:rPr>
        <w:t xml:space="preserve">bázi </w:t>
      </w:r>
      <w:proofErr w:type="spellStart"/>
      <w:r w:rsidR="00336565" w:rsidRPr="000E3D72">
        <w:rPr>
          <w:rFonts w:ascii="Times New Roman" w:hAnsi="Times New Roman"/>
          <w:bCs/>
          <w:sz w:val="24"/>
          <w:szCs w:val="24"/>
        </w:rPr>
        <w:t>metalaxylu</w:t>
      </w:r>
      <w:proofErr w:type="spellEnd"/>
      <w:r w:rsidR="00336565" w:rsidRPr="000E3D72">
        <w:rPr>
          <w:rFonts w:ascii="Times New Roman" w:hAnsi="Times New Roman"/>
          <w:bCs/>
          <w:sz w:val="24"/>
          <w:szCs w:val="24"/>
        </w:rPr>
        <w:t xml:space="preserve">-M, </w:t>
      </w:r>
      <w:proofErr w:type="spellStart"/>
      <w:r w:rsidR="00336565" w:rsidRPr="000E3D72">
        <w:rPr>
          <w:rFonts w:ascii="Times New Roman" w:hAnsi="Times New Roman"/>
          <w:bCs/>
          <w:sz w:val="24"/>
          <w:szCs w:val="24"/>
        </w:rPr>
        <w:t>fludioxonilu</w:t>
      </w:r>
      <w:proofErr w:type="spellEnd"/>
      <w:r w:rsidR="00336565" w:rsidRPr="000E3D72">
        <w:rPr>
          <w:rFonts w:ascii="Times New Roman" w:hAnsi="Times New Roman"/>
          <w:bCs/>
          <w:sz w:val="24"/>
          <w:szCs w:val="24"/>
        </w:rPr>
        <w:t xml:space="preserve"> a</w:t>
      </w:r>
      <w:r w:rsidR="00A5793A" w:rsidRPr="000E3D72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336565" w:rsidRPr="000E3D72">
        <w:rPr>
          <w:rFonts w:ascii="Times New Roman" w:hAnsi="Times New Roman"/>
          <w:bCs/>
          <w:sz w:val="24"/>
          <w:szCs w:val="24"/>
        </w:rPr>
        <w:t>thiamethoxamu</w:t>
      </w:r>
      <w:proofErr w:type="spellEnd"/>
      <w:r w:rsidR="00336565" w:rsidRPr="000E3D72">
        <w:rPr>
          <w:rFonts w:ascii="Times New Roman" w:hAnsi="Times New Roman"/>
          <w:bCs/>
          <w:sz w:val="24"/>
          <w:szCs w:val="24"/>
        </w:rPr>
        <w:t>.</w:t>
      </w:r>
      <w:r w:rsidR="003C055D" w:rsidRPr="000E3D72">
        <w:rPr>
          <w:rFonts w:ascii="Times New Roman" w:hAnsi="Times New Roman"/>
          <w:bCs/>
          <w:sz w:val="24"/>
          <w:szCs w:val="24"/>
        </w:rPr>
        <w:t xml:space="preserve"> </w:t>
      </w:r>
      <w:r w:rsidR="00336565" w:rsidRPr="000E3D72">
        <w:rPr>
          <w:rFonts w:ascii="Times New Roman" w:hAnsi="Times New Roman"/>
          <w:sz w:val="24"/>
          <w:szCs w:val="24"/>
        </w:rPr>
        <w:t>Namořené osivo nesmí být použito ke konzumním ani krmným účelům!</w:t>
      </w:r>
      <w:r w:rsidR="003C055D" w:rsidRPr="000E3D72">
        <w:rPr>
          <w:rFonts w:ascii="Times New Roman" w:hAnsi="Times New Roman"/>
          <w:sz w:val="24"/>
          <w:szCs w:val="24"/>
        </w:rPr>
        <w:t>“</w:t>
      </w:r>
    </w:p>
    <w:p w14:paraId="690BC870" w14:textId="6564FC91" w:rsidR="00336565" w:rsidRDefault="0033656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t xml:space="preserve">Obaly </w:t>
      </w:r>
      <w:r w:rsidR="00391C09" w:rsidRPr="000E3D72">
        <w:rPr>
          <w:rFonts w:ascii="Times New Roman" w:hAnsi="Times New Roman"/>
          <w:sz w:val="24"/>
          <w:szCs w:val="24"/>
        </w:rPr>
        <w:t xml:space="preserve">(pytle) </w:t>
      </w:r>
      <w:r w:rsidRPr="000E3D72">
        <w:rPr>
          <w:rFonts w:ascii="Times New Roman" w:hAnsi="Times New Roman"/>
          <w:sz w:val="24"/>
          <w:szCs w:val="24"/>
        </w:rPr>
        <w:t>od namořeného osiva musí být řádně označeny, nesmí být použity k jiným účelům a musí být zlikvidovány v zařízeních k tomu určených.</w:t>
      </w:r>
    </w:p>
    <w:p w14:paraId="6E3A3B90" w14:textId="65DAD539" w:rsidR="006276B4" w:rsidRPr="000E3D72" w:rsidRDefault="006276B4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manipulaci s namořeným osivem včetně přípravy na setí použijte vhodný ochranný oděv a ochranné rukavice.</w:t>
      </w:r>
    </w:p>
    <w:p w14:paraId="041567C1" w14:textId="146FF60C" w:rsidR="00104C05" w:rsidRDefault="00104C0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>Na obalech s namořeným osivem musí být uvedena opatření ke zmírnění rizika při nakládání s</w:t>
      </w:r>
      <w:r w:rsidR="0022061A" w:rsidRPr="00261EFE">
        <w:rPr>
          <w:rFonts w:ascii="Times New Roman" w:hAnsi="Times New Roman"/>
          <w:sz w:val="24"/>
          <w:szCs w:val="24"/>
        </w:rPr>
        <w:t> </w:t>
      </w:r>
      <w:r w:rsidRPr="00261EFE">
        <w:rPr>
          <w:rFonts w:ascii="Times New Roman" w:hAnsi="Times New Roman"/>
          <w:sz w:val="24"/>
          <w:szCs w:val="24"/>
        </w:rPr>
        <w:t xml:space="preserve">osivem ošetřeným přípravkem </w:t>
      </w:r>
      <w:proofErr w:type="spellStart"/>
      <w:r w:rsidRPr="00261EFE">
        <w:rPr>
          <w:rFonts w:ascii="Times New Roman" w:hAnsi="Times New Roman"/>
          <w:sz w:val="24"/>
          <w:szCs w:val="24"/>
        </w:rPr>
        <w:t>Cruiser</w:t>
      </w:r>
      <w:proofErr w:type="spellEnd"/>
      <w:r w:rsidRPr="00261EFE">
        <w:rPr>
          <w:rFonts w:ascii="Times New Roman" w:hAnsi="Times New Roman"/>
          <w:sz w:val="24"/>
          <w:szCs w:val="24"/>
        </w:rPr>
        <w:t xml:space="preserve"> OSR s ohledem na necílové organismy.</w:t>
      </w:r>
    </w:p>
    <w:p w14:paraId="4439FC47" w14:textId="4B95BCB5" w:rsidR="006322AA" w:rsidRDefault="00864F7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D72">
        <w:rPr>
          <w:rFonts w:ascii="Times New Roman" w:hAnsi="Times New Roman"/>
          <w:sz w:val="24"/>
          <w:szCs w:val="24"/>
        </w:rPr>
        <w:lastRenderedPageBreak/>
        <w:t xml:space="preserve">Za účelem ochrany včel použijte pouze profesionální zařízení pro moření osiva. </w:t>
      </w:r>
    </w:p>
    <w:p w14:paraId="4A753AE1" w14:textId="77777777" w:rsidR="00F732C9" w:rsidRPr="000E3D72" w:rsidRDefault="00F732C9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D368713" w14:textId="2656BDEB" w:rsidR="000E3D72" w:rsidRPr="00921E3A" w:rsidRDefault="000E3D7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21E3A">
        <w:rPr>
          <w:rFonts w:ascii="Times New Roman" w:hAnsi="Times New Roman"/>
          <w:sz w:val="24"/>
          <w:szCs w:val="24"/>
        </w:rPr>
        <w:t xml:space="preserve">Přípravek lze aplikovat profesionálním zařízením pro aplikaci přípravků určených pro moření osiv. Přípravek se doporučuje aplikovat v profesionálním mořícím </w:t>
      </w:r>
      <w:r w:rsidR="00921E3A" w:rsidRPr="00921E3A">
        <w:rPr>
          <w:rFonts w:ascii="Times New Roman" w:hAnsi="Times New Roman"/>
          <w:sz w:val="24"/>
          <w:szCs w:val="24"/>
        </w:rPr>
        <w:t>zařízení,</w:t>
      </w:r>
      <w:r w:rsidRPr="00921E3A">
        <w:rPr>
          <w:rFonts w:ascii="Times New Roman" w:hAnsi="Times New Roman"/>
          <w:sz w:val="24"/>
          <w:szCs w:val="24"/>
        </w:rPr>
        <w:t xml:space="preserve"> a to pouze ve stacionární </w:t>
      </w:r>
      <w:proofErr w:type="spellStart"/>
      <w:r w:rsidRPr="00921E3A">
        <w:rPr>
          <w:rFonts w:ascii="Times New Roman" w:hAnsi="Times New Roman"/>
          <w:sz w:val="24"/>
          <w:szCs w:val="24"/>
        </w:rPr>
        <w:t>mořičce</w:t>
      </w:r>
      <w:proofErr w:type="spellEnd"/>
      <w:r w:rsidRPr="00921E3A">
        <w:rPr>
          <w:rFonts w:ascii="Times New Roman" w:hAnsi="Times New Roman"/>
          <w:sz w:val="24"/>
          <w:szCs w:val="24"/>
        </w:rPr>
        <w:t>, která je vybavena odsáváním v místě balení a pytlování.</w:t>
      </w:r>
    </w:p>
    <w:p w14:paraId="2FB6F5DF" w14:textId="41FCE482" w:rsidR="003D1CF7" w:rsidRPr="00921E3A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21E3A">
        <w:rPr>
          <w:rFonts w:ascii="Times New Roman" w:hAnsi="Times New Roman"/>
          <w:bCs/>
          <w:sz w:val="24"/>
          <w:szCs w:val="24"/>
        </w:rPr>
        <w:t xml:space="preserve">Pokud bude distributorem namořené osivo skladováno v mezidobí </w:t>
      </w:r>
      <w:r w:rsidRPr="00921E3A">
        <w:rPr>
          <w:rFonts w:ascii="Times New Roman" w:hAnsi="Times New Roman"/>
          <w:sz w:val="24"/>
          <w:szCs w:val="24"/>
        </w:rPr>
        <w:t>mezi namořením osiva a</w:t>
      </w:r>
      <w:r w:rsidR="00380FB6" w:rsidRPr="00921E3A">
        <w:rPr>
          <w:rFonts w:ascii="Times New Roman" w:hAnsi="Times New Roman"/>
          <w:sz w:val="24"/>
          <w:szCs w:val="24"/>
        </w:rPr>
        <w:t> </w:t>
      </w:r>
      <w:r w:rsidRPr="00921E3A">
        <w:rPr>
          <w:rFonts w:ascii="Times New Roman" w:hAnsi="Times New Roman"/>
          <w:sz w:val="24"/>
          <w:szCs w:val="24"/>
        </w:rPr>
        <w:t>vysetím namořeného osiva, bude skladováno odděleně a označeno jako osivo určené k vysetí na základě nařízení vydaného ÚKZÚZ.</w:t>
      </w:r>
    </w:p>
    <w:p w14:paraId="2E2E2746" w14:textId="5E2DA9A2" w:rsidR="003D1CF7" w:rsidRPr="006505C1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Při setí pomocí pneumatických secích strojů je nutné za účelem ochrany včel použít výhradně ty, které jsou k tomuto účelu doporučené ÚKZÚZ.</w:t>
      </w:r>
    </w:p>
    <w:p w14:paraId="3BA56F76" w14:textId="3BC5288E" w:rsidR="003D1CF7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 xml:space="preserve">Na setí se použijí zařízení, které </w:t>
      </w:r>
      <w:proofErr w:type="gramStart"/>
      <w:r w:rsidRPr="006505C1">
        <w:rPr>
          <w:rFonts w:ascii="Times New Roman" w:hAnsi="Times New Roman"/>
          <w:sz w:val="24"/>
          <w:szCs w:val="24"/>
        </w:rPr>
        <w:t>zabezpečí</w:t>
      </w:r>
      <w:proofErr w:type="gramEnd"/>
      <w:r w:rsidRPr="006505C1">
        <w:rPr>
          <w:rFonts w:ascii="Times New Roman" w:hAnsi="Times New Roman"/>
          <w:sz w:val="24"/>
          <w:szCs w:val="24"/>
        </w:rPr>
        <w:t xml:space="preserve"> vysoký stupeň zapracování osiva do půdy, minimalizaci ztrát a rozptylu prachu. Namořené osivo se nesmí sít v silném větru, aby nedošlo k úletu prachu a ke kontaminaci okolního porostu. </w:t>
      </w:r>
    </w:p>
    <w:bookmarkEnd w:id="6"/>
    <w:p w14:paraId="4D7A806D" w14:textId="2C2E9660" w:rsidR="002166D2" w:rsidRPr="006505C1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1A91F8" w14:textId="77777777" w:rsidR="00BF2FDE" w:rsidRPr="00261EFE" w:rsidRDefault="00BF2FDE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261EFE">
        <w:rPr>
          <w:rFonts w:ascii="Times New Roman" w:hAnsi="Times New Roman"/>
          <w:sz w:val="24"/>
          <w:szCs w:val="24"/>
        </w:rPr>
        <w:t>Cruiser</w:t>
      </w:r>
      <w:proofErr w:type="spellEnd"/>
      <w:r w:rsidRPr="00261EFE">
        <w:rPr>
          <w:rFonts w:ascii="Times New Roman" w:hAnsi="Times New Roman"/>
          <w:sz w:val="24"/>
          <w:szCs w:val="24"/>
        </w:rPr>
        <w:t> OSR je povolen k uvádění na trh v následujících obalech:</w:t>
      </w:r>
    </w:p>
    <w:p w14:paraId="4A9BDB4B" w14:textId="77777777" w:rsidR="00380FB6" w:rsidRPr="00261EFE" w:rsidRDefault="004B2009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 xml:space="preserve">HDPE </w:t>
      </w:r>
      <w:r w:rsidR="004B32CA" w:rsidRPr="00261EFE">
        <w:rPr>
          <w:rFonts w:ascii="Times New Roman" w:hAnsi="Times New Roman"/>
          <w:sz w:val="24"/>
          <w:szCs w:val="24"/>
        </w:rPr>
        <w:t>kanystr</w:t>
      </w:r>
      <w:r w:rsidRPr="00261EFE">
        <w:rPr>
          <w:rFonts w:ascii="Times New Roman" w:hAnsi="Times New Roman"/>
          <w:sz w:val="24"/>
          <w:szCs w:val="24"/>
        </w:rPr>
        <w:t xml:space="preserve"> s přípravkem v množství </w:t>
      </w:r>
      <w:r w:rsidR="004B32CA" w:rsidRPr="00261EFE">
        <w:rPr>
          <w:rFonts w:ascii="Times New Roman" w:hAnsi="Times New Roman"/>
          <w:sz w:val="24"/>
          <w:szCs w:val="24"/>
        </w:rPr>
        <w:t>5</w:t>
      </w:r>
      <w:r w:rsidRPr="00261EFE">
        <w:rPr>
          <w:rFonts w:ascii="Times New Roman" w:hAnsi="Times New Roman"/>
          <w:sz w:val="24"/>
          <w:szCs w:val="24"/>
        </w:rPr>
        <w:t xml:space="preserve"> l</w:t>
      </w:r>
      <w:r w:rsidR="00C372AA" w:rsidRPr="00261EFE">
        <w:rPr>
          <w:rFonts w:ascii="Times New Roman" w:hAnsi="Times New Roman"/>
          <w:sz w:val="24"/>
          <w:szCs w:val="24"/>
        </w:rPr>
        <w:t xml:space="preserve"> a 20 l</w:t>
      </w:r>
      <w:r w:rsidR="00380FB6" w:rsidRPr="00261EFE">
        <w:rPr>
          <w:rFonts w:ascii="Times New Roman" w:hAnsi="Times New Roman"/>
          <w:sz w:val="24"/>
          <w:szCs w:val="24"/>
        </w:rPr>
        <w:t>;</w:t>
      </w:r>
    </w:p>
    <w:p w14:paraId="025EC53E" w14:textId="10F4E3E8" w:rsidR="004B32CA" w:rsidRPr="00F53F74" w:rsidRDefault="004B32C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>HDPE sud s přípravkem v množství 200 l.</w:t>
      </w:r>
    </w:p>
    <w:p w14:paraId="04A903E7" w14:textId="77777777" w:rsidR="00BE51A9" w:rsidRPr="00F53F74" w:rsidRDefault="00BE51A9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63076636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2</w:t>
      </w:r>
    </w:p>
    <w:p w14:paraId="2DE90422" w14:textId="77777777" w:rsidR="00466FF4" w:rsidRPr="00F53F74" w:rsidRDefault="00466FF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50491E" w14:textId="48C4A104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F53F74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F53F74">
        <w:rPr>
          <w:rFonts w:ascii="Times New Roman" w:hAnsi="Times New Roman"/>
          <w:sz w:val="24"/>
          <w:szCs w:val="24"/>
        </w:rPr>
        <w:t xml:space="preserve"> </w:t>
      </w:r>
      <w:r w:rsidR="00254BEB" w:rsidRPr="00254BEB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  <w:r w:rsidR="00296A3B" w:rsidRPr="00F53F74">
        <w:rPr>
          <w:rFonts w:ascii="Times New Roman" w:hAnsi="Times New Roman"/>
          <w:sz w:val="24"/>
          <w:szCs w:val="24"/>
        </w:rPr>
        <w:t xml:space="preserve"> </w:t>
      </w:r>
    </w:p>
    <w:p w14:paraId="2611E9A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3D78C6" w14:textId="6ACE90DB" w:rsidR="00504F36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mořit v souladu podmínkami stanovenými tímto nařízením po</w:t>
      </w:r>
      <w:r w:rsidR="00296A3B" w:rsidRPr="00F53F74">
        <w:rPr>
          <w:rFonts w:ascii="Times New Roman" w:hAnsi="Times New Roman"/>
          <w:sz w:val="24"/>
          <w:szCs w:val="24"/>
        </w:rPr>
        <w:t xml:space="preserve"> omezenou dobu </w:t>
      </w:r>
      <w:r w:rsidR="00296A3B" w:rsidRPr="00F53F74">
        <w:rPr>
          <w:rFonts w:ascii="Times New Roman" w:hAnsi="Times New Roman"/>
          <w:b/>
          <w:sz w:val="24"/>
          <w:szCs w:val="24"/>
          <w:u w:val="single"/>
        </w:rPr>
        <w:t>od</w:t>
      </w:r>
      <w:r w:rsidR="00380FB6">
        <w:rPr>
          <w:rFonts w:ascii="Times New Roman" w:hAnsi="Times New Roman"/>
          <w:b/>
          <w:sz w:val="24"/>
          <w:szCs w:val="24"/>
          <w:u w:val="single"/>
        </w:rPr>
        <w:t> 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1</w:t>
      </w:r>
      <w:r w:rsidR="00FD7E04" w:rsidRPr="00556709">
        <w:rPr>
          <w:rFonts w:ascii="Times New Roman" w:hAnsi="Times New Roman"/>
          <w:b/>
          <w:sz w:val="24"/>
          <w:szCs w:val="24"/>
          <w:u w:val="single"/>
        </w:rPr>
        <w:t>. 12. 20</w:t>
      </w:r>
      <w:r w:rsidR="002166D2" w:rsidRPr="00556709">
        <w:rPr>
          <w:rFonts w:ascii="Times New Roman" w:hAnsi="Times New Roman"/>
          <w:b/>
          <w:sz w:val="24"/>
          <w:szCs w:val="24"/>
          <w:u w:val="single"/>
        </w:rPr>
        <w:t>2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2</w:t>
      </w:r>
      <w:r w:rsidR="00FD7E04" w:rsidRPr="00F53F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D7E04" w:rsidRPr="0050351E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2166D2">
        <w:rPr>
          <w:rFonts w:ascii="Times New Roman" w:hAnsi="Times New Roman"/>
          <w:b/>
          <w:sz w:val="24"/>
          <w:szCs w:val="24"/>
          <w:u w:val="single"/>
        </w:rPr>
        <w:t>31</w:t>
      </w:r>
      <w:r w:rsidR="0050351E" w:rsidRPr="0050351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166D2">
        <w:rPr>
          <w:rFonts w:ascii="Times New Roman" w:hAnsi="Times New Roman"/>
          <w:b/>
          <w:sz w:val="24"/>
          <w:szCs w:val="24"/>
          <w:u w:val="single"/>
        </w:rPr>
        <w:t>3</w:t>
      </w:r>
      <w:r w:rsidR="00FD7E04" w:rsidRPr="0050351E">
        <w:rPr>
          <w:rFonts w:ascii="Times New Roman" w:hAnsi="Times New Roman"/>
          <w:b/>
          <w:sz w:val="24"/>
          <w:szCs w:val="24"/>
          <w:u w:val="single"/>
        </w:rPr>
        <w:t>. 20</w:t>
      </w:r>
      <w:r w:rsidRPr="0050351E">
        <w:rPr>
          <w:rFonts w:ascii="Times New Roman" w:hAnsi="Times New Roman"/>
          <w:b/>
          <w:sz w:val="24"/>
          <w:szCs w:val="24"/>
          <w:u w:val="single"/>
        </w:rPr>
        <w:t>2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3</w:t>
      </w:r>
      <w:r w:rsidR="00296A3B" w:rsidRPr="0050351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3F3B24C" w14:textId="5561ED24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D36A80" w14:textId="08E827ED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Osivo máku lze vysévat v souladu s podmínkami stanovenými tímto nařízením po omezenou dobu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1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2. 202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3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do 3</w:t>
      </w:r>
      <w:r w:rsidR="00750C92">
        <w:rPr>
          <w:rFonts w:ascii="Times New Roman" w:hAnsi="Times New Roman"/>
          <w:b/>
          <w:sz w:val="24"/>
          <w:szCs w:val="24"/>
          <w:u w:val="single"/>
        </w:rPr>
        <w:t>1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5. 202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3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4EF0888" w14:textId="77777777" w:rsidR="00465B1A" w:rsidRPr="00F53F74" w:rsidRDefault="00465B1A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724AB" w14:textId="77777777" w:rsidR="000248FF" w:rsidRPr="00F53F74" w:rsidRDefault="00A3039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Čl. </w:t>
      </w:r>
      <w:r w:rsidR="001850B2" w:rsidRPr="00F53F74">
        <w:rPr>
          <w:rFonts w:ascii="Times New Roman" w:hAnsi="Times New Roman"/>
          <w:sz w:val="24"/>
          <w:szCs w:val="24"/>
        </w:rPr>
        <w:t>3</w:t>
      </w:r>
    </w:p>
    <w:p w14:paraId="65B69719" w14:textId="77777777" w:rsidR="000248FF" w:rsidRPr="00F53F74" w:rsidRDefault="000248F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F9843" w14:textId="45D4B3F7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V případě uvádění na trh v rámci podnikání v České republice musí být splněny požadavky na distribuci dle zákona a Nařízení Evropského parlamentu a Rady (ES) č. 1272/2008 ze dne 16.</w:t>
      </w:r>
      <w:r w:rsidR="00FD0861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prosince 2008 o klasifikaci, označ</w:t>
      </w:r>
      <w:r w:rsidR="000921CB" w:rsidRPr="00F53F74">
        <w:rPr>
          <w:rFonts w:ascii="Times New Roman" w:hAnsi="Times New Roman"/>
          <w:sz w:val="24"/>
          <w:szCs w:val="24"/>
        </w:rPr>
        <w:t xml:space="preserve">ování a balení látek a směsí, o </w:t>
      </w:r>
      <w:r w:rsidRPr="00F53F74">
        <w:rPr>
          <w:rFonts w:ascii="Times New Roman" w:hAnsi="Times New Roman"/>
          <w:sz w:val="24"/>
          <w:szCs w:val="24"/>
        </w:rPr>
        <w:t>změně a zrušení směrnic 67/548/EHS a 1999/45/ES a o změně nařízení (ES) č. 1907/2006 (nařízení CLP).</w:t>
      </w:r>
    </w:p>
    <w:p w14:paraId="0DC66A25" w14:textId="77777777" w:rsidR="0002535C" w:rsidRPr="00F53F74" w:rsidRDefault="0002535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2D18E" w14:textId="77777777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6D20A7" w:rsidRPr="00F53F74">
        <w:rPr>
          <w:rFonts w:ascii="Times New Roman" w:hAnsi="Times New Roman"/>
          <w:b/>
          <w:sz w:val="24"/>
          <w:szCs w:val="24"/>
          <w:u w:val="single"/>
        </w:rPr>
        <w:t>Cruiser</w:t>
      </w:r>
      <w:proofErr w:type="spellEnd"/>
      <w:r w:rsidR="006D20A7" w:rsidRPr="00F53F74">
        <w:rPr>
          <w:rFonts w:ascii="Times New Roman" w:hAnsi="Times New Roman"/>
          <w:b/>
          <w:sz w:val="24"/>
          <w:szCs w:val="24"/>
          <w:u w:val="single"/>
        </w:rPr>
        <w:t> OSR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B8DEC56" w14:textId="014EE27F" w:rsidR="000248FF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Etiketa pro použití přípravku v rámci povolení na omezenou dobu nepřesahující 120 dnů (tj.</w:t>
      </w:r>
      <w:r w:rsidR="00FD0861">
        <w:rPr>
          <w:rFonts w:ascii="Times New Roman" w:hAnsi="Times New Roman"/>
          <w:sz w:val="24"/>
          <w:szCs w:val="24"/>
        </w:rPr>
        <w:t> </w:t>
      </w:r>
      <w:bookmarkStart w:id="7" w:name="_Hlk55412066"/>
      <w:r w:rsidRPr="00556709">
        <w:rPr>
          <w:rFonts w:ascii="Times New Roman" w:hAnsi="Times New Roman"/>
          <w:b/>
          <w:sz w:val="24"/>
          <w:szCs w:val="24"/>
        </w:rPr>
        <w:t>od</w:t>
      </w:r>
      <w:bookmarkStart w:id="8" w:name="_Hlk529195243"/>
      <w:r w:rsidR="00564A60" w:rsidRPr="00556709">
        <w:rPr>
          <w:rFonts w:ascii="Times New Roman" w:hAnsi="Times New Roman"/>
          <w:b/>
          <w:sz w:val="24"/>
          <w:szCs w:val="24"/>
        </w:rPr>
        <w:t> </w:t>
      </w:r>
      <w:r w:rsidR="00796724">
        <w:rPr>
          <w:rFonts w:ascii="Times New Roman" w:hAnsi="Times New Roman"/>
          <w:b/>
          <w:sz w:val="24"/>
          <w:szCs w:val="24"/>
        </w:rPr>
        <w:t>1</w:t>
      </w:r>
      <w:r w:rsidR="00465B1A" w:rsidRPr="00556709">
        <w:rPr>
          <w:rFonts w:ascii="Times New Roman" w:hAnsi="Times New Roman"/>
          <w:b/>
          <w:sz w:val="24"/>
          <w:szCs w:val="24"/>
        </w:rPr>
        <w:t>.</w:t>
      </w:r>
      <w:r w:rsidR="00FD0861" w:rsidRPr="00556709">
        <w:rPr>
          <w:rFonts w:ascii="Times New Roman" w:hAnsi="Times New Roman"/>
          <w:b/>
          <w:sz w:val="24"/>
          <w:szCs w:val="24"/>
        </w:rPr>
        <w:t> </w:t>
      </w:r>
      <w:r w:rsidR="00FD7E04" w:rsidRPr="00556709">
        <w:rPr>
          <w:rFonts w:ascii="Times New Roman" w:hAnsi="Times New Roman"/>
          <w:b/>
          <w:sz w:val="24"/>
          <w:szCs w:val="24"/>
        </w:rPr>
        <w:t>12</w:t>
      </w:r>
      <w:r w:rsidR="00465B1A" w:rsidRPr="00556709">
        <w:rPr>
          <w:rFonts w:ascii="Times New Roman" w:hAnsi="Times New Roman"/>
          <w:b/>
          <w:sz w:val="24"/>
          <w:szCs w:val="24"/>
        </w:rPr>
        <w:t>. 20</w:t>
      </w:r>
      <w:r w:rsidR="00750C92" w:rsidRPr="00556709">
        <w:rPr>
          <w:rFonts w:ascii="Times New Roman" w:hAnsi="Times New Roman"/>
          <w:b/>
          <w:sz w:val="24"/>
          <w:szCs w:val="24"/>
        </w:rPr>
        <w:t>2</w:t>
      </w:r>
      <w:r w:rsidR="00796724">
        <w:rPr>
          <w:rFonts w:ascii="Times New Roman" w:hAnsi="Times New Roman"/>
          <w:b/>
          <w:sz w:val="24"/>
          <w:szCs w:val="24"/>
        </w:rPr>
        <w:t>2</w:t>
      </w:r>
      <w:r w:rsidR="00465B1A" w:rsidRPr="00556709">
        <w:rPr>
          <w:rFonts w:ascii="Times New Roman" w:hAnsi="Times New Roman"/>
          <w:b/>
          <w:sz w:val="24"/>
          <w:szCs w:val="24"/>
        </w:rPr>
        <w:t xml:space="preserve"> do</w:t>
      </w:r>
      <w:r w:rsidR="00465B1A" w:rsidRPr="00564A60">
        <w:rPr>
          <w:rFonts w:ascii="Times New Roman" w:hAnsi="Times New Roman"/>
          <w:b/>
          <w:sz w:val="24"/>
          <w:szCs w:val="24"/>
        </w:rPr>
        <w:t xml:space="preserve"> </w:t>
      </w:r>
      <w:r w:rsidR="00750C92">
        <w:rPr>
          <w:rFonts w:ascii="Times New Roman" w:hAnsi="Times New Roman"/>
          <w:b/>
          <w:sz w:val="24"/>
          <w:szCs w:val="24"/>
        </w:rPr>
        <w:t>31</w:t>
      </w:r>
      <w:r w:rsidR="00465B1A" w:rsidRPr="00564A60">
        <w:rPr>
          <w:rFonts w:ascii="Times New Roman" w:hAnsi="Times New Roman"/>
          <w:b/>
          <w:sz w:val="24"/>
          <w:szCs w:val="24"/>
        </w:rPr>
        <w:t xml:space="preserve">. </w:t>
      </w:r>
      <w:r w:rsidR="00750C92">
        <w:rPr>
          <w:rFonts w:ascii="Times New Roman" w:hAnsi="Times New Roman"/>
          <w:b/>
          <w:sz w:val="24"/>
          <w:szCs w:val="24"/>
        </w:rPr>
        <w:t>3</w:t>
      </w:r>
      <w:r w:rsidR="00465B1A" w:rsidRPr="00564A60">
        <w:rPr>
          <w:rFonts w:ascii="Times New Roman" w:hAnsi="Times New Roman"/>
          <w:b/>
          <w:sz w:val="24"/>
          <w:szCs w:val="24"/>
        </w:rPr>
        <w:t>. 20</w:t>
      </w:r>
      <w:bookmarkEnd w:id="8"/>
      <w:r w:rsidR="003D1CF7" w:rsidRPr="00564A60">
        <w:rPr>
          <w:rFonts w:ascii="Times New Roman" w:hAnsi="Times New Roman"/>
          <w:b/>
          <w:sz w:val="24"/>
          <w:szCs w:val="24"/>
        </w:rPr>
        <w:t>2</w:t>
      </w:r>
      <w:r w:rsidR="00796724">
        <w:rPr>
          <w:rFonts w:ascii="Times New Roman" w:hAnsi="Times New Roman"/>
          <w:b/>
          <w:sz w:val="24"/>
          <w:szCs w:val="24"/>
        </w:rPr>
        <w:t>3</w:t>
      </w:r>
      <w:bookmarkEnd w:id="7"/>
      <w:r w:rsidRPr="00564A60">
        <w:rPr>
          <w:rFonts w:ascii="Times New Roman" w:hAnsi="Times New Roman"/>
          <w:sz w:val="24"/>
          <w:szCs w:val="24"/>
        </w:rPr>
        <w:t>) podle čl. 53 nařízení</w:t>
      </w:r>
      <w:r w:rsidRPr="00F53F74">
        <w:rPr>
          <w:rFonts w:ascii="Times New Roman" w:hAnsi="Times New Roman"/>
          <w:sz w:val="24"/>
          <w:szCs w:val="24"/>
        </w:rPr>
        <w:t xml:space="preserve"> </w:t>
      </w:r>
      <w:r w:rsidR="000F3B5F" w:rsidRPr="00F53F74">
        <w:rPr>
          <w:rFonts w:ascii="Times New Roman" w:hAnsi="Times New Roman"/>
          <w:sz w:val="24"/>
          <w:szCs w:val="24"/>
        </w:rPr>
        <w:t>ES</w:t>
      </w:r>
      <w:r w:rsidR="000248FF" w:rsidRPr="00F53F74">
        <w:rPr>
          <w:rFonts w:ascii="Times New Roman" w:hAnsi="Times New Roman"/>
          <w:sz w:val="24"/>
          <w:szCs w:val="24"/>
        </w:rPr>
        <w:t xml:space="preserve">. </w:t>
      </w:r>
    </w:p>
    <w:p w14:paraId="18620590" w14:textId="77777777" w:rsidR="00564A60" w:rsidRPr="00F53F74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12535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4</w:t>
      </w:r>
    </w:p>
    <w:p w14:paraId="2B5D27CB" w14:textId="77777777" w:rsidR="00E77F32" w:rsidRPr="00F53F74" w:rsidRDefault="00E77F3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C717C" w14:textId="5D9C17CB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>se vydává na základě žádosti</w:t>
      </w:r>
      <w:r w:rsidR="000626B7">
        <w:rPr>
          <w:rFonts w:ascii="Times New Roman" w:hAnsi="Times New Roman"/>
          <w:sz w:val="24"/>
          <w:szCs w:val="24"/>
        </w:rPr>
        <w:t xml:space="preserve"> spol.</w:t>
      </w:r>
      <w:r w:rsidR="00291A22">
        <w:rPr>
          <w:rFonts w:ascii="Times New Roman" w:hAnsi="Times New Roman"/>
          <w:sz w:val="24"/>
          <w:szCs w:val="24"/>
        </w:rPr>
        <w:t> </w:t>
      </w:r>
      <w:r w:rsidR="000626B7">
        <w:rPr>
          <w:rFonts w:ascii="Times New Roman" w:hAnsi="Times New Roman"/>
          <w:sz w:val="24"/>
          <w:szCs w:val="24"/>
        </w:rPr>
        <w:t xml:space="preserve">Český modrý mák, </w:t>
      </w:r>
      <w:proofErr w:type="spellStart"/>
      <w:r w:rsidR="000626B7">
        <w:rPr>
          <w:rFonts w:ascii="Times New Roman" w:hAnsi="Times New Roman"/>
          <w:sz w:val="24"/>
          <w:szCs w:val="24"/>
        </w:rPr>
        <w:t>z.s</w:t>
      </w:r>
      <w:proofErr w:type="spellEnd"/>
      <w:r w:rsidR="000626B7">
        <w:rPr>
          <w:rFonts w:ascii="Times New Roman" w:hAnsi="Times New Roman"/>
          <w:sz w:val="24"/>
          <w:szCs w:val="24"/>
        </w:rPr>
        <w:t xml:space="preserve">., </w:t>
      </w:r>
      <w:r w:rsidRPr="00FD0861">
        <w:rPr>
          <w:rFonts w:ascii="Times New Roman" w:hAnsi="Times New Roman"/>
          <w:sz w:val="24"/>
          <w:szCs w:val="24"/>
        </w:rPr>
        <w:t>kter</w:t>
      </w:r>
      <w:r w:rsidR="00921934" w:rsidRPr="00FD0861">
        <w:rPr>
          <w:rFonts w:ascii="Times New Roman" w:hAnsi="Times New Roman"/>
          <w:sz w:val="24"/>
          <w:szCs w:val="24"/>
        </w:rPr>
        <w:t>á</w:t>
      </w:r>
      <w:r w:rsidRPr="00FD0861">
        <w:rPr>
          <w:rFonts w:ascii="Times New Roman" w:hAnsi="Times New Roman"/>
          <w:sz w:val="24"/>
          <w:szCs w:val="24"/>
        </w:rPr>
        <w:t xml:space="preserve"> byl</w:t>
      </w:r>
      <w:r w:rsidR="00921934" w:rsidRPr="00FD0861">
        <w:rPr>
          <w:rFonts w:ascii="Times New Roman" w:hAnsi="Times New Roman"/>
          <w:sz w:val="24"/>
          <w:szCs w:val="24"/>
        </w:rPr>
        <w:t>a doručena</w:t>
      </w:r>
      <w:r w:rsidRPr="00FD0861">
        <w:rPr>
          <w:rFonts w:ascii="Times New Roman" w:hAnsi="Times New Roman"/>
          <w:sz w:val="24"/>
          <w:szCs w:val="24"/>
        </w:rPr>
        <w:t xml:space="preserve"> dne </w:t>
      </w:r>
      <w:r w:rsidR="00796724">
        <w:rPr>
          <w:rFonts w:ascii="Times New Roman" w:hAnsi="Times New Roman"/>
          <w:sz w:val="24"/>
          <w:szCs w:val="24"/>
        </w:rPr>
        <w:t>19</w:t>
      </w:r>
      <w:r w:rsidRPr="00FD0861">
        <w:rPr>
          <w:rFonts w:ascii="Times New Roman" w:hAnsi="Times New Roman"/>
          <w:sz w:val="24"/>
          <w:szCs w:val="24"/>
        </w:rPr>
        <w:t xml:space="preserve">. </w:t>
      </w:r>
      <w:r w:rsidR="00796724">
        <w:rPr>
          <w:rFonts w:ascii="Times New Roman" w:hAnsi="Times New Roman"/>
          <w:sz w:val="24"/>
          <w:szCs w:val="24"/>
        </w:rPr>
        <w:t>září</w:t>
      </w:r>
      <w:r w:rsidRPr="00FD0861">
        <w:rPr>
          <w:rFonts w:ascii="Times New Roman" w:hAnsi="Times New Roman"/>
          <w:sz w:val="24"/>
          <w:szCs w:val="24"/>
        </w:rPr>
        <w:t xml:space="preserve"> 20</w:t>
      </w:r>
      <w:r w:rsidR="00750C92">
        <w:rPr>
          <w:rFonts w:ascii="Times New Roman" w:hAnsi="Times New Roman"/>
          <w:sz w:val="24"/>
          <w:szCs w:val="24"/>
        </w:rPr>
        <w:t>2</w:t>
      </w:r>
      <w:r w:rsidR="00796724">
        <w:rPr>
          <w:rFonts w:ascii="Times New Roman" w:hAnsi="Times New Roman"/>
          <w:sz w:val="24"/>
          <w:szCs w:val="24"/>
        </w:rPr>
        <w:t>2</w:t>
      </w:r>
      <w:r w:rsidRPr="00FD0861">
        <w:rPr>
          <w:rFonts w:ascii="Times New Roman" w:hAnsi="Times New Roman"/>
          <w:sz w:val="24"/>
          <w:szCs w:val="24"/>
        </w:rPr>
        <w:t xml:space="preserve"> pod č.j. </w:t>
      </w:r>
      <w:r w:rsidR="00796724" w:rsidRPr="00796724">
        <w:rPr>
          <w:rFonts w:ascii="Times New Roman" w:hAnsi="Times New Roman"/>
          <w:sz w:val="24"/>
          <w:szCs w:val="24"/>
        </w:rPr>
        <w:t>UKZUZ 171648/2022</w:t>
      </w:r>
      <w:r w:rsidRPr="00FD0861">
        <w:rPr>
          <w:rFonts w:ascii="Times New Roman" w:hAnsi="Times New Roman"/>
          <w:sz w:val="24"/>
          <w:szCs w:val="24"/>
        </w:rPr>
        <w:t>, k</w:t>
      </w:r>
      <w:r w:rsidR="000626B7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 w:rsidR="00B72B15"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 w:rsidR="00564A60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 xml:space="preserve">omezené a kontrolované </w:t>
      </w:r>
      <w:r w:rsidRPr="00FD0861">
        <w:rPr>
          <w:rFonts w:ascii="Times New Roman" w:hAnsi="Times New Roman"/>
          <w:sz w:val="24"/>
          <w:szCs w:val="24"/>
        </w:rPr>
        <w:lastRenderedPageBreak/>
        <w:t>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 w:rsidR="008A5CF0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 xml:space="preserve">čl. 53 nařízení ES. </w:t>
      </w:r>
    </w:p>
    <w:p w14:paraId="512A7A9D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F6124" w14:textId="77777777" w:rsidR="00823830" w:rsidRDefault="00460FCA" w:rsidP="0082383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0861">
        <w:rPr>
          <w:rFonts w:ascii="Times New Roman" w:hAnsi="Times New Roman"/>
          <w:sz w:val="24"/>
          <w:szCs w:val="24"/>
        </w:rPr>
        <w:t>Pěstování máku je komplikováno častými výskyty sucha a vysokými teplotami, které způsobují kalamitní výskyt krytonosce kořenového způsobujícího v době vzcházení máku až holožír porostu, který se často objevoval v roce 2018</w:t>
      </w:r>
      <w:r w:rsidR="00F11D60">
        <w:rPr>
          <w:rFonts w:ascii="Times New Roman" w:hAnsi="Times New Roman"/>
          <w:sz w:val="24"/>
          <w:szCs w:val="24"/>
        </w:rPr>
        <w:t xml:space="preserve"> i 2019</w:t>
      </w:r>
      <w:r w:rsidRPr="00FD0861">
        <w:rPr>
          <w:rFonts w:ascii="Times New Roman" w:hAnsi="Times New Roman"/>
          <w:sz w:val="24"/>
          <w:szCs w:val="24"/>
        </w:rPr>
        <w:t xml:space="preserve">. Význam tohoto škůdce po zákazu mořidel na bázi </w:t>
      </w:r>
      <w:proofErr w:type="spellStart"/>
      <w:r w:rsidRPr="00FD0861">
        <w:rPr>
          <w:rFonts w:ascii="Times New Roman" w:hAnsi="Times New Roman"/>
          <w:sz w:val="24"/>
          <w:szCs w:val="24"/>
        </w:rPr>
        <w:t>neonikotinoidů</w:t>
      </w:r>
      <w:proofErr w:type="spellEnd"/>
      <w:r w:rsidRPr="00FD0861">
        <w:rPr>
          <w:rFonts w:ascii="Times New Roman" w:hAnsi="Times New Roman"/>
          <w:sz w:val="24"/>
          <w:szCs w:val="24"/>
        </w:rPr>
        <w:t xml:space="preserve"> mimořádně vzrůstá a ohrožuje celkově pěstování máku. Možnou alternativou mořidel jsou plošné </w:t>
      </w:r>
      <w:proofErr w:type="spellStart"/>
      <w:r w:rsidRPr="00FD0861">
        <w:rPr>
          <w:rFonts w:ascii="Times New Roman" w:hAnsi="Times New Roman"/>
          <w:sz w:val="24"/>
          <w:szCs w:val="24"/>
        </w:rPr>
        <w:t>foliární</w:t>
      </w:r>
      <w:proofErr w:type="spellEnd"/>
      <w:r w:rsidRPr="00FD0861">
        <w:rPr>
          <w:rFonts w:ascii="Times New Roman" w:hAnsi="Times New Roman"/>
          <w:sz w:val="24"/>
          <w:szCs w:val="24"/>
        </w:rPr>
        <w:t xml:space="preserve"> aplikace pyretroidů a organofosfátů, které však nejsou dostatečně selektivní a zvyšují celkovou kontaminaci životního prostředí. </w:t>
      </w:r>
      <w:r w:rsidR="00823830">
        <w:rPr>
          <w:rFonts w:ascii="Times New Roman" w:hAnsi="Times New Roman"/>
          <w:sz w:val="24"/>
          <w:szCs w:val="24"/>
        </w:rPr>
        <w:t>Z důvodu velkých výkyvů srážek a teplot v jarním období 2021 nebyli pěstitelé schopni reagovat na krátkodobé a opakované zvýšení aktivity škůdců. Použití registrovaných pyretroidů s kontaktním účinkem bylo proto problematické.</w:t>
      </w:r>
    </w:p>
    <w:p w14:paraId="008E728D" w14:textId="1941C9C1" w:rsidR="00823830" w:rsidRDefault="00B70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B15">
        <w:rPr>
          <w:rFonts w:ascii="Times New Roman" w:hAnsi="Times New Roman"/>
          <w:sz w:val="24"/>
          <w:szCs w:val="24"/>
        </w:rPr>
        <w:t>Pro rok 202</w:t>
      </w:r>
      <w:r w:rsidR="00750C92" w:rsidRPr="00B72B15">
        <w:rPr>
          <w:rFonts w:ascii="Times New Roman" w:hAnsi="Times New Roman"/>
          <w:sz w:val="24"/>
          <w:szCs w:val="24"/>
        </w:rPr>
        <w:t>1</w:t>
      </w:r>
      <w:r w:rsidR="00254BEB">
        <w:rPr>
          <w:rFonts w:ascii="Times New Roman" w:hAnsi="Times New Roman"/>
          <w:sz w:val="24"/>
          <w:szCs w:val="24"/>
        </w:rPr>
        <w:t xml:space="preserve"> a 2022</w:t>
      </w:r>
      <w:r w:rsidRPr="00B72B15">
        <w:rPr>
          <w:rFonts w:ascii="Times New Roman" w:hAnsi="Times New Roman"/>
          <w:sz w:val="24"/>
          <w:szCs w:val="24"/>
        </w:rPr>
        <w:t xml:space="preserve"> </w:t>
      </w:r>
      <w:r w:rsidR="00F11D60">
        <w:rPr>
          <w:rFonts w:ascii="Times New Roman" w:hAnsi="Times New Roman"/>
          <w:sz w:val="24"/>
          <w:szCs w:val="24"/>
        </w:rPr>
        <w:t>byla</w:t>
      </w:r>
      <w:r w:rsidRPr="00B72B15">
        <w:rPr>
          <w:rFonts w:ascii="Times New Roman" w:hAnsi="Times New Roman"/>
          <w:sz w:val="24"/>
          <w:szCs w:val="24"/>
        </w:rPr>
        <w:t xml:space="preserve"> situace s možností ošetření porostů máku proti krytonosci kořenovému navíc zkomplikována neobnovením </w:t>
      </w:r>
      <w:r w:rsidR="00A1187B" w:rsidRPr="00B72B15">
        <w:rPr>
          <w:rFonts w:ascii="Times New Roman" w:hAnsi="Times New Roman"/>
          <w:sz w:val="24"/>
          <w:szCs w:val="24"/>
        </w:rPr>
        <w:t>schválení</w:t>
      </w:r>
      <w:r w:rsidRPr="00B72B15">
        <w:rPr>
          <w:rFonts w:ascii="Times New Roman" w:hAnsi="Times New Roman"/>
          <w:sz w:val="24"/>
          <w:szCs w:val="24"/>
        </w:rPr>
        <w:t xml:space="preserve"> účinných </w:t>
      </w:r>
      <w:r w:rsidRPr="00DF5EF2">
        <w:rPr>
          <w:rFonts w:ascii="Times New Roman" w:hAnsi="Times New Roman"/>
          <w:sz w:val="24"/>
          <w:szCs w:val="24"/>
        </w:rPr>
        <w:t xml:space="preserve">látek </w:t>
      </w:r>
      <w:proofErr w:type="spellStart"/>
      <w:r w:rsidRPr="00DF5EF2">
        <w:rPr>
          <w:rFonts w:ascii="Times New Roman" w:hAnsi="Times New Roman"/>
          <w:sz w:val="24"/>
          <w:szCs w:val="24"/>
        </w:rPr>
        <w:t>chlorpyrifos</w:t>
      </w:r>
      <w:proofErr w:type="spellEnd"/>
      <w:r w:rsidRPr="00DF5E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5EF2">
        <w:rPr>
          <w:rFonts w:ascii="Times New Roman" w:hAnsi="Times New Roman"/>
          <w:sz w:val="24"/>
          <w:szCs w:val="24"/>
        </w:rPr>
        <w:t>chlorpyrifos</w:t>
      </w:r>
      <w:proofErr w:type="spellEnd"/>
      <w:r w:rsidRPr="00DF5EF2">
        <w:rPr>
          <w:rFonts w:ascii="Times New Roman" w:hAnsi="Times New Roman"/>
          <w:sz w:val="24"/>
          <w:szCs w:val="24"/>
        </w:rPr>
        <w:t>-methyl a</w:t>
      </w:r>
      <w:r w:rsidR="00FD0861" w:rsidRPr="00DF5EF2">
        <w:rPr>
          <w:rFonts w:ascii="Times New Roman" w:hAnsi="Times New Roman"/>
          <w:sz w:val="24"/>
          <w:szCs w:val="24"/>
        </w:rPr>
        <w:t> </w:t>
      </w:r>
      <w:r w:rsidRPr="00DF5EF2">
        <w:rPr>
          <w:rFonts w:ascii="Times New Roman" w:hAnsi="Times New Roman"/>
          <w:sz w:val="24"/>
          <w:szCs w:val="24"/>
        </w:rPr>
        <w:t xml:space="preserve">zrušením </w:t>
      </w:r>
      <w:r w:rsidR="00577995" w:rsidRPr="00DF5EF2">
        <w:rPr>
          <w:rFonts w:ascii="Times New Roman" w:hAnsi="Times New Roman"/>
          <w:sz w:val="24"/>
          <w:szCs w:val="24"/>
        </w:rPr>
        <w:t xml:space="preserve">povolení </w:t>
      </w:r>
      <w:r w:rsidRPr="00DF5EF2">
        <w:rPr>
          <w:rFonts w:ascii="Times New Roman" w:hAnsi="Times New Roman"/>
          <w:sz w:val="24"/>
          <w:szCs w:val="24"/>
        </w:rPr>
        <w:t xml:space="preserve">přípravků na ochranu rostlin, které dosud byly pro </w:t>
      </w:r>
      <w:proofErr w:type="spellStart"/>
      <w:r w:rsidRPr="00DF5EF2">
        <w:rPr>
          <w:rFonts w:ascii="Times New Roman" w:hAnsi="Times New Roman"/>
          <w:sz w:val="24"/>
          <w:szCs w:val="24"/>
        </w:rPr>
        <w:t>foliární</w:t>
      </w:r>
      <w:proofErr w:type="spellEnd"/>
      <w:r w:rsidRPr="00DF5EF2">
        <w:rPr>
          <w:rFonts w:ascii="Times New Roman" w:hAnsi="Times New Roman"/>
          <w:sz w:val="24"/>
          <w:szCs w:val="24"/>
        </w:rPr>
        <w:t xml:space="preserve"> aplikace v máku </w:t>
      </w:r>
      <w:r w:rsidRPr="00B72B15">
        <w:rPr>
          <w:rFonts w:ascii="Times New Roman" w:hAnsi="Times New Roman"/>
          <w:sz w:val="24"/>
          <w:szCs w:val="24"/>
        </w:rPr>
        <w:t xml:space="preserve">povoleny. </w:t>
      </w:r>
      <w:r w:rsidRPr="00556709">
        <w:rPr>
          <w:rFonts w:ascii="Times New Roman" w:hAnsi="Times New Roman"/>
          <w:sz w:val="24"/>
          <w:szCs w:val="24"/>
        </w:rPr>
        <w:t xml:space="preserve">Po zákazu organofosfátových přípravků </w:t>
      </w:r>
      <w:r w:rsidR="000626B7" w:rsidRPr="00556709">
        <w:rPr>
          <w:rFonts w:ascii="Times New Roman" w:hAnsi="Times New Roman"/>
          <w:sz w:val="24"/>
          <w:szCs w:val="24"/>
        </w:rPr>
        <w:t>je</w:t>
      </w:r>
      <w:r w:rsidRPr="00556709">
        <w:rPr>
          <w:rFonts w:ascii="Times New Roman" w:hAnsi="Times New Roman"/>
          <w:sz w:val="24"/>
          <w:szCs w:val="24"/>
        </w:rPr>
        <w:t xml:space="preserve"> možné použít pouze přípravky na bázi účinných látek </w:t>
      </w:r>
      <w:proofErr w:type="spellStart"/>
      <w:r w:rsidRPr="00556709">
        <w:rPr>
          <w:rFonts w:ascii="Times New Roman" w:hAnsi="Times New Roman"/>
          <w:sz w:val="24"/>
          <w:szCs w:val="24"/>
        </w:rPr>
        <w:t>cypermet</w:t>
      </w:r>
      <w:r w:rsidR="000B3B2F">
        <w:rPr>
          <w:rFonts w:ascii="Times New Roman" w:hAnsi="Times New Roman"/>
          <w:sz w:val="24"/>
          <w:szCs w:val="24"/>
        </w:rPr>
        <w:t>h</w:t>
      </w:r>
      <w:r w:rsidRPr="00556709">
        <w:rPr>
          <w:rFonts w:ascii="Times New Roman" w:hAnsi="Times New Roman"/>
          <w:sz w:val="24"/>
          <w:szCs w:val="24"/>
        </w:rPr>
        <w:t>rinu</w:t>
      </w:r>
      <w:proofErr w:type="spellEnd"/>
      <w:r w:rsidRPr="0055670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6709">
        <w:rPr>
          <w:rFonts w:ascii="Times New Roman" w:hAnsi="Times New Roman"/>
          <w:sz w:val="24"/>
          <w:szCs w:val="24"/>
        </w:rPr>
        <w:t>gam</w:t>
      </w:r>
      <w:r w:rsidR="000B3B2F">
        <w:rPr>
          <w:rFonts w:ascii="Times New Roman" w:hAnsi="Times New Roman"/>
          <w:sz w:val="24"/>
          <w:szCs w:val="24"/>
        </w:rPr>
        <w:t>m</w:t>
      </w:r>
      <w:r w:rsidRPr="00556709">
        <w:rPr>
          <w:rFonts w:ascii="Times New Roman" w:hAnsi="Times New Roman"/>
          <w:sz w:val="24"/>
          <w:szCs w:val="24"/>
        </w:rPr>
        <w:t>a-cyhalothrinu</w:t>
      </w:r>
      <w:proofErr w:type="spellEnd"/>
      <w:r w:rsidRPr="00556709">
        <w:rPr>
          <w:rFonts w:ascii="Times New Roman" w:hAnsi="Times New Roman"/>
          <w:sz w:val="24"/>
          <w:szCs w:val="24"/>
        </w:rPr>
        <w:t xml:space="preserve"> ze skupiny </w:t>
      </w:r>
      <w:proofErr w:type="spellStart"/>
      <w:r w:rsidRPr="00556709">
        <w:rPr>
          <w:rFonts w:ascii="Times New Roman" w:hAnsi="Times New Roman"/>
          <w:sz w:val="24"/>
          <w:szCs w:val="24"/>
        </w:rPr>
        <w:t>pyrethroidů</w:t>
      </w:r>
      <w:proofErr w:type="spellEnd"/>
      <w:r w:rsidRPr="00556709">
        <w:rPr>
          <w:rFonts w:ascii="Times New Roman" w:hAnsi="Times New Roman"/>
          <w:sz w:val="24"/>
          <w:szCs w:val="24"/>
        </w:rPr>
        <w:t>, které nezajistí dostatečnou ochranu proti uvedenému škůdci. O</w:t>
      </w:r>
      <w:r w:rsidR="001720DF" w:rsidRPr="00556709">
        <w:rPr>
          <w:rFonts w:ascii="Times New Roman" w:hAnsi="Times New Roman"/>
          <w:sz w:val="24"/>
          <w:szCs w:val="24"/>
        </w:rPr>
        <w:t xml:space="preserve">chranu není možno účelně a efektivně provádět žádným z jiných dostupných přípravků ani jinými alternativními metodami. </w:t>
      </w:r>
    </w:p>
    <w:p w14:paraId="785660F6" w14:textId="590EE357" w:rsidR="001720DF" w:rsidRPr="00CE0F7F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709">
        <w:rPr>
          <w:rFonts w:ascii="Times New Roman" w:hAnsi="Times New Roman"/>
          <w:sz w:val="24"/>
          <w:szCs w:val="24"/>
        </w:rPr>
        <w:t>Příprav</w:t>
      </w:r>
      <w:r w:rsidR="00A1187B" w:rsidRPr="00556709">
        <w:rPr>
          <w:rFonts w:ascii="Times New Roman" w:hAnsi="Times New Roman"/>
          <w:sz w:val="24"/>
          <w:szCs w:val="24"/>
        </w:rPr>
        <w:t>e</w:t>
      </w:r>
      <w:r w:rsidRPr="00556709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Pr="00556709">
        <w:rPr>
          <w:rFonts w:ascii="Times New Roman" w:hAnsi="Times New Roman"/>
          <w:sz w:val="24"/>
          <w:szCs w:val="24"/>
        </w:rPr>
        <w:t>Cruiser</w:t>
      </w:r>
      <w:proofErr w:type="spellEnd"/>
      <w:r w:rsidR="00564A60" w:rsidRPr="00556709">
        <w:rPr>
          <w:rFonts w:ascii="Times New Roman" w:hAnsi="Times New Roman"/>
          <w:sz w:val="24"/>
          <w:szCs w:val="24"/>
        </w:rPr>
        <w:t> </w:t>
      </w:r>
      <w:r w:rsidR="00A1187B" w:rsidRPr="00556709">
        <w:rPr>
          <w:rFonts w:ascii="Times New Roman" w:hAnsi="Times New Roman"/>
          <w:sz w:val="24"/>
          <w:szCs w:val="24"/>
        </w:rPr>
        <w:t>OSR</w:t>
      </w:r>
      <w:r w:rsidRPr="00556709">
        <w:rPr>
          <w:rFonts w:ascii="Times New Roman" w:hAnsi="Times New Roman"/>
          <w:sz w:val="24"/>
          <w:szCs w:val="24"/>
        </w:rPr>
        <w:t xml:space="preserve"> </w:t>
      </w:r>
      <w:r w:rsidR="00A1187B" w:rsidRPr="00556709">
        <w:rPr>
          <w:rFonts w:ascii="Times New Roman" w:hAnsi="Times New Roman"/>
          <w:sz w:val="24"/>
          <w:szCs w:val="24"/>
        </w:rPr>
        <w:t>byl</w:t>
      </w:r>
      <w:r w:rsidRPr="00556709">
        <w:rPr>
          <w:rFonts w:ascii="Times New Roman" w:hAnsi="Times New Roman"/>
          <w:sz w:val="24"/>
          <w:szCs w:val="24"/>
        </w:rPr>
        <w:t xml:space="preserve"> povolen v rámci mimořádného stavu pro obdobné použití již v </w:t>
      </w:r>
      <w:r w:rsidR="00254BEB">
        <w:rPr>
          <w:rFonts w:ascii="Times New Roman" w:hAnsi="Times New Roman"/>
          <w:sz w:val="24"/>
          <w:szCs w:val="24"/>
        </w:rPr>
        <w:t>letech</w:t>
      </w:r>
      <w:r w:rsidRPr="00556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709">
        <w:rPr>
          <w:rFonts w:ascii="Times New Roman" w:hAnsi="Times New Roman"/>
          <w:sz w:val="24"/>
          <w:szCs w:val="24"/>
        </w:rPr>
        <w:t>2019</w:t>
      </w:r>
      <w:r w:rsidR="00254BEB">
        <w:rPr>
          <w:rFonts w:ascii="Times New Roman" w:hAnsi="Times New Roman"/>
          <w:sz w:val="24"/>
          <w:szCs w:val="24"/>
        </w:rPr>
        <w:t xml:space="preserve"> -</w:t>
      </w:r>
      <w:r w:rsidR="00750C92" w:rsidRPr="00556709">
        <w:rPr>
          <w:rFonts w:ascii="Times New Roman" w:hAnsi="Times New Roman"/>
          <w:sz w:val="24"/>
          <w:szCs w:val="24"/>
        </w:rPr>
        <w:t xml:space="preserve"> 202</w:t>
      </w:r>
      <w:r w:rsidR="00254BEB">
        <w:rPr>
          <w:rFonts w:ascii="Times New Roman" w:hAnsi="Times New Roman"/>
          <w:sz w:val="24"/>
          <w:szCs w:val="24"/>
        </w:rPr>
        <w:t>2</w:t>
      </w:r>
      <w:proofErr w:type="gramEnd"/>
      <w:r w:rsidRPr="00556709">
        <w:rPr>
          <w:rFonts w:ascii="Times New Roman" w:hAnsi="Times New Roman"/>
          <w:sz w:val="24"/>
          <w:szCs w:val="24"/>
        </w:rPr>
        <w:t xml:space="preserve">. </w:t>
      </w:r>
      <w:r w:rsidR="00254BEB">
        <w:rPr>
          <w:rFonts w:ascii="Times New Roman" w:hAnsi="Times New Roman"/>
          <w:sz w:val="24"/>
          <w:szCs w:val="24"/>
        </w:rPr>
        <w:t>Dosud</w:t>
      </w:r>
      <w:r w:rsidRPr="00556709">
        <w:rPr>
          <w:rFonts w:ascii="Times New Roman" w:hAnsi="Times New Roman"/>
          <w:sz w:val="24"/>
          <w:szCs w:val="24"/>
        </w:rPr>
        <w:t xml:space="preserve"> nebyla nalezena žádná alternativa pro dané použití. Přípravky na bázi obdobných účinných látek byly v letech 2006-2013 standardně povoleny a používány v ČR i v mnoha dalších zemích EU.</w:t>
      </w:r>
      <w:r w:rsidRPr="00CE0F7F">
        <w:rPr>
          <w:rFonts w:ascii="Times New Roman" w:hAnsi="Times New Roman"/>
          <w:sz w:val="24"/>
          <w:szCs w:val="24"/>
        </w:rPr>
        <w:t xml:space="preserve"> </w:t>
      </w:r>
    </w:p>
    <w:p w14:paraId="3C60A8B9" w14:textId="77777777" w:rsidR="00FD0861" w:rsidRPr="00CE0F7F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2AB97" w14:textId="63359640" w:rsidR="001720DF" w:rsidRDefault="00A1187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709">
        <w:rPr>
          <w:rFonts w:ascii="Times New Roman" w:hAnsi="Times New Roman"/>
          <w:sz w:val="24"/>
          <w:szCs w:val="24"/>
        </w:rPr>
        <w:t>V současné době není pro moření máku povoleno žádné insekticidní mořidlo</w:t>
      </w:r>
      <w:r w:rsidRPr="00CE0F7F">
        <w:rPr>
          <w:rFonts w:ascii="Times New Roman" w:hAnsi="Times New Roman"/>
          <w:sz w:val="24"/>
          <w:szCs w:val="24"/>
        </w:rPr>
        <w:t>.</w:t>
      </w:r>
      <w:r w:rsidR="001720D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9D1F550" w14:textId="2A8ADC32" w:rsidR="00FD0861" w:rsidRPr="00F53F74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D7AD3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Bezpečnostní opatření </w:t>
      </w:r>
      <w:r w:rsidR="00A1187B" w:rsidRPr="00F53F74">
        <w:rPr>
          <w:rFonts w:ascii="Times New Roman" w:hAnsi="Times New Roman"/>
          <w:sz w:val="24"/>
          <w:szCs w:val="24"/>
        </w:rPr>
        <w:t xml:space="preserve">pro omezení rizik z použití přípravku při moření osiva byla </w:t>
      </w:r>
      <w:r w:rsidRPr="00F53F74">
        <w:rPr>
          <w:rFonts w:ascii="Times New Roman" w:hAnsi="Times New Roman"/>
          <w:sz w:val="24"/>
          <w:szCs w:val="24"/>
        </w:rPr>
        <w:t>stanov</w:t>
      </w:r>
      <w:r w:rsidR="00A1187B" w:rsidRPr="00F53F74">
        <w:rPr>
          <w:rFonts w:ascii="Times New Roman" w:hAnsi="Times New Roman"/>
          <w:sz w:val="24"/>
          <w:szCs w:val="24"/>
        </w:rPr>
        <w:t xml:space="preserve">ena v článku </w:t>
      </w:r>
      <w:r w:rsidR="00BA23B9" w:rsidRPr="00F53F74">
        <w:rPr>
          <w:rFonts w:ascii="Times New Roman" w:hAnsi="Times New Roman"/>
          <w:sz w:val="24"/>
          <w:szCs w:val="24"/>
        </w:rPr>
        <w:t xml:space="preserve">1 tohoto nařízení. Výsev namořeného osiva bude proveden na zhruba 35 000 ha. Manipulace a výsev namořeného osiva </w:t>
      </w:r>
      <w:r w:rsidRPr="00F53F74">
        <w:rPr>
          <w:rFonts w:ascii="Times New Roman" w:hAnsi="Times New Roman"/>
          <w:sz w:val="24"/>
          <w:szCs w:val="24"/>
        </w:rPr>
        <w:t>je omezena přísnými požadavky s cílem zamezit přímé kontaminaci necílových rostlin prachem vzniklým z otěru při manipulaci s osivem a při výsevu. Je možné použít pouze osivo namořené profesionálním dodavatelem a výsev je možný v případě pneumatických secích strojů výhradně tehdy, pokud jsou vybaveny deflektory zamezujícími únik prachu z osiva.</w:t>
      </w:r>
    </w:p>
    <w:p w14:paraId="19810D8E" w14:textId="77777777" w:rsidR="00867B25" w:rsidRPr="00F53F74" w:rsidRDefault="00867B2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73DF9" w14:textId="2B347499" w:rsidR="00564A60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69CBF4" w14:textId="73C21638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63F03" w14:textId="4F9AFB5F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A57B6" w14:textId="77777777" w:rsidR="000B3B2F" w:rsidRDefault="000B3B2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0B885" w14:textId="73139391" w:rsidR="006276B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1105EE" w14:textId="77777777" w:rsidR="006276B4" w:rsidRPr="00F53F7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1FB4F" w14:textId="35D9206C" w:rsidR="00B55873" w:rsidRDefault="00B5587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D91D8" w14:textId="77777777" w:rsidR="001F3A74" w:rsidRPr="00F53F74" w:rsidRDefault="001F3A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2DB32" w14:textId="77777777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Ing. Pavel Minář, Ph.D.</w:t>
      </w:r>
    </w:p>
    <w:p w14:paraId="555FCA4E" w14:textId="77777777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ředitel odboru</w:t>
      </w:r>
    </w:p>
    <w:sectPr w:rsidR="00845AE8" w:rsidRPr="00F53F74" w:rsidSect="00F732C9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BC2F" w14:textId="77777777" w:rsidR="00EF341D" w:rsidRDefault="00EF341D" w:rsidP="00CE12AE">
      <w:pPr>
        <w:spacing w:after="0" w:line="240" w:lineRule="auto"/>
      </w:pPr>
      <w:r>
        <w:separator/>
      </w:r>
    </w:p>
  </w:endnote>
  <w:endnote w:type="continuationSeparator" w:id="0">
    <w:p w14:paraId="5D006B84" w14:textId="77777777" w:rsidR="00EF341D" w:rsidRDefault="00EF341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A9A9" w14:textId="650421F9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24E996CE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D92" w14:textId="22EAF9D8" w:rsidR="00F83BAD" w:rsidRDefault="006C2E2C" w:rsidP="00F53F74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8558" w14:textId="77777777" w:rsidR="00EF341D" w:rsidRDefault="00EF341D" w:rsidP="00CE12AE">
      <w:pPr>
        <w:spacing w:after="0" w:line="240" w:lineRule="auto"/>
      </w:pPr>
      <w:r>
        <w:separator/>
      </w:r>
    </w:p>
  </w:footnote>
  <w:footnote w:type="continuationSeparator" w:id="0">
    <w:p w14:paraId="267564BD" w14:textId="77777777" w:rsidR="00EF341D" w:rsidRDefault="00EF341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550" w14:textId="2543CA1A" w:rsidR="00FC401D" w:rsidRPr="00FC401D" w:rsidRDefault="00187CAD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B8F91D" wp14:editId="4EEE4116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99F1324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56AE2731" w14:textId="40AE61E5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96724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96724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22257D7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58F04C7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8A3E5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5" w15:restartNumberingAfterBreak="0">
    <w:nsid w:val="2F8966A8"/>
    <w:multiLevelType w:val="hybridMultilevel"/>
    <w:tmpl w:val="A6B27E10"/>
    <w:lvl w:ilvl="0" w:tplc="C8D2BA2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iCs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55E00356"/>
    <w:lvl w:ilvl="0" w:tplc="551EAFB4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4F15"/>
    <w:rsid w:val="0001146C"/>
    <w:rsid w:val="00013418"/>
    <w:rsid w:val="0001411F"/>
    <w:rsid w:val="00014878"/>
    <w:rsid w:val="00016783"/>
    <w:rsid w:val="00021972"/>
    <w:rsid w:val="000219CF"/>
    <w:rsid w:val="00022810"/>
    <w:rsid w:val="000248FF"/>
    <w:rsid w:val="0002535C"/>
    <w:rsid w:val="00025B23"/>
    <w:rsid w:val="00026918"/>
    <w:rsid w:val="00035B1E"/>
    <w:rsid w:val="0003722F"/>
    <w:rsid w:val="000626B7"/>
    <w:rsid w:val="0006557F"/>
    <w:rsid w:val="0006634E"/>
    <w:rsid w:val="00073D3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3B2F"/>
    <w:rsid w:val="000B4579"/>
    <w:rsid w:val="000E3D72"/>
    <w:rsid w:val="000E41A9"/>
    <w:rsid w:val="000F3B5F"/>
    <w:rsid w:val="00104C05"/>
    <w:rsid w:val="0010681E"/>
    <w:rsid w:val="00107EC4"/>
    <w:rsid w:val="001145B1"/>
    <w:rsid w:val="0011545F"/>
    <w:rsid w:val="001157E0"/>
    <w:rsid w:val="00122131"/>
    <w:rsid w:val="00122951"/>
    <w:rsid w:val="0014138E"/>
    <w:rsid w:val="00144726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0DF"/>
    <w:rsid w:val="00172A5D"/>
    <w:rsid w:val="0017490D"/>
    <w:rsid w:val="00176ECA"/>
    <w:rsid w:val="00181C61"/>
    <w:rsid w:val="001850B2"/>
    <w:rsid w:val="00187CAD"/>
    <w:rsid w:val="001935B4"/>
    <w:rsid w:val="00196DB0"/>
    <w:rsid w:val="001A20AE"/>
    <w:rsid w:val="001A4FB6"/>
    <w:rsid w:val="001A564B"/>
    <w:rsid w:val="001C19A5"/>
    <w:rsid w:val="001C5BA8"/>
    <w:rsid w:val="001D0964"/>
    <w:rsid w:val="001D55E9"/>
    <w:rsid w:val="001D6095"/>
    <w:rsid w:val="001D7697"/>
    <w:rsid w:val="001F0358"/>
    <w:rsid w:val="001F14E8"/>
    <w:rsid w:val="001F3A74"/>
    <w:rsid w:val="001F54E4"/>
    <w:rsid w:val="002115E3"/>
    <w:rsid w:val="00213EB5"/>
    <w:rsid w:val="002166D2"/>
    <w:rsid w:val="0022061A"/>
    <w:rsid w:val="00226AAC"/>
    <w:rsid w:val="002272CD"/>
    <w:rsid w:val="0024081D"/>
    <w:rsid w:val="00251812"/>
    <w:rsid w:val="00254BEB"/>
    <w:rsid w:val="00256360"/>
    <w:rsid w:val="00260FFC"/>
    <w:rsid w:val="00261EFE"/>
    <w:rsid w:val="00264B62"/>
    <w:rsid w:val="00271024"/>
    <w:rsid w:val="00284CA3"/>
    <w:rsid w:val="0028585C"/>
    <w:rsid w:val="00291A22"/>
    <w:rsid w:val="00292446"/>
    <w:rsid w:val="00296A3B"/>
    <w:rsid w:val="002A077D"/>
    <w:rsid w:val="002A628C"/>
    <w:rsid w:val="002A6401"/>
    <w:rsid w:val="002A7B74"/>
    <w:rsid w:val="002B360A"/>
    <w:rsid w:val="002B62A6"/>
    <w:rsid w:val="002C3001"/>
    <w:rsid w:val="002C4FFE"/>
    <w:rsid w:val="002C66D8"/>
    <w:rsid w:val="002D1505"/>
    <w:rsid w:val="002E24BD"/>
    <w:rsid w:val="002E68C6"/>
    <w:rsid w:val="002E6E39"/>
    <w:rsid w:val="002F43EC"/>
    <w:rsid w:val="00300C82"/>
    <w:rsid w:val="003054F3"/>
    <w:rsid w:val="003064FA"/>
    <w:rsid w:val="003107E6"/>
    <w:rsid w:val="003206E4"/>
    <w:rsid w:val="00321423"/>
    <w:rsid w:val="00336565"/>
    <w:rsid w:val="00347698"/>
    <w:rsid w:val="00352C0F"/>
    <w:rsid w:val="00355DD5"/>
    <w:rsid w:val="00363A57"/>
    <w:rsid w:val="0036432F"/>
    <w:rsid w:val="00370BB5"/>
    <w:rsid w:val="003720BF"/>
    <w:rsid w:val="003736D4"/>
    <w:rsid w:val="003768C8"/>
    <w:rsid w:val="00377978"/>
    <w:rsid w:val="00380502"/>
    <w:rsid w:val="00380FB6"/>
    <w:rsid w:val="00384132"/>
    <w:rsid w:val="00386938"/>
    <w:rsid w:val="0038778A"/>
    <w:rsid w:val="00391C09"/>
    <w:rsid w:val="00397B54"/>
    <w:rsid w:val="003A1F91"/>
    <w:rsid w:val="003A2C23"/>
    <w:rsid w:val="003A598A"/>
    <w:rsid w:val="003B6D7F"/>
    <w:rsid w:val="003B77CC"/>
    <w:rsid w:val="003B7F95"/>
    <w:rsid w:val="003C055D"/>
    <w:rsid w:val="003C29E4"/>
    <w:rsid w:val="003C736E"/>
    <w:rsid w:val="003D1CF7"/>
    <w:rsid w:val="003D2E4F"/>
    <w:rsid w:val="003E40C2"/>
    <w:rsid w:val="003F2576"/>
    <w:rsid w:val="003F581F"/>
    <w:rsid w:val="003F5BC3"/>
    <w:rsid w:val="00401348"/>
    <w:rsid w:val="004013A2"/>
    <w:rsid w:val="00403776"/>
    <w:rsid w:val="00404937"/>
    <w:rsid w:val="0040565A"/>
    <w:rsid w:val="00407E73"/>
    <w:rsid w:val="004128DB"/>
    <w:rsid w:val="004142EC"/>
    <w:rsid w:val="004148B9"/>
    <w:rsid w:val="00415D6D"/>
    <w:rsid w:val="004168B3"/>
    <w:rsid w:val="00416F10"/>
    <w:rsid w:val="004211B0"/>
    <w:rsid w:val="004263E1"/>
    <w:rsid w:val="00431F9A"/>
    <w:rsid w:val="004330F1"/>
    <w:rsid w:val="004453BF"/>
    <w:rsid w:val="00446A05"/>
    <w:rsid w:val="00446FD2"/>
    <w:rsid w:val="004518AD"/>
    <w:rsid w:val="00453FBE"/>
    <w:rsid w:val="00460FCA"/>
    <w:rsid w:val="00465B1A"/>
    <w:rsid w:val="00466FF4"/>
    <w:rsid w:val="00475359"/>
    <w:rsid w:val="00481FDE"/>
    <w:rsid w:val="00482445"/>
    <w:rsid w:val="0048376B"/>
    <w:rsid w:val="004876D3"/>
    <w:rsid w:val="00490866"/>
    <w:rsid w:val="0049237B"/>
    <w:rsid w:val="00493FE2"/>
    <w:rsid w:val="004A41BE"/>
    <w:rsid w:val="004A4E7F"/>
    <w:rsid w:val="004A6DF7"/>
    <w:rsid w:val="004A701B"/>
    <w:rsid w:val="004B2009"/>
    <w:rsid w:val="004B32CA"/>
    <w:rsid w:val="004C1494"/>
    <w:rsid w:val="004C2EDA"/>
    <w:rsid w:val="004C34D5"/>
    <w:rsid w:val="004C695D"/>
    <w:rsid w:val="004D19E1"/>
    <w:rsid w:val="004D6A12"/>
    <w:rsid w:val="004D7741"/>
    <w:rsid w:val="004E021F"/>
    <w:rsid w:val="004F7B24"/>
    <w:rsid w:val="00501F7D"/>
    <w:rsid w:val="0050351E"/>
    <w:rsid w:val="0050360F"/>
    <w:rsid w:val="00504141"/>
    <w:rsid w:val="00504F36"/>
    <w:rsid w:val="00510691"/>
    <w:rsid w:val="005140D0"/>
    <w:rsid w:val="005178B0"/>
    <w:rsid w:val="0052475B"/>
    <w:rsid w:val="005251CA"/>
    <w:rsid w:val="0052551A"/>
    <w:rsid w:val="00527F62"/>
    <w:rsid w:val="00547D4A"/>
    <w:rsid w:val="005525C7"/>
    <w:rsid w:val="0055434D"/>
    <w:rsid w:val="005550D9"/>
    <w:rsid w:val="00555EDC"/>
    <w:rsid w:val="00556709"/>
    <w:rsid w:val="0055675B"/>
    <w:rsid w:val="005601BD"/>
    <w:rsid w:val="005624A7"/>
    <w:rsid w:val="00563787"/>
    <w:rsid w:val="00564A60"/>
    <w:rsid w:val="00566296"/>
    <w:rsid w:val="00570876"/>
    <w:rsid w:val="005730AC"/>
    <w:rsid w:val="00575351"/>
    <w:rsid w:val="00577995"/>
    <w:rsid w:val="00582013"/>
    <w:rsid w:val="005A4C6C"/>
    <w:rsid w:val="005A67F5"/>
    <w:rsid w:val="005B0763"/>
    <w:rsid w:val="005B6145"/>
    <w:rsid w:val="005D2D6B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04AC4"/>
    <w:rsid w:val="00606A2E"/>
    <w:rsid w:val="006103AF"/>
    <w:rsid w:val="00612394"/>
    <w:rsid w:val="00621944"/>
    <w:rsid w:val="0062220D"/>
    <w:rsid w:val="006276B4"/>
    <w:rsid w:val="006322AA"/>
    <w:rsid w:val="0063730B"/>
    <w:rsid w:val="00643B8A"/>
    <w:rsid w:val="00644ED8"/>
    <w:rsid w:val="006505C1"/>
    <w:rsid w:val="00664C5E"/>
    <w:rsid w:val="00665F6A"/>
    <w:rsid w:val="00676ABD"/>
    <w:rsid w:val="00680BF5"/>
    <w:rsid w:val="006811A1"/>
    <w:rsid w:val="00690925"/>
    <w:rsid w:val="006912A3"/>
    <w:rsid w:val="0069432F"/>
    <w:rsid w:val="00695EAB"/>
    <w:rsid w:val="006A63CE"/>
    <w:rsid w:val="006B12C5"/>
    <w:rsid w:val="006B53BF"/>
    <w:rsid w:val="006B7046"/>
    <w:rsid w:val="006C0B1C"/>
    <w:rsid w:val="006C2289"/>
    <w:rsid w:val="006C2402"/>
    <w:rsid w:val="006C2E2C"/>
    <w:rsid w:val="006C7E63"/>
    <w:rsid w:val="006D20A7"/>
    <w:rsid w:val="006D2BE2"/>
    <w:rsid w:val="006D395F"/>
    <w:rsid w:val="006D4FF6"/>
    <w:rsid w:val="006D7844"/>
    <w:rsid w:val="006E0EC5"/>
    <w:rsid w:val="006E6981"/>
    <w:rsid w:val="006F391B"/>
    <w:rsid w:val="006F40D7"/>
    <w:rsid w:val="006F42BA"/>
    <w:rsid w:val="006F7683"/>
    <w:rsid w:val="007017F6"/>
    <w:rsid w:val="00703CC0"/>
    <w:rsid w:val="0070736C"/>
    <w:rsid w:val="00707783"/>
    <w:rsid w:val="00713CD6"/>
    <w:rsid w:val="00714763"/>
    <w:rsid w:val="00716AF3"/>
    <w:rsid w:val="007234D9"/>
    <w:rsid w:val="00727DCD"/>
    <w:rsid w:val="007307CB"/>
    <w:rsid w:val="00746132"/>
    <w:rsid w:val="007464DE"/>
    <w:rsid w:val="00750C92"/>
    <w:rsid w:val="00767D6D"/>
    <w:rsid w:val="00770E26"/>
    <w:rsid w:val="00771149"/>
    <w:rsid w:val="00771C8B"/>
    <w:rsid w:val="00774CB5"/>
    <w:rsid w:val="00776A2F"/>
    <w:rsid w:val="00780210"/>
    <w:rsid w:val="007873B8"/>
    <w:rsid w:val="00796724"/>
    <w:rsid w:val="007A0701"/>
    <w:rsid w:val="007B2521"/>
    <w:rsid w:val="007B46E9"/>
    <w:rsid w:val="007C5404"/>
    <w:rsid w:val="007C7430"/>
    <w:rsid w:val="007D0235"/>
    <w:rsid w:val="007D1043"/>
    <w:rsid w:val="007D2DF5"/>
    <w:rsid w:val="007D3010"/>
    <w:rsid w:val="007D4385"/>
    <w:rsid w:val="007D46D7"/>
    <w:rsid w:val="007F3126"/>
    <w:rsid w:val="008123DF"/>
    <w:rsid w:val="00815E12"/>
    <w:rsid w:val="00817C4D"/>
    <w:rsid w:val="0082060F"/>
    <w:rsid w:val="00823830"/>
    <w:rsid w:val="00826550"/>
    <w:rsid w:val="008268B1"/>
    <w:rsid w:val="008325F9"/>
    <w:rsid w:val="00836F93"/>
    <w:rsid w:val="00845AE8"/>
    <w:rsid w:val="00845BAD"/>
    <w:rsid w:val="00845C2A"/>
    <w:rsid w:val="00861476"/>
    <w:rsid w:val="00861EE5"/>
    <w:rsid w:val="00864F7A"/>
    <w:rsid w:val="008679E9"/>
    <w:rsid w:val="00867B25"/>
    <w:rsid w:val="00867D9C"/>
    <w:rsid w:val="00870F0B"/>
    <w:rsid w:val="00874A36"/>
    <w:rsid w:val="00880582"/>
    <w:rsid w:val="00881A5B"/>
    <w:rsid w:val="00881EBA"/>
    <w:rsid w:val="008962EC"/>
    <w:rsid w:val="008A3C19"/>
    <w:rsid w:val="008A5CF0"/>
    <w:rsid w:val="008B41D0"/>
    <w:rsid w:val="008B5131"/>
    <w:rsid w:val="008C0ECE"/>
    <w:rsid w:val="008C1A74"/>
    <w:rsid w:val="008C3D38"/>
    <w:rsid w:val="008C503D"/>
    <w:rsid w:val="008C6410"/>
    <w:rsid w:val="008C693D"/>
    <w:rsid w:val="008C73B3"/>
    <w:rsid w:val="008D49A3"/>
    <w:rsid w:val="008E74D6"/>
    <w:rsid w:val="008E759D"/>
    <w:rsid w:val="008F334E"/>
    <w:rsid w:val="008F6275"/>
    <w:rsid w:val="0090229C"/>
    <w:rsid w:val="00914790"/>
    <w:rsid w:val="0092116A"/>
    <w:rsid w:val="00921479"/>
    <w:rsid w:val="00921934"/>
    <w:rsid w:val="00921E3A"/>
    <w:rsid w:val="0093089B"/>
    <w:rsid w:val="00931165"/>
    <w:rsid w:val="00931B06"/>
    <w:rsid w:val="00934157"/>
    <w:rsid w:val="00940529"/>
    <w:rsid w:val="00940909"/>
    <w:rsid w:val="00944A27"/>
    <w:rsid w:val="00957802"/>
    <w:rsid w:val="00961254"/>
    <w:rsid w:val="009615A4"/>
    <w:rsid w:val="009622B5"/>
    <w:rsid w:val="00965E14"/>
    <w:rsid w:val="00966295"/>
    <w:rsid w:val="009772CA"/>
    <w:rsid w:val="0098073A"/>
    <w:rsid w:val="0098086D"/>
    <w:rsid w:val="009856A2"/>
    <w:rsid w:val="00986745"/>
    <w:rsid w:val="0098737C"/>
    <w:rsid w:val="00991087"/>
    <w:rsid w:val="00994113"/>
    <w:rsid w:val="00994D85"/>
    <w:rsid w:val="009A0ABE"/>
    <w:rsid w:val="009A7871"/>
    <w:rsid w:val="009B3FC5"/>
    <w:rsid w:val="009B75D6"/>
    <w:rsid w:val="009C21BE"/>
    <w:rsid w:val="009C3DAF"/>
    <w:rsid w:val="009C69D7"/>
    <w:rsid w:val="009D6F6B"/>
    <w:rsid w:val="009F3EB7"/>
    <w:rsid w:val="009F7E83"/>
    <w:rsid w:val="00A00066"/>
    <w:rsid w:val="00A04D8F"/>
    <w:rsid w:val="00A07215"/>
    <w:rsid w:val="00A10301"/>
    <w:rsid w:val="00A111FC"/>
    <w:rsid w:val="00A1187B"/>
    <w:rsid w:val="00A30392"/>
    <w:rsid w:val="00A5364C"/>
    <w:rsid w:val="00A54558"/>
    <w:rsid w:val="00A5793A"/>
    <w:rsid w:val="00A65EDF"/>
    <w:rsid w:val="00A6682B"/>
    <w:rsid w:val="00A66938"/>
    <w:rsid w:val="00A66F6D"/>
    <w:rsid w:val="00A76FA3"/>
    <w:rsid w:val="00A82A4B"/>
    <w:rsid w:val="00A8660E"/>
    <w:rsid w:val="00AA6660"/>
    <w:rsid w:val="00AB0524"/>
    <w:rsid w:val="00AB1144"/>
    <w:rsid w:val="00AC6FB9"/>
    <w:rsid w:val="00AD3DB0"/>
    <w:rsid w:val="00AD7579"/>
    <w:rsid w:val="00AE3C56"/>
    <w:rsid w:val="00AE44EF"/>
    <w:rsid w:val="00AF4FB6"/>
    <w:rsid w:val="00AF6CE1"/>
    <w:rsid w:val="00AF7550"/>
    <w:rsid w:val="00AF7FBD"/>
    <w:rsid w:val="00B01448"/>
    <w:rsid w:val="00B0530D"/>
    <w:rsid w:val="00B05BE8"/>
    <w:rsid w:val="00B37813"/>
    <w:rsid w:val="00B439D3"/>
    <w:rsid w:val="00B45480"/>
    <w:rsid w:val="00B4569B"/>
    <w:rsid w:val="00B463F3"/>
    <w:rsid w:val="00B51338"/>
    <w:rsid w:val="00B5548F"/>
    <w:rsid w:val="00B55873"/>
    <w:rsid w:val="00B675CA"/>
    <w:rsid w:val="00B7058C"/>
    <w:rsid w:val="00B70AF3"/>
    <w:rsid w:val="00B71739"/>
    <w:rsid w:val="00B724D1"/>
    <w:rsid w:val="00B728AA"/>
    <w:rsid w:val="00B72B15"/>
    <w:rsid w:val="00B75205"/>
    <w:rsid w:val="00B7736E"/>
    <w:rsid w:val="00B80F6F"/>
    <w:rsid w:val="00BA1AA8"/>
    <w:rsid w:val="00BA23B9"/>
    <w:rsid w:val="00BA33D6"/>
    <w:rsid w:val="00BB7393"/>
    <w:rsid w:val="00BC1ECC"/>
    <w:rsid w:val="00BC2A27"/>
    <w:rsid w:val="00BC4AE4"/>
    <w:rsid w:val="00BD2B89"/>
    <w:rsid w:val="00BD3FCF"/>
    <w:rsid w:val="00BE2612"/>
    <w:rsid w:val="00BE42C7"/>
    <w:rsid w:val="00BE51A9"/>
    <w:rsid w:val="00BE7F6B"/>
    <w:rsid w:val="00BF0FCA"/>
    <w:rsid w:val="00BF2FDE"/>
    <w:rsid w:val="00C00B30"/>
    <w:rsid w:val="00C02790"/>
    <w:rsid w:val="00C12045"/>
    <w:rsid w:val="00C12BCE"/>
    <w:rsid w:val="00C13A0B"/>
    <w:rsid w:val="00C149DC"/>
    <w:rsid w:val="00C150D7"/>
    <w:rsid w:val="00C23EC7"/>
    <w:rsid w:val="00C2786C"/>
    <w:rsid w:val="00C372AA"/>
    <w:rsid w:val="00C4081A"/>
    <w:rsid w:val="00C41772"/>
    <w:rsid w:val="00C41B5A"/>
    <w:rsid w:val="00C422CC"/>
    <w:rsid w:val="00C474D2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340D"/>
    <w:rsid w:val="00CC3B86"/>
    <w:rsid w:val="00CC744D"/>
    <w:rsid w:val="00CC7B65"/>
    <w:rsid w:val="00CD4739"/>
    <w:rsid w:val="00CE0A71"/>
    <w:rsid w:val="00CE0F7F"/>
    <w:rsid w:val="00CE12AE"/>
    <w:rsid w:val="00D010F6"/>
    <w:rsid w:val="00D05B36"/>
    <w:rsid w:val="00D06555"/>
    <w:rsid w:val="00D069AF"/>
    <w:rsid w:val="00D11F81"/>
    <w:rsid w:val="00D152A7"/>
    <w:rsid w:val="00D2039B"/>
    <w:rsid w:val="00D3631E"/>
    <w:rsid w:val="00D37277"/>
    <w:rsid w:val="00D4263E"/>
    <w:rsid w:val="00D43513"/>
    <w:rsid w:val="00D459C2"/>
    <w:rsid w:val="00D50B0E"/>
    <w:rsid w:val="00D57634"/>
    <w:rsid w:val="00D70452"/>
    <w:rsid w:val="00D751B2"/>
    <w:rsid w:val="00D81CF7"/>
    <w:rsid w:val="00D84565"/>
    <w:rsid w:val="00DA15D1"/>
    <w:rsid w:val="00DA1B7C"/>
    <w:rsid w:val="00DA78E1"/>
    <w:rsid w:val="00DB03EC"/>
    <w:rsid w:val="00DB1CCF"/>
    <w:rsid w:val="00DB6F09"/>
    <w:rsid w:val="00DC6B65"/>
    <w:rsid w:val="00DD0302"/>
    <w:rsid w:val="00DD71FA"/>
    <w:rsid w:val="00DE706C"/>
    <w:rsid w:val="00DE7AB1"/>
    <w:rsid w:val="00DF3721"/>
    <w:rsid w:val="00DF5EF2"/>
    <w:rsid w:val="00DF6B43"/>
    <w:rsid w:val="00E02E37"/>
    <w:rsid w:val="00E03B6C"/>
    <w:rsid w:val="00E11087"/>
    <w:rsid w:val="00E207BA"/>
    <w:rsid w:val="00E26A84"/>
    <w:rsid w:val="00E310E0"/>
    <w:rsid w:val="00E35207"/>
    <w:rsid w:val="00E35664"/>
    <w:rsid w:val="00E35EAB"/>
    <w:rsid w:val="00E426F4"/>
    <w:rsid w:val="00E43FFF"/>
    <w:rsid w:val="00E463F9"/>
    <w:rsid w:val="00E54146"/>
    <w:rsid w:val="00E5510F"/>
    <w:rsid w:val="00E567C8"/>
    <w:rsid w:val="00E61336"/>
    <w:rsid w:val="00E6168E"/>
    <w:rsid w:val="00E61903"/>
    <w:rsid w:val="00E624E5"/>
    <w:rsid w:val="00E70A8B"/>
    <w:rsid w:val="00E72F8A"/>
    <w:rsid w:val="00E76314"/>
    <w:rsid w:val="00E77999"/>
    <w:rsid w:val="00E77CF9"/>
    <w:rsid w:val="00E77F32"/>
    <w:rsid w:val="00E8281E"/>
    <w:rsid w:val="00E92B90"/>
    <w:rsid w:val="00E9590A"/>
    <w:rsid w:val="00E95CA6"/>
    <w:rsid w:val="00EA4B9F"/>
    <w:rsid w:val="00EC476B"/>
    <w:rsid w:val="00ED14C3"/>
    <w:rsid w:val="00ED3F24"/>
    <w:rsid w:val="00EE4346"/>
    <w:rsid w:val="00EE4481"/>
    <w:rsid w:val="00EE6074"/>
    <w:rsid w:val="00EF2A53"/>
    <w:rsid w:val="00EF341D"/>
    <w:rsid w:val="00EF74B5"/>
    <w:rsid w:val="00F020D1"/>
    <w:rsid w:val="00F02E7A"/>
    <w:rsid w:val="00F06105"/>
    <w:rsid w:val="00F1131D"/>
    <w:rsid w:val="00F11D60"/>
    <w:rsid w:val="00F137CB"/>
    <w:rsid w:val="00F15872"/>
    <w:rsid w:val="00F211DF"/>
    <w:rsid w:val="00F21CAC"/>
    <w:rsid w:val="00F441F2"/>
    <w:rsid w:val="00F4701E"/>
    <w:rsid w:val="00F47C6E"/>
    <w:rsid w:val="00F50717"/>
    <w:rsid w:val="00F5387A"/>
    <w:rsid w:val="00F53F74"/>
    <w:rsid w:val="00F56444"/>
    <w:rsid w:val="00F629AB"/>
    <w:rsid w:val="00F66F6F"/>
    <w:rsid w:val="00F732C9"/>
    <w:rsid w:val="00F734C8"/>
    <w:rsid w:val="00F810B8"/>
    <w:rsid w:val="00F83BAD"/>
    <w:rsid w:val="00F84754"/>
    <w:rsid w:val="00F84EA8"/>
    <w:rsid w:val="00F86612"/>
    <w:rsid w:val="00F872D8"/>
    <w:rsid w:val="00F9029D"/>
    <w:rsid w:val="00F902CD"/>
    <w:rsid w:val="00F90532"/>
    <w:rsid w:val="00FA0D9E"/>
    <w:rsid w:val="00FA1BEB"/>
    <w:rsid w:val="00FA5DB7"/>
    <w:rsid w:val="00FC2BCF"/>
    <w:rsid w:val="00FC399C"/>
    <w:rsid w:val="00FC401D"/>
    <w:rsid w:val="00FD0861"/>
    <w:rsid w:val="00FD2B1B"/>
    <w:rsid w:val="00FD677A"/>
    <w:rsid w:val="00FD7E04"/>
    <w:rsid w:val="00FE4A6B"/>
    <w:rsid w:val="00FF2250"/>
    <w:rsid w:val="00FF4B6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C574D1"/>
  <w15:chartTrackingRefBased/>
  <w15:docId w15:val="{E4A1D9D9-456A-47E1-9B37-34268DE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9B78-122E-4E36-948E-F12C9ED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1858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2021-12-01T09:37:00Z</cp:lastPrinted>
  <dcterms:created xsi:type="dcterms:W3CDTF">2022-11-02T08:12:00Z</dcterms:created>
  <dcterms:modified xsi:type="dcterms:W3CDTF">2022-11-09T14:21:00Z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2019-12-16T11:17:14.2156281Z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144294fa-764c-40a8-9dfc-215cf8eeb2cd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