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1CCDB9F" w:rsidR="00455210" w:rsidRPr="00FD7DB7" w:rsidRDefault="00422C4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22C4D">
              <w:rPr>
                <w:rFonts w:ascii="Times New Roman" w:hAnsi="Times New Roman"/>
              </w:rPr>
              <w:t>SZ UKZUZ 215518/2023/57915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C65352F" w:rsidR="00455210" w:rsidRPr="00FD7DB7" w:rsidRDefault="00AC44F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C44FA">
              <w:rPr>
                <w:rFonts w:ascii="Times New Roman" w:hAnsi="Times New Roman"/>
              </w:rPr>
              <w:t>UKZUZ 058195/2024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734745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B0567">
              <w:rPr>
                <w:rFonts w:ascii="Times New Roman" w:hAnsi="Times New Roman"/>
              </w:rPr>
              <w:t>affirm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0B012C92" w:rsidR="00455210" w:rsidRPr="00AC44FA" w:rsidRDefault="00E82BB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C44FA">
              <w:rPr>
                <w:rFonts w:ascii="Times New Roman" w:hAnsi="Times New Roman"/>
              </w:rPr>
              <w:t>5</w:t>
            </w:r>
            <w:r w:rsidR="0038392F" w:rsidRPr="00AC44FA">
              <w:rPr>
                <w:rFonts w:ascii="Times New Roman" w:hAnsi="Times New Roman"/>
              </w:rPr>
              <w:t xml:space="preserve">. </w:t>
            </w:r>
            <w:r w:rsidR="00422C4D" w:rsidRPr="00AC44FA">
              <w:rPr>
                <w:rFonts w:ascii="Times New Roman" w:hAnsi="Times New Roman"/>
              </w:rPr>
              <w:t>dubna</w:t>
            </w:r>
            <w:r w:rsidR="0038392F" w:rsidRPr="00AC44FA">
              <w:rPr>
                <w:rFonts w:ascii="Times New Roman" w:hAnsi="Times New Roman"/>
              </w:rPr>
              <w:t xml:space="preserve"> 202</w:t>
            </w:r>
            <w:r w:rsidR="00422C4D" w:rsidRPr="00AC44FA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C24ACFF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AB0567">
        <w:rPr>
          <w:rFonts w:ascii="Times New Roman" w:hAnsi="Times New Roman"/>
          <w:b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AB0567">
        <w:rPr>
          <w:rFonts w:ascii="Times New Roman" w:hAnsi="Times New Roman"/>
          <w:b/>
          <w:iCs/>
          <w:sz w:val="24"/>
          <w:szCs w:val="24"/>
        </w:rPr>
        <w:t>936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9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2"/>
        <w:gridCol w:w="1275"/>
        <w:gridCol w:w="774"/>
        <w:gridCol w:w="1984"/>
        <w:gridCol w:w="1843"/>
      </w:tblGrid>
      <w:tr w:rsidR="00E94849" w:rsidRPr="00E94849" w14:paraId="0FB72DEE" w14:textId="77777777" w:rsidTr="009E151D">
        <w:tc>
          <w:tcPr>
            <w:tcW w:w="1985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332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94849" w:rsidRPr="00E94849" w14:paraId="7577C686" w14:textId="77777777" w:rsidTr="009E151D">
        <w:tc>
          <w:tcPr>
            <w:tcW w:w="1985" w:type="dxa"/>
          </w:tcPr>
          <w:p w14:paraId="0169AAE1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2332" w:type="dxa"/>
          </w:tcPr>
          <w:p w14:paraId="4DCD1BAE" w14:textId="3E002FFF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klíněnka jabloňová, podkopníčci</w:t>
            </w:r>
          </w:p>
        </w:tc>
        <w:tc>
          <w:tcPr>
            <w:tcW w:w="1275" w:type="dxa"/>
          </w:tcPr>
          <w:p w14:paraId="50ABC6EA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2,5 kg/ha</w:t>
            </w:r>
          </w:p>
        </w:tc>
        <w:tc>
          <w:tcPr>
            <w:tcW w:w="774" w:type="dxa"/>
          </w:tcPr>
          <w:p w14:paraId="15B4B04B" w14:textId="71B88BD9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8FAE91B" w14:textId="740C44B4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89 BBCH </w:t>
            </w:r>
          </w:p>
        </w:tc>
        <w:tc>
          <w:tcPr>
            <w:tcW w:w="1843" w:type="dxa"/>
          </w:tcPr>
          <w:p w14:paraId="7CCD9270" w14:textId="05BAA301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03644415" w14:textId="77777777" w:rsidTr="009E151D">
        <w:tc>
          <w:tcPr>
            <w:tcW w:w="1985" w:type="dxa"/>
          </w:tcPr>
          <w:p w14:paraId="0F07FBFE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332" w:type="dxa"/>
          </w:tcPr>
          <w:p w14:paraId="405AF5BF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7C927C3F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32BD527" w14:textId="4FD9FE90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58C47E9" w14:textId="75779E4A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53 BBCH, do: 55 BBCH</w:t>
            </w:r>
            <w:r w:rsidR="00E528AA" w:rsidRPr="00B12980">
              <w:rPr>
                <w:rFonts w:ascii="Times New Roman" w:hAnsi="Times New Roman"/>
                <w:sz w:val="24"/>
                <w:szCs w:val="24"/>
              </w:rPr>
              <w:t>,</w:t>
            </w: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2710C" w14:textId="77777777" w:rsidR="00E528AA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1AB57141" w14:textId="540D780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DC68189" w14:textId="640C114A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6372B0C1" w14:textId="77777777" w:rsidTr="009E151D">
        <w:tc>
          <w:tcPr>
            <w:tcW w:w="1985" w:type="dxa"/>
          </w:tcPr>
          <w:p w14:paraId="38948EE7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332" w:type="dxa"/>
          </w:tcPr>
          <w:p w14:paraId="363B1361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 xml:space="preserve">, černopáska bavlníková, obaleč jahodníkový, obaleč </w:t>
            </w:r>
            <w:r w:rsidRPr="00B1298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Acleris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comariana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>), blýskavka kukuřičná, blýskavka bavlníková, octomilka japonská</w:t>
            </w:r>
          </w:p>
        </w:tc>
        <w:tc>
          <w:tcPr>
            <w:tcW w:w="1275" w:type="dxa"/>
          </w:tcPr>
          <w:p w14:paraId="13633374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lastRenderedPageBreak/>
              <w:t>1,5 kg/ha</w:t>
            </w:r>
          </w:p>
        </w:tc>
        <w:tc>
          <w:tcPr>
            <w:tcW w:w="774" w:type="dxa"/>
          </w:tcPr>
          <w:p w14:paraId="3B98C947" w14:textId="63CB4CE7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A1FF37F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  <w:p w14:paraId="5FB999FE" w14:textId="2736BDE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a od: 71 BBCH, do: 89 BBCH </w:t>
            </w:r>
          </w:p>
        </w:tc>
        <w:tc>
          <w:tcPr>
            <w:tcW w:w="1843" w:type="dxa"/>
          </w:tcPr>
          <w:p w14:paraId="6E558F98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0EF2AEAF" w14:textId="77777777" w:rsidTr="009E151D">
        <w:tc>
          <w:tcPr>
            <w:tcW w:w="1985" w:type="dxa"/>
          </w:tcPr>
          <w:p w14:paraId="41F3C3BD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maliník, ostružiník a mezidruhoví kříženci, rybíz, angrešt,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2332" w:type="dxa"/>
          </w:tcPr>
          <w:p w14:paraId="3FA90B84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32BA955" w14:textId="77777777" w:rsidR="00E94849" w:rsidRPr="00554B5D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ECCC48D" w14:textId="1F950CD9" w:rsidR="00E94849" w:rsidRPr="00554B5D" w:rsidRDefault="0035336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4D0C0EAD" w14:textId="6F6E8AB9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29BD2CB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4C04D809" w14:textId="77777777" w:rsidTr="009E151D">
        <w:tc>
          <w:tcPr>
            <w:tcW w:w="1985" w:type="dxa"/>
          </w:tcPr>
          <w:p w14:paraId="0F24297F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2332" w:type="dxa"/>
          </w:tcPr>
          <w:p w14:paraId="7958B045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A6F3DAD" w14:textId="77777777" w:rsidR="00E94849" w:rsidRPr="00554B5D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0121EE7C" w14:textId="19A4C639" w:rsidR="00E94849" w:rsidRPr="00554B5D" w:rsidRDefault="0035336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789E045D" w14:textId="109D646A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11A60EA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5BAEFCB7" w14:textId="77777777" w:rsidTr="009E151D">
        <w:tc>
          <w:tcPr>
            <w:tcW w:w="1985" w:type="dxa"/>
          </w:tcPr>
          <w:p w14:paraId="70E0A1BD" w14:textId="0AA57170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2332" w:type="dxa"/>
          </w:tcPr>
          <w:p w14:paraId="74A9D302" w14:textId="7E217D01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 w:rsidRPr="00B12980">
              <w:rPr>
                <w:rFonts w:ascii="Times New Roman" w:hAnsi="Times New Roman"/>
                <w:sz w:val="24"/>
                <w:szCs w:val="24"/>
              </w:rPr>
              <w:t>, blýskavky</w:t>
            </w: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210DD9A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AB9212D" w14:textId="5E8C1811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C1229BF" w14:textId="0DC6B27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003D911A" w14:textId="14E4D56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6FD86531" w14:textId="13D4AED1" w:rsidR="006072C2" w:rsidRPr="00B12980" w:rsidRDefault="006072C2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251255B5" w14:textId="77777777" w:rsidTr="009E151D">
        <w:tc>
          <w:tcPr>
            <w:tcW w:w="1985" w:type="dxa"/>
          </w:tcPr>
          <w:p w14:paraId="6F2AB836" w14:textId="09CAC3D5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2332" w:type="dxa"/>
          </w:tcPr>
          <w:p w14:paraId="54E9E7E0" w14:textId="02A5524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 w:rsidRPr="00554B5D">
              <w:rPr>
                <w:rFonts w:ascii="Times New Roman" w:hAnsi="Times New Roman"/>
                <w:sz w:val="24"/>
                <w:szCs w:val="24"/>
              </w:rPr>
              <w:t>, blýskavky</w:t>
            </w:r>
          </w:p>
        </w:tc>
        <w:tc>
          <w:tcPr>
            <w:tcW w:w="1275" w:type="dxa"/>
          </w:tcPr>
          <w:p w14:paraId="2C716ABF" w14:textId="3772433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618EA38" w14:textId="35888066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4DE2F19" w14:textId="50B29B7A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6F0369AA" w14:textId="6D52F652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</w:t>
            </w:r>
            <w:r w:rsidR="00F2146A" w:rsidRPr="00554B5D">
              <w:rPr>
                <w:rFonts w:ascii="Times New Roman" w:hAnsi="Times New Roman"/>
                <w:sz w:val="24"/>
                <w:szCs w:val="24"/>
              </w:rPr>
              <w:t>o</w:t>
            </w:r>
            <w:r w:rsidRPr="00554B5D">
              <w:rPr>
                <w:rFonts w:ascii="Times New Roman" w:hAnsi="Times New Roman"/>
                <w:sz w:val="24"/>
                <w:szCs w:val="24"/>
              </w:rPr>
              <w:t>liovníky</w:t>
            </w:r>
            <w:proofErr w:type="spellEnd"/>
          </w:p>
          <w:p w14:paraId="6AC1BA3B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3FDBE2EB" w14:textId="77777777" w:rsidTr="009E151D">
        <w:tc>
          <w:tcPr>
            <w:tcW w:w="1985" w:type="dxa"/>
          </w:tcPr>
          <w:p w14:paraId="6321D251" w14:textId="6D1A8309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 xml:space="preserve"> –čerstvé lusky</w:t>
            </w:r>
          </w:p>
        </w:tc>
        <w:tc>
          <w:tcPr>
            <w:tcW w:w="2332" w:type="dxa"/>
          </w:tcPr>
          <w:p w14:paraId="238E6577" w14:textId="000452A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 w:rsidRPr="00B12980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28D73942" w14:textId="7777777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F146FB9" w14:textId="3F8428CE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3BC6733" w14:textId="3F50A245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DD001A5" w14:textId="43C9E77F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0D11B7" w:rsidRPr="00B12980">
              <w:rPr>
                <w:rFonts w:ascii="Times New Roman" w:hAnsi="Times New Roman"/>
                <w:sz w:val="24"/>
                <w:szCs w:val="24"/>
              </w:rPr>
              <w:t xml:space="preserve">venkovní prostory, 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>skleníky, fóliovníky</w:t>
            </w:r>
          </w:p>
        </w:tc>
      </w:tr>
      <w:tr w:rsidR="0029188C" w:rsidRPr="00E94849" w14:paraId="50BE1927" w14:textId="77777777" w:rsidTr="009E151D">
        <w:tc>
          <w:tcPr>
            <w:tcW w:w="1985" w:type="dxa"/>
          </w:tcPr>
          <w:p w14:paraId="70572E7D" w14:textId="2519772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 xml:space="preserve"> čerstvá vyluštěná zrna</w:t>
            </w:r>
          </w:p>
        </w:tc>
        <w:tc>
          <w:tcPr>
            <w:tcW w:w="2332" w:type="dxa"/>
          </w:tcPr>
          <w:p w14:paraId="5B9F560A" w14:textId="722EFE2D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 w:rsidRPr="00B12980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0AB49561" w14:textId="2AF3F75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CD35240" w14:textId="6C648305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2073AF0" w14:textId="67033C6B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A6CF349" w14:textId="6D55E5D9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1D92F34" w14:textId="77777777" w:rsidTr="009E151D">
        <w:tc>
          <w:tcPr>
            <w:tcW w:w="1985" w:type="dxa"/>
          </w:tcPr>
          <w:p w14:paraId="719D3240" w14:textId="7E06BDB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hrách zahradní</w:t>
            </w:r>
            <w:r w:rsidR="00D3791C"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6A" w:rsidRPr="00554B5D">
              <w:rPr>
                <w:rFonts w:ascii="Times New Roman" w:hAnsi="Times New Roman"/>
                <w:sz w:val="24"/>
                <w:szCs w:val="24"/>
              </w:rPr>
              <w:t>–čerstvé lusky</w:t>
            </w:r>
          </w:p>
        </w:tc>
        <w:tc>
          <w:tcPr>
            <w:tcW w:w="2332" w:type="dxa"/>
          </w:tcPr>
          <w:p w14:paraId="369DBC22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černopáska bavlníková, zavíječ kukuřičný</w:t>
            </w:r>
          </w:p>
        </w:tc>
        <w:tc>
          <w:tcPr>
            <w:tcW w:w="1275" w:type="dxa"/>
          </w:tcPr>
          <w:p w14:paraId="5C4739FE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94C322F" w14:textId="5FBE3BDB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388B6B7" w14:textId="6E0ECFF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1ED66479" w14:textId="7DBC33CD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554B5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B5BE8" w:rsidRPr="00E94849" w14:paraId="61E78B8C" w14:textId="77777777" w:rsidTr="00F25763">
        <w:tc>
          <w:tcPr>
            <w:tcW w:w="1985" w:type="dxa"/>
          </w:tcPr>
          <w:p w14:paraId="7A65BE8E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zelí čínské, kapusta hlávková, kapusta růžičková, kapusta kadeřavá</w:t>
            </w:r>
          </w:p>
        </w:tc>
        <w:tc>
          <w:tcPr>
            <w:tcW w:w="2332" w:type="dxa"/>
          </w:tcPr>
          <w:p w14:paraId="2C4C4672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05375CCF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37F01910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0FE4691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05E5F4A8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9188C" w:rsidRPr="00E94849" w14:paraId="258DBD08" w14:textId="77777777" w:rsidTr="009E151D">
        <w:tc>
          <w:tcPr>
            <w:tcW w:w="1985" w:type="dxa"/>
          </w:tcPr>
          <w:p w14:paraId="3C350EF7" w14:textId="21D647B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brokolice, květák</w:t>
            </w:r>
          </w:p>
        </w:tc>
        <w:tc>
          <w:tcPr>
            <w:tcW w:w="2332" w:type="dxa"/>
          </w:tcPr>
          <w:p w14:paraId="5A8BDC0A" w14:textId="3EFA23BA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</w:t>
            </w:r>
            <w:r w:rsidR="009E151D" w:rsidRPr="00554B5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42856252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FB4F4FE" w14:textId="1EDD173B" w:rsidR="0029188C" w:rsidRPr="00554B5D" w:rsidRDefault="002B5BE8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219B2D7" w14:textId="2B7B2E8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7EEEADC8" w14:textId="58B9583B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554B5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353362" w:rsidRPr="00E94849" w14:paraId="0453747B" w14:textId="77777777" w:rsidTr="009E151D">
        <w:tc>
          <w:tcPr>
            <w:tcW w:w="1985" w:type="dxa"/>
          </w:tcPr>
          <w:p w14:paraId="4A6D2CFA" w14:textId="24FA876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lastRenderedPageBreak/>
              <w:t>zelí hlávkové</w:t>
            </w:r>
          </w:p>
        </w:tc>
        <w:tc>
          <w:tcPr>
            <w:tcW w:w="2332" w:type="dxa"/>
          </w:tcPr>
          <w:p w14:paraId="59635E44" w14:textId="50DB87D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542442AD" w14:textId="10F7D60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0E1EB6E0" w14:textId="7845F19E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B5A628D" w14:textId="66289ED1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65839762" w14:textId="3F61B12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085E9E84" w14:textId="77777777" w:rsidTr="009E151D">
        <w:tc>
          <w:tcPr>
            <w:tcW w:w="1985" w:type="dxa"/>
          </w:tcPr>
          <w:p w14:paraId="49999A9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2332" w:type="dxa"/>
          </w:tcPr>
          <w:p w14:paraId="24CDA0E0" w14:textId="4E7CEB2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blýskavky, osenice</w:t>
            </w:r>
          </w:p>
        </w:tc>
        <w:tc>
          <w:tcPr>
            <w:tcW w:w="1275" w:type="dxa"/>
          </w:tcPr>
          <w:p w14:paraId="7FA1866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3C328E0" w14:textId="035082E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FD60883" w14:textId="604F744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2D02D26D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72AE96ED" w14:textId="24640AE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EE0FD35" w14:textId="782D972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2885F21C" w14:textId="77777777" w:rsidTr="009E151D">
        <w:tc>
          <w:tcPr>
            <w:tcW w:w="1985" w:type="dxa"/>
          </w:tcPr>
          <w:p w14:paraId="30F3F3A3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2332" w:type="dxa"/>
          </w:tcPr>
          <w:p w14:paraId="19D68B36" w14:textId="0AA5E37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, černopáska bavlníková,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makadlovka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Tuta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absoluta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), blýskavky</w:t>
            </w:r>
          </w:p>
        </w:tc>
        <w:tc>
          <w:tcPr>
            <w:tcW w:w="1275" w:type="dxa"/>
          </w:tcPr>
          <w:p w14:paraId="56A745AC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AE7AC94" w14:textId="795A755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63AC476" w14:textId="5AAD992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57B876AC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6A28B405" w14:textId="42587CC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68F0A2B" w14:textId="4B3B0BDB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272BA259" w14:textId="77777777" w:rsidTr="009E151D">
        <w:tc>
          <w:tcPr>
            <w:tcW w:w="1985" w:type="dxa"/>
          </w:tcPr>
          <w:p w14:paraId="35A5D18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</w:p>
        </w:tc>
        <w:tc>
          <w:tcPr>
            <w:tcW w:w="2332" w:type="dxa"/>
          </w:tcPr>
          <w:p w14:paraId="3563C1BF" w14:textId="3E414D5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4F0C7B7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6C4A4F1E" w14:textId="1E556F91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D7E899E" w14:textId="672A6C5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7699038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2CE9CEEA" w14:textId="4562B3D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0B3A773" w14:textId="6B8B774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48EFF96D" w14:textId="77777777" w:rsidTr="009E151D">
        <w:tc>
          <w:tcPr>
            <w:tcW w:w="1985" w:type="dxa"/>
          </w:tcPr>
          <w:p w14:paraId="4FFFF351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2332" w:type="dxa"/>
          </w:tcPr>
          <w:p w14:paraId="2926531A" w14:textId="6A40B16F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3E4EDCC5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C6F8716" w14:textId="76BE950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C7698EB" w14:textId="64CB5C1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44073D6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7278409D" w14:textId="61819A3F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0A53B914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353362" w:rsidRPr="00E94849" w14:paraId="7C622E66" w14:textId="77777777" w:rsidTr="009E151D">
        <w:tc>
          <w:tcPr>
            <w:tcW w:w="1985" w:type="dxa"/>
          </w:tcPr>
          <w:p w14:paraId="3940972D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332" w:type="dxa"/>
          </w:tcPr>
          <w:p w14:paraId="7DF4653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zavíječ zimostrázový, bekyně, housenky motýlů</w:t>
            </w:r>
          </w:p>
        </w:tc>
        <w:tc>
          <w:tcPr>
            <w:tcW w:w="1275" w:type="dxa"/>
          </w:tcPr>
          <w:p w14:paraId="23DD222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9D820A2" w14:textId="49DE3098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4" w:type="dxa"/>
          </w:tcPr>
          <w:p w14:paraId="75747DE5" w14:textId="3D9E380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12 BBCH </w:t>
            </w:r>
          </w:p>
        </w:tc>
        <w:tc>
          <w:tcPr>
            <w:tcW w:w="1843" w:type="dxa"/>
          </w:tcPr>
          <w:p w14:paraId="110EB5D4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prostory,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353362" w:rsidRPr="00E94849" w14:paraId="4BD99D6E" w14:textId="77777777" w:rsidTr="009E151D">
        <w:trPr>
          <w:trHeight w:val="57"/>
        </w:trPr>
        <w:tc>
          <w:tcPr>
            <w:tcW w:w="1985" w:type="dxa"/>
          </w:tcPr>
          <w:p w14:paraId="5D9AFB9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2332" w:type="dxa"/>
          </w:tcPr>
          <w:p w14:paraId="1DB27F23" w14:textId="3A84C57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63C42CCB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897AB4E" w14:textId="6BFB24B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7F741BB" w14:textId="7368DA9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63A1A8E7" w14:textId="2463D53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</w:tbl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4BBB86C2" w14:textId="140F06E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2E7E6ED" w14:textId="77777777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29"/>
        <w:gridCol w:w="1276"/>
        <w:gridCol w:w="1559"/>
        <w:gridCol w:w="1418"/>
      </w:tblGrid>
      <w:tr w:rsidR="00E94849" w:rsidRPr="00E94849" w14:paraId="331F6993" w14:textId="77777777" w:rsidTr="009E151D">
        <w:tc>
          <w:tcPr>
            <w:tcW w:w="4112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E94849" w:rsidRPr="00E94849" w14:paraId="5A3C2D75" w14:textId="77777777" w:rsidTr="009E151D">
        <w:tc>
          <w:tcPr>
            <w:tcW w:w="4112" w:type="dxa"/>
            <w:shd w:val="clear" w:color="auto" w:fill="auto"/>
          </w:tcPr>
          <w:p w14:paraId="5721FF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729" w:type="dxa"/>
            <w:shd w:val="clear" w:color="auto" w:fill="auto"/>
          </w:tcPr>
          <w:p w14:paraId="4E42569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600-1000 l/ha</w:t>
            </w:r>
          </w:p>
        </w:tc>
        <w:tc>
          <w:tcPr>
            <w:tcW w:w="1276" w:type="dxa"/>
            <w:shd w:val="clear" w:color="auto" w:fill="auto"/>
          </w:tcPr>
          <w:p w14:paraId="620184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F33B7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E0D95E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309595E1" w14:textId="77777777" w:rsidTr="009E151D">
        <w:tc>
          <w:tcPr>
            <w:tcW w:w="4112" w:type="dxa"/>
            <w:shd w:val="clear" w:color="auto" w:fill="auto"/>
          </w:tcPr>
          <w:p w14:paraId="51A8D5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729" w:type="dxa"/>
            <w:shd w:val="clear" w:color="auto" w:fill="auto"/>
          </w:tcPr>
          <w:p w14:paraId="550D63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7DB9250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2CE5A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017996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E94849" w:rsidRPr="00E94849" w14:paraId="00C0A013" w14:textId="77777777" w:rsidTr="009E151D">
        <w:tc>
          <w:tcPr>
            <w:tcW w:w="4112" w:type="dxa"/>
            <w:shd w:val="clear" w:color="auto" w:fill="auto"/>
          </w:tcPr>
          <w:p w14:paraId="75A3B35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729" w:type="dxa"/>
            <w:shd w:val="clear" w:color="auto" w:fill="auto"/>
          </w:tcPr>
          <w:p w14:paraId="242373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7F18662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61468A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38005B7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40A69AB" w14:textId="77777777" w:rsidTr="009E151D">
        <w:tc>
          <w:tcPr>
            <w:tcW w:w="4112" w:type="dxa"/>
            <w:shd w:val="clear" w:color="auto" w:fill="auto"/>
          </w:tcPr>
          <w:p w14:paraId="78C997D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maliník, ostružiník a mezidruhoví kříženci, rybíz, angrešt,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8D33A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A72378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5AC9360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742A40F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5D6E8EA" w14:textId="77777777" w:rsidTr="009E151D">
        <w:tc>
          <w:tcPr>
            <w:tcW w:w="4112" w:type="dxa"/>
            <w:shd w:val="clear" w:color="auto" w:fill="auto"/>
          </w:tcPr>
          <w:p w14:paraId="6E84925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EF02A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EA57C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7DA7A42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3516D3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66550A9" w14:textId="77777777" w:rsidTr="009E151D">
        <w:tc>
          <w:tcPr>
            <w:tcW w:w="4112" w:type="dxa"/>
            <w:shd w:val="clear" w:color="auto" w:fill="auto"/>
          </w:tcPr>
          <w:p w14:paraId="20B2130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1729" w:type="dxa"/>
            <w:shd w:val="clear" w:color="auto" w:fill="auto"/>
          </w:tcPr>
          <w:p w14:paraId="6A8FD77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B49E2B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C8B9B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2DF950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4E077DF" w14:textId="77777777" w:rsidTr="009E151D">
        <w:tc>
          <w:tcPr>
            <w:tcW w:w="4112" w:type="dxa"/>
            <w:shd w:val="clear" w:color="auto" w:fill="auto"/>
          </w:tcPr>
          <w:p w14:paraId="27D44DCB" w14:textId="2359CFDC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fazol</w:t>
            </w:r>
          </w:p>
        </w:tc>
        <w:tc>
          <w:tcPr>
            <w:tcW w:w="1729" w:type="dxa"/>
            <w:shd w:val="clear" w:color="auto" w:fill="auto"/>
          </w:tcPr>
          <w:p w14:paraId="16B93BE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1276" w:type="dxa"/>
            <w:shd w:val="clear" w:color="auto" w:fill="auto"/>
          </w:tcPr>
          <w:p w14:paraId="5B3B56D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0E7E8A9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7975D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21F82E0" w14:textId="77777777" w:rsidTr="009E151D">
        <w:tc>
          <w:tcPr>
            <w:tcW w:w="4112" w:type="dxa"/>
            <w:shd w:val="clear" w:color="auto" w:fill="auto"/>
          </w:tcPr>
          <w:p w14:paraId="6263A53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729" w:type="dxa"/>
            <w:shd w:val="clear" w:color="auto" w:fill="auto"/>
          </w:tcPr>
          <w:p w14:paraId="23C6FF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300-800 l/ha</w:t>
            </w:r>
          </w:p>
        </w:tc>
        <w:tc>
          <w:tcPr>
            <w:tcW w:w="1276" w:type="dxa"/>
            <w:shd w:val="clear" w:color="auto" w:fill="auto"/>
          </w:tcPr>
          <w:p w14:paraId="2444083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0FC33D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65CD33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37A7DEE" w14:textId="77777777" w:rsidTr="009E151D">
        <w:tc>
          <w:tcPr>
            <w:tcW w:w="4112" w:type="dxa"/>
            <w:shd w:val="clear" w:color="auto" w:fill="auto"/>
          </w:tcPr>
          <w:p w14:paraId="3DECB76C" w14:textId="21B0BC92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brokolice, květák, zelí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 hlávkové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zelí čínské, kapusta</w:t>
            </w:r>
            <w:r w:rsidR="000D11B7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kapusta růžičková, kapusta kadeřavá</w:t>
            </w:r>
          </w:p>
        </w:tc>
        <w:tc>
          <w:tcPr>
            <w:tcW w:w="1729" w:type="dxa"/>
            <w:shd w:val="clear" w:color="auto" w:fill="auto"/>
          </w:tcPr>
          <w:p w14:paraId="3D45816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E8123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2B3162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0A560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793FB68" w14:textId="77777777" w:rsidTr="009E151D">
        <w:tc>
          <w:tcPr>
            <w:tcW w:w="4112" w:type="dxa"/>
            <w:shd w:val="clear" w:color="auto" w:fill="auto"/>
          </w:tcPr>
          <w:p w14:paraId="0D3DC5F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729" w:type="dxa"/>
            <w:shd w:val="clear" w:color="auto" w:fill="auto"/>
          </w:tcPr>
          <w:p w14:paraId="15E058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5AB18E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8BD8B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AA358D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CCDFF5A" w14:textId="77777777" w:rsidTr="009E151D">
        <w:tc>
          <w:tcPr>
            <w:tcW w:w="4112" w:type="dxa"/>
            <w:shd w:val="clear" w:color="auto" w:fill="auto"/>
          </w:tcPr>
          <w:p w14:paraId="0320B3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1729" w:type="dxa"/>
            <w:shd w:val="clear" w:color="auto" w:fill="auto"/>
          </w:tcPr>
          <w:p w14:paraId="1899C71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  <w:shd w:val="clear" w:color="auto" w:fill="auto"/>
          </w:tcPr>
          <w:p w14:paraId="5E77B5F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18DACB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326A67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2037B36B" w14:textId="77777777" w:rsidTr="009E151D">
        <w:tc>
          <w:tcPr>
            <w:tcW w:w="4112" w:type="dxa"/>
            <w:shd w:val="clear" w:color="auto" w:fill="auto"/>
          </w:tcPr>
          <w:p w14:paraId="25C9CF6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1729" w:type="dxa"/>
            <w:shd w:val="clear" w:color="auto" w:fill="auto"/>
          </w:tcPr>
          <w:p w14:paraId="4A27571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624627E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875115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7E26592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C717ADA" w14:textId="77777777" w:rsidTr="009E151D">
        <w:tc>
          <w:tcPr>
            <w:tcW w:w="4112" w:type="dxa"/>
            <w:shd w:val="clear" w:color="auto" w:fill="auto"/>
          </w:tcPr>
          <w:p w14:paraId="13EADFD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29" w:type="dxa"/>
            <w:shd w:val="clear" w:color="auto" w:fill="auto"/>
          </w:tcPr>
          <w:p w14:paraId="34994DD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1276" w:type="dxa"/>
            <w:shd w:val="clear" w:color="auto" w:fill="auto"/>
          </w:tcPr>
          <w:p w14:paraId="784CD13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602A16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1DF6499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4378CEC7" w14:textId="77777777" w:rsidTr="009E151D">
        <w:tc>
          <w:tcPr>
            <w:tcW w:w="4112" w:type="dxa"/>
            <w:shd w:val="clear" w:color="auto" w:fill="auto"/>
          </w:tcPr>
          <w:p w14:paraId="7882A6A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1729" w:type="dxa"/>
            <w:shd w:val="clear" w:color="auto" w:fill="auto"/>
          </w:tcPr>
          <w:p w14:paraId="473F59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6458D29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E9313C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B6B03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5C97E4A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376"/>
      </w:tblGrid>
      <w:tr w:rsidR="005808E8" w:rsidRPr="005808E8" w14:paraId="1C49B89A" w14:textId="77777777" w:rsidTr="00554B5D">
        <w:trPr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2E5E649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76" w:type="dxa"/>
            <w:vAlign w:val="center"/>
          </w:tcPr>
          <w:p w14:paraId="4BF8D96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554B5D">
        <w:trPr>
          <w:trHeight w:val="275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533BB633" w14:textId="77777777" w:rsidR="005808E8" w:rsidRPr="005808E8" w:rsidRDefault="005808E8" w:rsidP="005808E8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808E8" w:rsidRPr="005808E8" w14:paraId="26EA57EE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589336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161" w:type="dxa"/>
            <w:vAlign w:val="center"/>
          </w:tcPr>
          <w:p w14:paraId="6B86F65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5" w:type="dxa"/>
            <w:vAlign w:val="center"/>
          </w:tcPr>
          <w:p w14:paraId="33A5AA0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1" w:type="dxa"/>
            <w:vAlign w:val="center"/>
          </w:tcPr>
          <w:p w14:paraId="75794F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6" w:type="dxa"/>
            <w:vAlign w:val="center"/>
          </w:tcPr>
          <w:p w14:paraId="49F068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808E8" w:rsidRPr="005808E8" w14:paraId="652E671E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73C19D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161" w:type="dxa"/>
            <w:vAlign w:val="center"/>
          </w:tcPr>
          <w:p w14:paraId="27B7C81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5" w:type="dxa"/>
            <w:vAlign w:val="center"/>
          </w:tcPr>
          <w:p w14:paraId="5083C75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  <w:vAlign w:val="center"/>
          </w:tcPr>
          <w:p w14:paraId="6A8221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1D446DA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35E7B031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036DB7D" w14:textId="40BB3094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jahodník, salát, čekanka salátová, štěrbák</w:t>
            </w:r>
            <w:r w:rsidR="0045085C">
              <w:rPr>
                <w:rFonts w:ascii="Times New Roman" w:hAnsi="Times New Roman"/>
                <w:sz w:val="24"/>
                <w:szCs w:val="24"/>
              </w:rPr>
              <w:t xml:space="preserve"> zahradní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(endivie), rukola setá, fazol, hrách, brokolice, květák, 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 xml:space="preserve">zelí </w:t>
            </w:r>
            <w:r w:rsidR="00D3791C" w:rsidRPr="006F0266">
              <w:rPr>
                <w:rFonts w:ascii="Times New Roman" w:hAnsi="Times New Roman"/>
                <w:sz w:val="24"/>
                <w:szCs w:val="24"/>
              </w:rPr>
              <w:t>hlávkové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čínské zelí, kapusta</w:t>
            </w:r>
            <w:r w:rsidR="000D11B7" w:rsidRPr="006F0266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rů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žičková kapusta, kapusta kadeř</w:t>
            </w:r>
            <w:r w:rsidR="00E65C36">
              <w:rPr>
                <w:rFonts w:ascii="Times New Roman" w:hAnsi="Times New Roman"/>
                <w:sz w:val="24"/>
                <w:szCs w:val="24"/>
              </w:rPr>
              <w:t>avá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paprika, rajče, baklažán, okurka, cuketa,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pati</w:t>
            </w:r>
            <w:r w:rsidR="00E65C36">
              <w:rPr>
                <w:rFonts w:ascii="Times New Roman" w:hAnsi="Times New Roman"/>
                <w:sz w:val="24"/>
                <w:szCs w:val="24"/>
              </w:rPr>
              <w:t>z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>, tykev, okrasné rostliny do 50 cm</w:t>
            </w:r>
          </w:p>
        </w:tc>
        <w:tc>
          <w:tcPr>
            <w:tcW w:w="1161" w:type="dxa"/>
            <w:vAlign w:val="center"/>
          </w:tcPr>
          <w:p w14:paraId="138F3257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778AE49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267106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5915D70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08E8" w:rsidRPr="005808E8" w14:paraId="1C86F32B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45F108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borůvka, brusnice brusinka,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161" w:type="dxa"/>
            <w:vAlign w:val="center"/>
          </w:tcPr>
          <w:p w14:paraId="1E0AFFB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5" w:type="dxa"/>
            <w:vAlign w:val="center"/>
          </w:tcPr>
          <w:p w14:paraId="2701BB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vAlign w:val="center"/>
          </w:tcPr>
          <w:p w14:paraId="0885959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07C7F1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4A219AB9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02B6E0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okrasné rostliny 50-150 cm, kerblík, šalvěj lékařská, rozmarýn lékařský, tymián obecný, bazalka pravá, pelyněk estragon</w:t>
            </w:r>
          </w:p>
        </w:tc>
        <w:tc>
          <w:tcPr>
            <w:tcW w:w="1161" w:type="dxa"/>
            <w:vAlign w:val="center"/>
          </w:tcPr>
          <w:p w14:paraId="1D29896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5D88A2A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5DD513B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526364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5B94D965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63991A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okrasné rostliny nad 150 cm</w:t>
            </w:r>
          </w:p>
        </w:tc>
        <w:tc>
          <w:tcPr>
            <w:tcW w:w="1161" w:type="dxa"/>
            <w:vAlign w:val="center"/>
          </w:tcPr>
          <w:p w14:paraId="6994D9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5" w:type="dxa"/>
            <w:vAlign w:val="center"/>
          </w:tcPr>
          <w:p w14:paraId="0E615CE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4836D6E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6" w:type="dxa"/>
            <w:vAlign w:val="center"/>
          </w:tcPr>
          <w:p w14:paraId="7ADF177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08E8" w:rsidRPr="005808E8" w14:paraId="51060636" w14:textId="77777777" w:rsidTr="00554B5D">
        <w:trPr>
          <w:trHeight w:val="230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7864E08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Ochranná vzdálenost od okraje ošetřovaného pozemku s ohledem na ochranu necílových členovců a necílových rostlin [m]</w:t>
            </w:r>
          </w:p>
        </w:tc>
      </w:tr>
      <w:tr w:rsidR="005808E8" w:rsidRPr="005808E8" w14:paraId="1E829467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6F2932E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161" w:type="dxa"/>
            <w:vAlign w:val="center"/>
          </w:tcPr>
          <w:p w14:paraId="1A93FB8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Nelze</w:t>
            </w:r>
          </w:p>
        </w:tc>
        <w:tc>
          <w:tcPr>
            <w:tcW w:w="1345" w:type="dxa"/>
            <w:vAlign w:val="center"/>
          </w:tcPr>
          <w:p w14:paraId="3A262C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65847558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vAlign w:val="center"/>
          </w:tcPr>
          <w:p w14:paraId="25969FF1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08E8" w:rsidRPr="005808E8" w14:paraId="102A5798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28401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réva </w:t>
            </w:r>
          </w:p>
        </w:tc>
        <w:tc>
          <w:tcPr>
            <w:tcW w:w="1161" w:type="dxa"/>
            <w:vAlign w:val="center"/>
          </w:tcPr>
          <w:p w14:paraId="6D3D02D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vAlign w:val="center"/>
          </w:tcPr>
          <w:p w14:paraId="58A228C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vAlign w:val="center"/>
          </w:tcPr>
          <w:p w14:paraId="60022E5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14:paraId="4EB851E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08E8" w:rsidRPr="005808E8" w14:paraId="3DF4DC58" w14:textId="77777777" w:rsidTr="00554B5D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36F2BCC" w14:textId="208F65FC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okrasné rostliny, 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  <w:r w:rsidR="00E65C36">
              <w:rPr>
                <w:rFonts w:ascii="Times New Roman" w:hAnsi="Times New Roman"/>
                <w:sz w:val="24"/>
                <w:szCs w:val="24"/>
              </w:rPr>
              <w:t xml:space="preserve"> nad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50</w:t>
            </w:r>
            <w:r w:rsidR="00E65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161" w:type="dxa"/>
            <w:vAlign w:val="center"/>
          </w:tcPr>
          <w:p w14:paraId="1AF0193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0803056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14:paraId="76F223E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14:paraId="4257D0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A2BB46F" w14:textId="5BDEFCF0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C13E95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Jabloň, hrušeň</w:t>
      </w:r>
    </w:p>
    <w:p w14:paraId="078AD6D0" w14:textId="208F716B" w:rsid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45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745FA6A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 xml:space="preserve">Réva </w:t>
      </w:r>
    </w:p>
    <w:p w14:paraId="148849C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16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5C26F67D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 xml:space="preserve">Maliník, ostružiník, rybíz, angrešt,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josta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, borůvka, brusnice brusinka,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temnoplodec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černoplodý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>:</w:t>
      </w:r>
    </w:p>
    <w:p w14:paraId="5DCB0CE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14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</w:t>
      </w:r>
    </w:p>
    <w:p w14:paraId="51B9C3B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50-150 cm, kerblík, šalvěj lékařská, rozmarýn lékařský, tymián obecný, bazalka pravá, pelyněk estragon:</w:t>
      </w:r>
    </w:p>
    <w:p w14:paraId="5E9540BB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7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1EE12133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nad 150 cm:</w:t>
      </w:r>
    </w:p>
    <w:p w14:paraId="1F20D70E" w14:textId="3DC35E25" w:rsidR="005808E8" w:rsidRPr="00AD0D1A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35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2DD3D5EF" w14:textId="77777777" w:rsidR="00983263" w:rsidRDefault="0098326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95966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>Zvlášť nebezpečný pro včely.</w:t>
      </w:r>
    </w:p>
    <w:p w14:paraId="68595736" w14:textId="05B7E6A9" w:rsid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700BA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Biologickou ochranu na bázi makroorganismů použijte ve sklenících nejdříve 5 dní po poslední aplikaci přípravku.</w:t>
      </w:r>
    </w:p>
    <w:p w14:paraId="4C1D0F38" w14:textId="7B1886B5" w:rsidR="0005200E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1DEFF4D0" w14:textId="77777777" w:rsidR="00D01517" w:rsidRPr="00AD0D1A" w:rsidRDefault="00D01517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 xml:space="preserve">nabývá účinnosti počátkem patnáctého dne následujícího po dni jeho </w:t>
      </w:r>
      <w:r w:rsidR="00E15861" w:rsidRPr="00E15861">
        <w:rPr>
          <w:rFonts w:ascii="Times New Roman" w:hAnsi="Times New Roman"/>
          <w:sz w:val="24"/>
          <w:szCs w:val="24"/>
        </w:rPr>
        <w:lastRenderedPageBreak/>
        <w:t>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2226208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7C272A">
        <w:rPr>
          <w:rFonts w:ascii="Times New Roman" w:hAnsi="Times New Roman"/>
          <w:sz w:val="24"/>
          <w:szCs w:val="24"/>
        </w:rPr>
        <w:t>936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BA091EF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BF6665" w14:textId="112DDA34" w:rsidR="00554B5D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1C7EF08" w14:textId="77777777" w:rsidR="00554B5D" w:rsidRPr="00211CE4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29E48A" w14:textId="6ED3EE15" w:rsidR="00554B5D" w:rsidRPr="00455210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54B5D">
        <w:rPr>
          <w:rFonts w:ascii="Times New Roman" w:hAnsi="Times New Roman"/>
          <w:sz w:val="24"/>
          <w:szCs w:val="24"/>
        </w:rPr>
        <w:t>UKZUZ 138882/2022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1. srpna 2022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393505BB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299A72" w14:textId="77777777" w:rsidR="006D6B86" w:rsidRPr="00AD0D1A" w:rsidRDefault="006D6B8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05BE" w14:textId="77777777" w:rsidR="001D767B" w:rsidRDefault="001D767B" w:rsidP="00CE12AE">
      <w:pPr>
        <w:spacing w:after="0" w:line="240" w:lineRule="auto"/>
      </w:pPr>
      <w:r>
        <w:separator/>
      </w:r>
    </w:p>
  </w:endnote>
  <w:endnote w:type="continuationSeparator" w:id="0">
    <w:p w14:paraId="480F1B0F" w14:textId="77777777" w:rsidR="001D767B" w:rsidRDefault="001D767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CF88" w14:textId="77777777" w:rsidR="001D767B" w:rsidRDefault="001D767B" w:rsidP="00CE12AE">
      <w:pPr>
        <w:spacing w:after="0" w:line="240" w:lineRule="auto"/>
      </w:pPr>
      <w:r>
        <w:separator/>
      </w:r>
    </w:p>
  </w:footnote>
  <w:footnote w:type="continuationSeparator" w:id="0">
    <w:p w14:paraId="42774602" w14:textId="77777777" w:rsidR="001D767B" w:rsidRDefault="001D767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9512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2024-04-03T09:42:00Z</dcterms:created>
  <dcterms:modified xsi:type="dcterms:W3CDTF">2024-04-05T06:00:00Z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