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2F66C" w14:textId="77777777" w:rsidR="00622D0D" w:rsidRDefault="00A473C5">
      <w:pPr>
        <w:pStyle w:val="Zkladntext30"/>
        <w:shd w:val="clear" w:color="auto" w:fill="auto"/>
      </w:pPr>
      <w:r>
        <w:t>Město Odolena Voda</w:t>
      </w:r>
    </w:p>
    <w:p w14:paraId="6B847DD9" w14:textId="77777777" w:rsidR="00622D0D" w:rsidRDefault="00A473C5">
      <w:pPr>
        <w:pStyle w:val="Zkladntext20"/>
        <w:shd w:val="clear" w:color="auto" w:fill="auto"/>
        <w:spacing w:after="40"/>
      </w:pPr>
      <w:r>
        <w:t>Město Odolena Voda</w:t>
      </w:r>
    </w:p>
    <w:p w14:paraId="54DCEE42" w14:textId="77777777" w:rsidR="00622D0D" w:rsidRDefault="00A473C5">
      <w:pPr>
        <w:pStyle w:val="Zkladntext20"/>
        <w:shd w:val="clear" w:color="auto" w:fill="auto"/>
        <w:spacing w:after="40"/>
      </w:pPr>
      <w:r>
        <w:t>Zastupitelstvo města Odolena Voda</w:t>
      </w:r>
    </w:p>
    <w:p w14:paraId="3AAD40B4" w14:textId="77777777" w:rsidR="00622D0D" w:rsidRDefault="00A473C5">
      <w:pPr>
        <w:pStyle w:val="Zkladntext20"/>
        <w:shd w:val="clear" w:color="auto" w:fill="auto"/>
        <w:spacing w:after="500"/>
      </w:pPr>
      <w:r>
        <w:t>Obecně závazná vyhláška města Odolena Voda č. 4/2017,</w:t>
      </w:r>
    </w:p>
    <w:p w14:paraId="2398145B" w14:textId="77777777" w:rsidR="00622D0D" w:rsidRDefault="00A473C5">
      <w:pPr>
        <w:pStyle w:val="Zkladntext20"/>
        <w:shd w:val="clear" w:color="auto" w:fill="auto"/>
        <w:spacing w:after="380"/>
      </w:pPr>
      <w:r>
        <w:t>O regulaci provozování hazardních her</w:t>
      </w:r>
    </w:p>
    <w:p w14:paraId="1C51AE2B" w14:textId="77777777" w:rsidR="00622D0D" w:rsidRDefault="00A473C5">
      <w:pPr>
        <w:pStyle w:val="Zkladntext1"/>
        <w:shd w:val="clear" w:color="auto" w:fill="auto"/>
        <w:spacing w:after="320"/>
        <w:ind w:firstLine="760"/>
        <w:jc w:val="both"/>
      </w:pPr>
      <w:r>
        <w:t xml:space="preserve">Zastupitelstvo města Odolena Voda se na svém zasedání 18. 09 2017 Usnesením č. </w:t>
      </w:r>
      <w:r>
        <w:t>15/7/2017 usneslo vydat na základě ustanovení § 10 písm. a) a § 84 odst. 2 písm. h) zákona č. 128/2000 Sb., O obcích (obecní zřízení), ve znění pozdějších předpisů, v souladu s ustanovení § 12 odst. 1 zákona č. 186/2016 Sb., O hazardních hrách, tuto Obecně závaznou vyhlášku (dále jen „Vyhláška"):</w:t>
      </w:r>
    </w:p>
    <w:p w14:paraId="04936990" w14:textId="77777777" w:rsidR="00622D0D" w:rsidRDefault="00A473C5">
      <w:pPr>
        <w:pStyle w:val="Nadpis10"/>
        <w:keepNext/>
        <w:keepLines/>
        <w:shd w:val="clear" w:color="auto" w:fill="auto"/>
        <w:spacing w:after="180"/>
      </w:pPr>
      <w:bookmarkStart w:id="0" w:name="bookmark0"/>
      <w:bookmarkStart w:id="1" w:name="bookmark1"/>
      <w:r>
        <w:t>Článek 1</w:t>
      </w:r>
      <w:r>
        <w:br/>
        <w:t>Cíl vyhlášky</w:t>
      </w:r>
      <w:bookmarkEnd w:id="0"/>
      <w:bookmarkEnd w:id="1"/>
    </w:p>
    <w:p w14:paraId="264566CC" w14:textId="77777777" w:rsidR="00622D0D" w:rsidRDefault="00A473C5">
      <w:pPr>
        <w:pStyle w:val="Zkladntext1"/>
        <w:shd w:val="clear" w:color="auto" w:fill="auto"/>
        <w:spacing w:after="660" w:line="240" w:lineRule="auto"/>
        <w:ind w:firstLine="760"/>
        <w:jc w:val="both"/>
      </w:pPr>
      <w:r>
        <w:t>Cílem této Vyhlášky je omezit společenská rizika vyplývajícím z provozování některých hazardních her, které často tvoří tzv. předpolí činností rozporných s veřejným pořádkem a dobrými mravy (např. lichva, krádeže, loupeže), a které mají škodlivý vliv i na jejich účastníky a osoby jim blízké (např. rozvrat rodin, chudoba).</w:t>
      </w:r>
    </w:p>
    <w:p w14:paraId="4F855D66" w14:textId="77777777" w:rsidR="00622D0D" w:rsidRDefault="00A473C5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2</w:t>
      </w:r>
    </w:p>
    <w:p w14:paraId="4A5D0239" w14:textId="77777777" w:rsidR="00622D0D" w:rsidRDefault="00A473C5">
      <w:pPr>
        <w:pStyle w:val="Zkladntext1"/>
        <w:shd w:val="clear" w:color="auto" w:fill="auto"/>
        <w:spacing w:after="180"/>
        <w:ind w:firstLine="0"/>
        <w:jc w:val="center"/>
      </w:pPr>
      <w:r>
        <w:rPr>
          <w:b/>
          <w:bCs/>
        </w:rPr>
        <w:t>Zákaz provozování</w:t>
      </w:r>
    </w:p>
    <w:p w14:paraId="6D2B1B52" w14:textId="77777777" w:rsidR="00622D0D" w:rsidRDefault="00A473C5">
      <w:pPr>
        <w:pStyle w:val="Zkladntext1"/>
        <w:shd w:val="clear" w:color="auto" w:fill="auto"/>
        <w:spacing w:after="500"/>
        <w:ind w:firstLine="760"/>
        <w:jc w:val="both"/>
      </w:pPr>
      <w:r>
        <w:t>Provozování binga, technické hry, živé hry nebo turnaje malého rozsahu je na celém území města Odolena Voda zcela zakázáno.</w:t>
      </w:r>
    </w:p>
    <w:p w14:paraId="29C41818" w14:textId="77777777" w:rsidR="00622D0D" w:rsidRDefault="00A473C5">
      <w:pPr>
        <w:pStyle w:val="Zkladntext1"/>
        <w:shd w:val="clear" w:color="auto" w:fill="auto"/>
        <w:spacing w:after="0"/>
        <w:ind w:firstLine="0"/>
        <w:jc w:val="center"/>
      </w:pPr>
      <w:r>
        <w:rPr>
          <w:b/>
          <w:bCs/>
        </w:rPr>
        <w:t>Článek 3</w:t>
      </w:r>
    </w:p>
    <w:p w14:paraId="62DD1B92" w14:textId="77777777" w:rsidR="00622D0D" w:rsidRDefault="00A473C5">
      <w:pPr>
        <w:pStyle w:val="Nadpis10"/>
        <w:keepNext/>
        <w:keepLines/>
        <w:shd w:val="clear" w:color="auto" w:fill="auto"/>
        <w:spacing w:after="180"/>
      </w:pPr>
      <w:bookmarkStart w:id="2" w:name="bookmark2"/>
      <w:bookmarkStart w:id="3" w:name="bookmark3"/>
      <w:r>
        <w:t>Přechodné ustanovení</w:t>
      </w:r>
      <w:bookmarkEnd w:id="2"/>
      <w:bookmarkEnd w:id="3"/>
    </w:p>
    <w:p w14:paraId="57779B7C" w14:textId="77777777" w:rsidR="00622D0D" w:rsidRDefault="00A473C5">
      <w:pPr>
        <w:pStyle w:val="Zkladntext1"/>
        <w:shd w:val="clear" w:color="auto" w:fill="auto"/>
        <w:ind w:firstLine="760"/>
        <w:jc w:val="both"/>
      </w:pPr>
      <w:r>
        <w:t xml:space="preserve">Bingo, technickou hru, živou hru a turnaje malého rozsahu povolené přede dnem nabytí účinnosti této Vyhlášky lze provozovat nejdéle do doby stanovené v platném povolení, nejpozději však do doby </w:t>
      </w:r>
      <w:r>
        <w:t>zániku vydaných povolení.</w:t>
      </w:r>
      <w:r>
        <w:rPr>
          <w:vertAlign w:val="superscript"/>
        </w:rPr>
        <w:footnoteReference w:id="1"/>
      </w:r>
      <w:r>
        <w:br w:type="page"/>
      </w:r>
    </w:p>
    <w:p w14:paraId="2294D005" w14:textId="77777777" w:rsidR="00622D0D" w:rsidRDefault="00A473C5">
      <w:pPr>
        <w:pStyle w:val="Zkladntext1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lastRenderedPageBreak/>
        <w:t>Článek 4</w:t>
      </w:r>
    </w:p>
    <w:p w14:paraId="41FD1FD7" w14:textId="77777777" w:rsidR="00622D0D" w:rsidRDefault="00A473C5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Zrušovací ustanovení</w:t>
      </w:r>
    </w:p>
    <w:p w14:paraId="26BB54A6" w14:textId="77777777" w:rsidR="00622D0D" w:rsidRDefault="00A473C5">
      <w:pPr>
        <w:pStyle w:val="Zkladntext1"/>
        <w:shd w:val="clear" w:color="auto" w:fill="auto"/>
        <w:spacing w:after="180"/>
        <w:ind w:firstLine="760"/>
        <w:jc w:val="both"/>
      </w:pPr>
      <w:r>
        <w:t>Zrušuje se Obecně závazná vyhláška č. 1/2008, O stanovení míst a času provozování výherních hracích automatů, ze dne 30. 4. 2008.</w:t>
      </w:r>
    </w:p>
    <w:p w14:paraId="7BAB1A1A" w14:textId="77777777" w:rsidR="00622D0D" w:rsidRDefault="00A473C5">
      <w:pPr>
        <w:pStyle w:val="Nadpis10"/>
        <w:keepNext/>
        <w:keepLines/>
        <w:shd w:val="clear" w:color="auto" w:fill="auto"/>
        <w:spacing w:after="320"/>
      </w:pPr>
      <w:bookmarkStart w:id="4" w:name="bookmark4"/>
      <w:bookmarkStart w:id="5" w:name="bookmark5"/>
      <w:r>
        <w:t>Článek 5</w:t>
      </w:r>
      <w:r>
        <w:br/>
        <w:t>Účinnost</w:t>
      </w:r>
      <w:bookmarkEnd w:id="4"/>
      <w:bookmarkEnd w:id="5"/>
    </w:p>
    <w:p w14:paraId="6E154151" w14:textId="77777777" w:rsidR="00622D0D" w:rsidRDefault="00A473C5">
      <w:pPr>
        <w:pStyle w:val="Zkladntext1"/>
        <w:shd w:val="clear" w:color="auto" w:fill="auto"/>
        <w:spacing w:after="0" w:line="240" w:lineRule="auto"/>
        <w:ind w:firstLine="740"/>
      </w:pPr>
      <w:r>
        <w:t>Tato Vyhláška nabývá účinnosti patnáctým dnem po dni vyhlášení.</w:t>
      </w:r>
    </w:p>
    <w:p w14:paraId="09F7956F" w14:textId="77777777" w:rsidR="00A473C5" w:rsidRDefault="00A473C5">
      <w:pPr>
        <w:pStyle w:val="Zkladntext1"/>
        <w:shd w:val="clear" w:color="auto" w:fill="auto"/>
        <w:spacing w:after="0" w:line="240" w:lineRule="auto"/>
        <w:ind w:firstLine="740"/>
      </w:pPr>
    </w:p>
    <w:p w14:paraId="4B3FBEFE" w14:textId="77777777" w:rsidR="00A473C5" w:rsidRDefault="00A473C5">
      <w:pPr>
        <w:pStyle w:val="Zkladntext1"/>
        <w:shd w:val="clear" w:color="auto" w:fill="auto"/>
        <w:spacing w:after="0" w:line="240" w:lineRule="auto"/>
        <w:ind w:firstLine="740"/>
      </w:pPr>
    </w:p>
    <w:p w14:paraId="39EEC157" w14:textId="77777777" w:rsidR="00A473C5" w:rsidRDefault="00A473C5" w:rsidP="00A473C5">
      <w:pPr>
        <w:spacing w:before="260" w:line="265" w:lineRule="exact"/>
        <w:ind w:left="821"/>
        <w:rPr>
          <w:rFonts w:ascii="Times New Roman" w:hAnsi="Times New Roman" w:cs="Times New Roman"/>
        </w:rPr>
      </w:pPr>
    </w:p>
    <w:p w14:paraId="177C01A5" w14:textId="34394EC8" w:rsidR="00A473C5" w:rsidRDefault="00A473C5" w:rsidP="00A473C5">
      <w:pPr>
        <w:spacing w:before="260" w:line="265" w:lineRule="exact"/>
        <w:ind w:left="8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                                          ……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…...…………</w:t>
      </w:r>
    </w:p>
    <w:p w14:paraId="0B57E505" w14:textId="6B727679" w:rsidR="00A473C5" w:rsidRDefault="00A473C5" w:rsidP="00A473C5">
      <w:pPr>
        <w:spacing w:before="260" w:line="265" w:lineRule="exact"/>
        <w:ind w:left="8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arch. Ing. Tomáš Lohniský                                                        Hana Plecitá</w:t>
      </w:r>
    </w:p>
    <w:p w14:paraId="45F9AEA2" w14:textId="24AB0598" w:rsidR="00A473C5" w:rsidRPr="00C174ED" w:rsidRDefault="00A473C5" w:rsidP="00A473C5">
      <w:pPr>
        <w:spacing w:before="260" w:line="265" w:lineRule="exact"/>
        <w:ind w:left="821"/>
      </w:pPr>
      <w:r>
        <w:rPr>
          <w:rFonts w:ascii="Times New Roman" w:hAnsi="Times New Roman" w:cs="Times New Roman"/>
        </w:rPr>
        <w:t xml:space="preserve">         místostarosta                                                                                starostka</w:t>
      </w:r>
    </w:p>
    <w:p w14:paraId="6FB2D052" w14:textId="77777777" w:rsidR="00A473C5" w:rsidRDefault="00A473C5">
      <w:pPr>
        <w:pStyle w:val="Zkladntext1"/>
        <w:shd w:val="clear" w:color="auto" w:fill="auto"/>
        <w:spacing w:after="0" w:line="240" w:lineRule="auto"/>
        <w:ind w:firstLine="740"/>
      </w:pPr>
    </w:p>
    <w:p w14:paraId="4077B397" w14:textId="172CA33A" w:rsidR="00622D0D" w:rsidRDefault="00622D0D">
      <w:pPr>
        <w:spacing w:line="1" w:lineRule="exact"/>
      </w:pPr>
    </w:p>
    <w:sectPr w:rsidR="00622D0D">
      <w:footnotePr>
        <w:numFmt w:val="upperRoman"/>
        <w:numStart w:val="2"/>
      </w:footnotePr>
      <w:pgSz w:w="11900" w:h="16840"/>
      <w:pgMar w:top="1531" w:right="1499" w:bottom="1366" w:left="1171" w:header="1103" w:footer="938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293F" w14:textId="77777777" w:rsidR="00A473C5" w:rsidRDefault="00A473C5">
      <w:r>
        <w:separator/>
      </w:r>
    </w:p>
  </w:endnote>
  <w:endnote w:type="continuationSeparator" w:id="0">
    <w:p w14:paraId="372EE8A4" w14:textId="77777777" w:rsidR="00A473C5" w:rsidRDefault="00A4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3692" w14:textId="77777777" w:rsidR="00622D0D" w:rsidRDefault="00A473C5">
      <w:r>
        <w:separator/>
      </w:r>
    </w:p>
  </w:footnote>
  <w:footnote w:type="continuationSeparator" w:id="0">
    <w:p w14:paraId="1EFE6455" w14:textId="77777777" w:rsidR="00622D0D" w:rsidRDefault="00A473C5">
      <w:r>
        <w:continuationSeparator/>
      </w:r>
    </w:p>
  </w:footnote>
  <w:footnote w:id="1">
    <w:p w14:paraId="029374B9" w14:textId="77777777" w:rsidR="00622D0D" w:rsidRDefault="00A473C5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podle ustanovení § 136 odst. 9 zákona č. 186/2016 Sb., O hazardních hrách, zanikají dosavadní povolení nejpozději 6 let od 1. 1.2017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0D"/>
    <w:rsid w:val="00622D0D"/>
    <w:rsid w:val="00722235"/>
    <w:rsid w:val="00A4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D7CA"/>
  <w15:docId w15:val="{1031548A-AE16-49F5-82EC-318ACC5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180" w:hanging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40"/>
      <w:jc w:val="center"/>
    </w:pPr>
    <w:rPr>
      <w:rFonts w:ascii="Verdana" w:eastAsia="Verdana" w:hAnsi="Verdana" w:cs="Verdan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1" w:lineRule="auto"/>
      <w:ind w:firstLine="400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 w:line="271" w:lineRule="auto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 Havlík</cp:lastModifiedBy>
  <cp:revision>2</cp:revision>
  <dcterms:created xsi:type="dcterms:W3CDTF">2024-12-18T12:36:00Z</dcterms:created>
  <dcterms:modified xsi:type="dcterms:W3CDTF">2024-12-18T12:38:00Z</dcterms:modified>
</cp:coreProperties>
</file>