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0D2" w:rsidRPr="00DF00D2" w:rsidRDefault="00DF00D2" w:rsidP="00DF00D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 </w:t>
      </w:r>
    </w:p>
    <w:p w:rsidR="00DF00D2" w:rsidRPr="00DF00D2" w:rsidRDefault="000846BD" w:rsidP="00DF00D2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0846BD">
        <w:rPr>
          <w:rFonts w:ascii="Arial" w:eastAsia="Times New Roman" w:hAnsi="Arial" w:cs="Arial"/>
          <w:b/>
          <w:color w:val="000000"/>
          <w:sz w:val="20"/>
          <w:szCs w:val="24"/>
          <w:u w:val="single"/>
          <w:lang w:eastAsia="cs-CZ"/>
        </w:rPr>
        <w:t xml:space="preserve">OBECNĚ ZÁVAZNÁ </w:t>
      </w:r>
      <w:r w:rsidR="00DF00D2" w:rsidRPr="00DF00D2">
        <w:rPr>
          <w:rFonts w:ascii="Arial" w:eastAsia="Times New Roman" w:hAnsi="Arial" w:cs="Arial"/>
          <w:b/>
          <w:color w:val="000000"/>
          <w:sz w:val="20"/>
          <w:szCs w:val="24"/>
          <w:u w:val="single"/>
          <w:lang w:eastAsia="cs-CZ"/>
        </w:rPr>
        <w:t>VYHLÁŠKA</w:t>
      </w:r>
      <w:r w:rsidRPr="000846BD">
        <w:rPr>
          <w:rFonts w:ascii="Arial" w:eastAsia="Times New Roman" w:hAnsi="Arial" w:cs="Arial"/>
          <w:b/>
          <w:color w:val="000000"/>
          <w:sz w:val="20"/>
          <w:szCs w:val="24"/>
          <w:u w:val="single"/>
          <w:lang w:eastAsia="cs-CZ"/>
        </w:rPr>
        <w:t xml:space="preserve"> MĚSTYSE </w:t>
      </w:r>
      <w:r w:rsidR="00DF00D2" w:rsidRPr="000846BD">
        <w:rPr>
          <w:rFonts w:ascii="Arial" w:eastAsia="Times New Roman" w:hAnsi="Arial" w:cs="Arial"/>
          <w:b/>
          <w:color w:val="000000"/>
          <w:sz w:val="20"/>
          <w:szCs w:val="24"/>
          <w:u w:val="single"/>
          <w:lang w:eastAsia="cs-CZ"/>
        </w:rPr>
        <w:t>BRODCE</w:t>
      </w:r>
    </w:p>
    <w:p w:rsidR="00DF00D2" w:rsidRPr="00DF00D2" w:rsidRDefault="00DF00D2" w:rsidP="00292B1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  <w:r w:rsidRPr="00DF00D2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č. 1 / 20</w:t>
      </w:r>
      <w:r w:rsidR="000846BD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1</w:t>
      </w:r>
      <w:r w:rsidR="00667CC3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9</w:t>
      </w:r>
      <w:r w:rsidRPr="00DF00D2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 </w:t>
      </w:r>
    </w:p>
    <w:p w:rsidR="00292B10" w:rsidRPr="00292B10" w:rsidRDefault="00DF00D2" w:rsidP="00292B10">
      <w:pPr>
        <w:pStyle w:val="Bezmezer"/>
        <w:jc w:val="center"/>
        <w:rPr>
          <w:b/>
          <w:lang w:eastAsia="cs-CZ"/>
        </w:rPr>
      </w:pPr>
      <w:r w:rsidRPr="00292B10">
        <w:rPr>
          <w:b/>
          <w:lang w:eastAsia="cs-CZ"/>
        </w:rPr>
        <w:t xml:space="preserve">kterou se upravují pravidla pro pohyb psů </w:t>
      </w:r>
      <w:r w:rsidR="00C6349F">
        <w:rPr>
          <w:b/>
          <w:lang w:eastAsia="cs-CZ"/>
        </w:rPr>
        <w:t xml:space="preserve">na </w:t>
      </w:r>
      <w:r w:rsidR="00292B10" w:rsidRPr="00292B10">
        <w:rPr>
          <w:b/>
          <w:lang w:eastAsia="cs-CZ"/>
        </w:rPr>
        <w:t>veřejných prostranstvích</w:t>
      </w:r>
    </w:p>
    <w:p w:rsidR="00DF00D2" w:rsidRPr="00292B10" w:rsidRDefault="00292B10" w:rsidP="00292B10">
      <w:pPr>
        <w:pStyle w:val="Bezmezer"/>
        <w:jc w:val="center"/>
        <w:rPr>
          <w:b/>
          <w:lang w:eastAsia="cs-CZ"/>
        </w:rPr>
      </w:pPr>
      <w:r w:rsidRPr="00292B10">
        <w:rPr>
          <w:b/>
          <w:lang w:eastAsia="cs-CZ"/>
        </w:rPr>
        <w:t>na území městyse Brodce</w:t>
      </w:r>
    </w:p>
    <w:p w:rsidR="00292B10" w:rsidRDefault="00292B10" w:rsidP="00292B10">
      <w:pPr>
        <w:pStyle w:val="Bezmezer"/>
        <w:rPr>
          <w:lang w:eastAsia="cs-CZ"/>
        </w:rPr>
      </w:pPr>
    </w:p>
    <w:p w:rsidR="00292B10" w:rsidRPr="00292B10" w:rsidRDefault="00292B10" w:rsidP="00292B10">
      <w:pPr>
        <w:pStyle w:val="Bezmezer"/>
        <w:rPr>
          <w:lang w:eastAsia="cs-CZ"/>
        </w:rPr>
      </w:pPr>
    </w:p>
    <w:p w:rsidR="00DF00D2" w:rsidRPr="00DF00D2" w:rsidRDefault="00DF00D2" w:rsidP="00084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Zastupitelstvo Měst</w:t>
      </w:r>
      <w:r w:rsid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yse Brodce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vydalo dne </w:t>
      </w:r>
      <w:r w:rsidR="00C223E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29. 4. 2019</w:t>
      </w:r>
      <w:r w:rsidR="00667CC3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="00C223E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pod č. u</w:t>
      </w:r>
      <w:proofErr w:type="spellStart"/>
      <w:r w:rsidR="00C223E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sn</w:t>
      </w:r>
      <w:proofErr w:type="spellEnd"/>
      <w:r w:rsidR="00C223E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.: 20/19</w:t>
      </w:r>
      <w:r w:rsidR="00667CC3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podle § 24 odst.</w:t>
      </w:r>
      <w:r w:rsidR="000B6A8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2 zákona č. 246/1992 Sb., na ochranu zvířat proti týrání, ve znění pozdějších předpisů, a v souladu s ustanoveními § 84 odst. 2 písm. i) zákona č. 128/2000 Sb., o obcích (obecní zřízení), ve znění pozdějších předpisů, tuto obecně závaznou vyhlášku.</w:t>
      </w:r>
    </w:p>
    <w:p w:rsidR="00DF00D2" w:rsidRDefault="00DF00D2" w:rsidP="00DF00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5B0CCA" w:rsidRPr="00DF00D2" w:rsidRDefault="005B0CCA" w:rsidP="00DF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F00D2" w:rsidRPr="00DF00D2" w:rsidRDefault="00DF00D2" w:rsidP="00DF0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Čl. 1</w:t>
      </w:r>
    </w:p>
    <w:p w:rsidR="00DF00D2" w:rsidRPr="00DF00D2" w:rsidRDefault="00DF00D2" w:rsidP="00DF00D2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DF00D2">
        <w:rPr>
          <w:rFonts w:ascii="Arial" w:eastAsia="Times New Roman" w:hAnsi="Arial" w:cs="Arial"/>
          <w:b/>
          <w:bCs/>
          <w:color w:val="000000"/>
          <w:sz w:val="20"/>
          <w:szCs w:val="24"/>
          <w:u w:val="single"/>
          <w:lang w:eastAsia="cs-CZ"/>
        </w:rPr>
        <w:t>Základní ustanovení</w:t>
      </w:r>
    </w:p>
    <w:p w:rsidR="00DF00D2" w:rsidRPr="00DF00D2" w:rsidRDefault="00DF00D2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DF00D2" w:rsidRPr="000846BD" w:rsidRDefault="00DF00D2" w:rsidP="000846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Touto obecně závaznou vyhl</w:t>
      </w:r>
      <w:r w:rsidR="00292B1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áškou se upravují pravidla pro </w:t>
      </w: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pohyb psů na veřejných pro</w:t>
      </w:r>
      <w:r w:rsid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stranství</w:t>
      </w:r>
      <w:r w:rsidR="00292B1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ch</w:t>
      </w:r>
      <w:r w:rsid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na území intravilánu </w:t>
      </w: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měst</w:t>
      </w:r>
      <w:r w:rsid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yse Brodce</w:t>
      </w: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.</w:t>
      </w:r>
    </w:p>
    <w:p w:rsidR="00DF00D2" w:rsidRPr="000846BD" w:rsidRDefault="00DF00D2" w:rsidP="000846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Tato obecně závazná vyhláška je závazná pro všechny fyzické a právnické osoby, které jsou vlastníkem psa, nebo další osoby, kterým byl pes svěřen, byť na přechodnou dobu, mající na území měst</w:t>
      </w:r>
      <w:r w:rsidR="00292B1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yse</w:t>
      </w: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trvalé bydliště či sídlo, nebo se na území měst</w:t>
      </w:r>
      <w:r w:rsidR="000B6A8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yse</w:t>
      </w: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zdržující.</w:t>
      </w:r>
    </w:p>
    <w:p w:rsidR="00DF00D2" w:rsidRPr="000846BD" w:rsidRDefault="00DF00D2" w:rsidP="000846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46BD"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  <w:t>Veřejným prostranstvím pro účely této obecně závazné vyhlášky se rozumí</w:t>
      </w: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všechna náměstí, ulice, chodníky, veřejná zeleň, parky a další prostory přístupné každému bez omezení, tedy sloužící obecnému užívání, a to bez ohledu na vlastnictví k tomuto prostoru</w:t>
      </w:r>
      <w:r w:rsidRPr="000846BD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cs-CZ"/>
        </w:rPr>
        <w:t>1</w:t>
      </w: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.</w:t>
      </w:r>
    </w:p>
    <w:p w:rsidR="00DF00D2" w:rsidRPr="000846BD" w:rsidRDefault="00DF00D2" w:rsidP="005B0CC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46BD"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  <w:t>Volný pohyb psa</w:t>
      </w: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je situace</w:t>
      </w:r>
      <w:r w:rsidR="000B6A8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,</w:t>
      </w: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kdy pes při pohybu na veřejném prostranství není veden na vodítku.</w:t>
      </w:r>
    </w:p>
    <w:p w:rsidR="00DF00D2" w:rsidRPr="005B0CCA" w:rsidRDefault="00DF00D2" w:rsidP="000846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Intravilán je zastavěná část obce, včetně veřejných prostranství uvnitř této zástavby.</w:t>
      </w:r>
    </w:p>
    <w:p w:rsidR="005B0CCA" w:rsidRPr="000846BD" w:rsidRDefault="005B0CCA" w:rsidP="005B0CCA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F00D2" w:rsidRPr="00DF00D2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>Čl. 2</w:t>
      </w:r>
    </w:p>
    <w:p w:rsidR="00DF00D2" w:rsidRPr="00DF00D2" w:rsidRDefault="00DF00D2" w:rsidP="00DF00D2">
      <w:pPr>
        <w:keepNext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DF00D2">
        <w:rPr>
          <w:rFonts w:ascii="Arial" w:eastAsia="Times New Roman" w:hAnsi="Arial" w:cs="Arial"/>
          <w:b/>
          <w:bCs/>
          <w:color w:val="000000"/>
          <w:sz w:val="20"/>
          <w:szCs w:val="24"/>
          <w:u w:val="single"/>
          <w:lang w:eastAsia="cs-CZ"/>
        </w:rPr>
        <w:t>Pravidla pro pohyb psů na veřejných prostranstvích</w:t>
      </w:r>
    </w:p>
    <w:p w:rsidR="00DF00D2" w:rsidRPr="00DF00D2" w:rsidRDefault="00DF00D2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iCs/>
          <w:color w:val="000000"/>
          <w:sz w:val="20"/>
          <w:szCs w:val="24"/>
          <w:lang w:eastAsia="cs-CZ"/>
        </w:rPr>
        <w:t>(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1) Na veřejném prostranství je zakázáno</w:t>
      </w:r>
    </w:p>
    <w:p w:rsidR="00DF00D2" w:rsidRPr="00DF00D2" w:rsidRDefault="00DF00D2" w:rsidP="00DF00D2">
      <w:pPr>
        <w:autoSpaceDE w:val="0"/>
        <w:spacing w:after="0" w:line="240" w:lineRule="auto"/>
        <w:ind w:left="6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- nechat volně pobíhat psy </w:t>
      </w:r>
    </w:p>
    <w:p w:rsidR="00DF00D2" w:rsidRPr="00DF00D2" w:rsidRDefault="005B0CCA" w:rsidP="00DF00D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- </w:t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vstupovat se psy na dětská a sportovní hřiště</w:t>
      </w: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a</w:t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pískovi</w:t>
      </w:r>
      <w:r w:rsidR="00C6349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š</w:t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tě v</w:t>
      </w: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majetku</w:t>
      </w: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městyse Brodce</w:t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.</w:t>
      </w:r>
    </w:p>
    <w:p w:rsidR="00DF00D2" w:rsidRPr="00DF00D2" w:rsidRDefault="00DF00D2" w:rsidP="00DF00D2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(2) Oso</w:t>
      </w:r>
      <w:r w:rsidR="000B6A8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ba doprovázející psa je povinna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:</w:t>
      </w:r>
    </w:p>
    <w:p w:rsidR="00DF00D2" w:rsidRPr="00DF00D2" w:rsidRDefault="00DF00D2" w:rsidP="00E40D66">
      <w:pPr>
        <w:autoSpaceDE w:val="0"/>
        <w:spacing w:after="0" w:line="240" w:lineRule="auto"/>
        <w:ind w:left="709" w:hanging="1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- na veřejném prostranství vést psa na vodítku tak, aby neobtěžoval jiné osoby, neohrožoval jejich život, zdraví nebo majetek </w:t>
      </w:r>
    </w:p>
    <w:p w:rsidR="000E6BFE" w:rsidRDefault="00DF00D2" w:rsidP="000B6A80">
      <w:pPr>
        <w:autoSpaceDE w:val="0"/>
        <w:spacing w:after="0" w:line="240" w:lineRule="auto"/>
        <w:ind w:left="709" w:hanging="109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- zajistit psa proti úniku a učinit opatření proti obtěžování jiných osob, ohrožování jejich zdraví nebo majetku v případě, že bude pes ponechán bez dozoru</w:t>
      </w:r>
    </w:p>
    <w:p w:rsidR="00DF00D2" w:rsidRPr="00DF00D2" w:rsidRDefault="000E6BFE" w:rsidP="000B6A80">
      <w:pPr>
        <w:autoSpaceDE w:val="0"/>
        <w:spacing w:after="0" w:line="240" w:lineRule="auto"/>
        <w:ind w:left="709" w:hanging="1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>- uklízet exkrementy z veřejných prostranství</w:t>
      </w:r>
      <w:r w:rsidR="000B6A8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.</w:t>
      </w:r>
    </w:p>
    <w:p w:rsidR="00DF00D2" w:rsidRPr="00DF00D2" w:rsidRDefault="00DF00D2" w:rsidP="005B0CC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(3) Držitel psa, který má na území měst</w:t>
      </w:r>
      <w:r w:rsidR="00035483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yse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trvalý pobyt nebo sídlo, je povinen zajistit, aby pes při pohybu na veřejném prostranství byl opatřen platnou identifikační známkou. Každý držitel </w:t>
      </w:r>
      <w:proofErr w:type="gramStart"/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psa  obdrží</w:t>
      </w:r>
      <w:proofErr w:type="gramEnd"/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identifikační známku pro psa oproti zaplacenému místnímu poplatku podle zvláštních předpisů</w:t>
      </w:r>
      <w:r w:rsidR="005B0CCA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cs-CZ"/>
        </w:rPr>
        <w:t>2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.</w:t>
      </w:r>
      <w:r w:rsidR="005B0CCA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Tato známka je nepřenosná. Držitel psa je povinen zajistit, aby pes známku nosil, nebo aby ji na požádání oprávněného kontrolního orgánu doprovázející osoba psa mohla ihned předložit.</w:t>
      </w:r>
      <w:r w:rsidR="005B0CCA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Ztrátu nebo odcizení této známky je držitel povinen nahlásit </w:t>
      </w:r>
      <w:r w:rsidR="000B6A8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na úřadu městyse 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do 5 dnů. </w:t>
      </w:r>
    </w:p>
    <w:p w:rsidR="00DF00D2" w:rsidRPr="00DF00D2" w:rsidRDefault="00DF00D2" w:rsidP="00C634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F00D2" w:rsidRPr="00DF00D2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Čl. 3</w:t>
      </w:r>
    </w:p>
    <w:p w:rsidR="00DF00D2" w:rsidRPr="00DF00D2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bCs/>
          <w:color w:val="000000"/>
          <w:sz w:val="20"/>
          <w:szCs w:val="24"/>
          <w:u w:val="single"/>
          <w:lang w:eastAsia="cs-CZ"/>
        </w:rPr>
        <w:t>Sankce</w:t>
      </w:r>
    </w:p>
    <w:p w:rsidR="00DF00D2" w:rsidRPr="00DF00D2" w:rsidRDefault="00DF00D2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DF00D2" w:rsidRPr="00C223EF" w:rsidRDefault="00C223EF" w:rsidP="00C223E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4A1C41" w:rsidRPr="00C223EF">
        <w:rPr>
          <w:rFonts w:ascii="Arial" w:eastAsia="Times New Roman" w:hAnsi="Arial" w:cs="Arial"/>
          <w:sz w:val="20"/>
          <w:szCs w:val="24"/>
          <w:lang w:eastAsia="cs-CZ"/>
        </w:rPr>
        <w:t xml:space="preserve">Za nedodržení této vyhlášky může být uložena pokuta. </w:t>
      </w:r>
    </w:p>
    <w:p w:rsidR="00C223EF" w:rsidRPr="00C223EF" w:rsidRDefault="00C223EF" w:rsidP="00C223EF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cs-CZ"/>
        </w:rPr>
      </w:pPr>
    </w:p>
    <w:p w:rsidR="00DF00D2" w:rsidRPr="00DF00D2" w:rsidRDefault="00DF00D2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(2) Dohled nad </w:t>
      </w:r>
      <w:r w:rsidR="00035483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dodržováním této obecně závazné 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vyhlášky provádí</w:t>
      </w:r>
      <w:r w:rsidR="005B0CCA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úřad městyse Brodce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.</w:t>
      </w:r>
    </w:p>
    <w:p w:rsidR="00DF00D2" w:rsidRDefault="00DF00D2" w:rsidP="00DF00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5B0CCA" w:rsidRPr="00DF00D2" w:rsidRDefault="005B0CCA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F00D2" w:rsidRPr="00DF00D2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lastRenderedPageBreak/>
        <w:t>Čl. 4</w:t>
      </w:r>
    </w:p>
    <w:p w:rsidR="00DF00D2" w:rsidRPr="00DF00D2" w:rsidRDefault="00DF00D2" w:rsidP="00DF00D2">
      <w:pPr>
        <w:keepNext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DF00D2">
        <w:rPr>
          <w:rFonts w:ascii="Arial" w:eastAsia="Times New Roman" w:hAnsi="Arial" w:cs="Arial"/>
          <w:b/>
          <w:color w:val="000000"/>
          <w:sz w:val="20"/>
          <w:szCs w:val="24"/>
          <w:u w:val="single"/>
          <w:lang w:eastAsia="cs-CZ"/>
        </w:rPr>
        <w:t>Osvobození</w:t>
      </w:r>
    </w:p>
    <w:p w:rsidR="005B0CCA" w:rsidRDefault="005B0CCA" w:rsidP="005B0CC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4"/>
          <w:u w:val="single"/>
          <w:lang w:eastAsia="cs-CZ"/>
        </w:rPr>
      </w:pPr>
    </w:p>
    <w:p w:rsidR="00DF00D2" w:rsidRDefault="00DF00D2" w:rsidP="005B0CC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Tato obecně závazná vyhláška se nevztahuje na služební psy při jejich použití dle zvláštních předpisů</w:t>
      </w:r>
      <w:r w:rsidRPr="00DF00D2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cs-CZ"/>
        </w:rPr>
        <w:t>4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 a na psy doprov</w:t>
      </w:r>
      <w:r w:rsidR="000B6A8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ázející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nevidom</w:t>
      </w:r>
      <w:r w:rsidR="000B6A8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é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a tělesně postižen</w:t>
      </w:r>
      <w:r w:rsidR="000B6A8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é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.</w:t>
      </w:r>
    </w:p>
    <w:p w:rsidR="005B0CCA" w:rsidRPr="00DF00D2" w:rsidRDefault="005B0CCA" w:rsidP="005B0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F00D2" w:rsidRPr="00DF00D2" w:rsidRDefault="00DF00D2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Čl. 5</w:t>
      </w:r>
    </w:p>
    <w:p w:rsidR="00DF00D2" w:rsidRPr="00DF00D2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bCs/>
          <w:color w:val="000000"/>
          <w:sz w:val="20"/>
          <w:szCs w:val="24"/>
          <w:u w:val="single"/>
          <w:lang w:eastAsia="cs-CZ"/>
        </w:rPr>
        <w:t>Účinnost</w:t>
      </w:r>
    </w:p>
    <w:p w:rsidR="00DF00D2" w:rsidRPr="00DF00D2" w:rsidRDefault="00DF00D2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5B0CCA" w:rsidRDefault="00DF00D2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(</w:t>
      </w:r>
      <w:r w:rsidR="00EE1A5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1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) Tato</w:t>
      </w:r>
      <w:r w:rsidR="000B6A8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vyhláška nabývá účinnosti dnem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:</w:t>
      </w:r>
      <w:r w:rsidR="00EE222C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="00EE1A5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30. 4. 2019</w:t>
      </w:r>
    </w:p>
    <w:p w:rsidR="00667CC3" w:rsidRDefault="00667CC3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bookmarkStart w:id="0" w:name="_GoBack"/>
      <w:bookmarkEnd w:id="0"/>
    </w:p>
    <w:p w:rsidR="00667CC3" w:rsidRPr="00C223EF" w:rsidRDefault="00667CC3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:rsidR="00667CC3" w:rsidRPr="00C223EF" w:rsidRDefault="00667CC3" w:rsidP="00667CC3">
      <w:pPr>
        <w:tabs>
          <w:tab w:val="left" w:pos="1134"/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  <w:r w:rsidRPr="00C223EF">
        <w:rPr>
          <w:rFonts w:ascii="Arial" w:eastAsia="Times New Roman" w:hAnsi="Arial" w:cs="Arial"/>
          <w:b/>
          <w:sz w:val="20"/>
          <w:szCs w:val="24"/>
          <w:lang w:eastAsia="cs-CZ"/>
        </w:rPr>
        <w:t>Čl. 6</w:t>
      </w:r>
    </w:p>
    <w:p w:rsidR="00667CC3" w:rsidRPr="00C223EF" w:rsidRDefault="00667CC3" w:rsidP="00667CC3">
      <w:pPr>
        <w:tabs>
          <w:tab w:val="left" w:pos="1134"/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  <w:lang w:eastAsia="cs-CZ"/>
        </w:rPr>
      </w:pPr>
      <w:r w:rsidRPr="00C223EF">
        <w:rPr>
          <w:rFonts w:ascii="Arial" w:eastAsia="Times New Roman" w:hAnsi="Arial" w:cs="Arial"/>
          <w:b/>
          <w:sz w:val="20"/>
          <w:szCs w:val="24"/>
          <w:u w:val="single"/>
          <w:lang w:eastAsia="cs-CZ"/>
        </w:rPr>
        <w:t>Zrušující ustanovení</w:t>
      </w:r>
    </w:p>
    <w:p w:rsidR="00667CC3" w:rsidRPr="00C223EF" w:rsidRDefault="00667CC3" w:rsidP="00667CC3">
      <w:pPr>
        <w:tabs>
          <w:tab w:val="left" w:pos="1134"/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cs-CZ"/>
        </w:rPr>
      </w:pPr>
    </w:p>
    <w:p w:rsidR="004A1C41" w:rsidRPr="00C223EF" w:rsidRDefault="004A1C41" w:rsidP="004A1C41">
      <w:pPr>
        <w:tabs>
          <w:tab w:val="left" w:pos="1134"/>
          <w:tab w:val="left" w:pos="6237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C223EF">
        <w:rPr>
          <w:rFonts w:ascii="Arial" w:eastAsia="Times New Roman" w:hAnsi="Arial" w:cs="Arial"/>
          <w:sz w:val="20"/>
          <w:szCs w:val="24"/>
          <w:lang w:eastAsia="cs-CZ"/>
        </w:rPr>
        <w:t xml:space="preserve">Tato obecně závazná vyhláška ruší </w:t>
      </w:r>
      <w:proofErr w:type="spellStart"/>
      <w:r w:rsidRPr="00C223EF">
        <w:rPr>
          <w:rFonts w:ascii="Arial" w:eastAsia="Times New Roman" w:hAnsi="Arial" w:cs="Arial"/>
          <w:sz w:val="20"/>
          <w:szCs w:val="24"/>
          <w:lang w:eastAsia="cs-CZ"/>
        </w:rPr>
        <w:t>OZV</w:t>
      </w:r>
      <w:proofErr w:type="spellEnd"/>
      <w:r w:rsidRPr="00C223EF">
        <w:rPr>
          <w:rFonts w:ascii="Arial" w:eastAsia="Times New Roman" w:hAnsi="Arial" w:cs="Arial"/>
          <w:sz w:val="20"/>
          <w:szCs w:val="24"/>
          <w:lang w:eastAsia="cs-CZ"/>
        </w:rPr>
        <w:t xml:space="preserve"> č. 1/2010.</w:t>
      </w:r>
    </w:p>
    <w:p w:rsidR="005B0CCA" w:rsidRPr="00C223EF" w:rsidRDefault="005B0CCA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:rsidR="005B0CCA" w:rsidRPr="00C223EF" w:rsidRDefault="005B0CCA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:rsidR="00E40D66" w:rsidRPr="00C223EF" w:rsidRDefault="00E40D66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:rsidR="00DF00D2" w:rsidRPr="00C223EF" w:rsidRDefault="00DF00D2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3EF">
        <w:rPr>
          <w:rFonts w:ascii="Arial" w:eastAsia="Times New Roman" w:hAnsi="Arial" w:cs="Arial"/>
          <w:sz w:val="20"/>
          <w:szCs w:val="24"/>
          <w:lang w:eastAsia="cs-CZ"/>
        </w:rPr>
        <w:t> </w:t>
      </w:r>
    </w:p>
    <w:p w:rsidR="00DF00D2" w:rsidRPr="00C223EF" w:rsidRDefault="00DF00D2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3EF">
        <w:rPr>
          <w:rFonts w:ascii="Arial" w:eastAsia="Times New Roman" w:hAnsi="Arial" w:cs="Arial"/>
          <w:sz w:val="20"/>
          <w:szCs w:val="24"/>
          <w:lang w:eastAsia="cs-CZ"/>
        </w:rPr>
        <w:t> </w:t>
      </w:r>
    </w:p>
    <w:p w:rsidR="00DF00D2" w:rsidRPr="00C223EF" w:rsidRDefault="00DF00D2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3EF">
        <w:rPr>
          <w:rFonts w:ascii="Arial" w:eastAsia="Times New Roman" w:hAnsi="Arial" w:cs="Arial"/>
          <w:sz w:val="20"/>
          <w:szCs w:val="24"/>
          <w:lang w:eastAsia="cs-CZ"/>
        </w:rPr>
        <w:t>.....................................</w:t>
      </w:r>
      <w:r w:rsidRPr="00C223EF">
        <w:rPr>
          <w:rFonts w:ascii="Arial" w:eastAsia="Times New Roman" w:hAnsi="Arial" w:cs="Arial"/>
          <w:sz w:val="20"/>
          <w:szCs w:val="24"/>
          <w:lang w:eastAsia="cs-CZ"/>
        </w:rPr>
        <w:tab/>
        <w:t>......................................</w:t>
      </w:r>
    </w:p>
    <w:p w:rsidR="00DF00D2" w:rsidRPr="00C223EF" w:rsidRDefault="00667CC3" w:rsidP="00DF0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23EF">
        <w:rPr>
          <w:rFonts w:ascii="Arial" w:eastAsia="Times New Roman" w:hAnsi="Arial" w:cs="Arial"/>
          <w:sz w:val="20"/>
          <w:szCs w:val="24"/>
          <w:lang w:eastAsia="cs-CZ"/>
        </w:rPr>
        <w:t xml:space="preserve">Petr </w:t>
      </w:r>
      <w:proofErr w:type="spellStart"/>
      <w:r w:rsidRPr="00C223EF">
        <w:rPr>
          <w:rFonts w:ascii="Arial" w:eastAsia="Times New Roman" w:hAnsi="Arial" w:cs="Arial"/>
          <w:sz w:val="20"/>
          <w:szCs w:val="24"/>
          <w:lang w:eastAsia="cs-CZ"/>
        </w:rPr>
        <w:t>Šelepa</w:t>
      </w:r>
      <w:proofErr w:type="spellEnd"/>
      <w:r w:rsidR="00DF00D2" w:rsidRPr="00C223EF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F00D2" w:rsidRPr="00C223EF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F00D2" w:rsidRPr="00C223EF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F00D2" w:rsidRPr="00C223EF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F00D2" w:rsidRPr="00C223EF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F00D2" w:rsidRPr="00C223EF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F00D2" w:rsidRPr="00C223EF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DF00D2" w:rsidRPr="00C223EF">
        <w:rPr>
          <w:rFonts w:ascii="Arial" w:eastAsia="Times New Roman" w:hAnsi="Arial" w:cs="Arial"/>
          <w:sz w:val="20"/>
          <w:szCs w:val="24"/>
          <w:lang w:eastAsia="cs-CZ"/>
        </w:rPr>
        <w:tab/>
      </w:r>
      <w:r w:rsidR="005B0CCA" w:rsidRPr="00C223EF">
        <w:rPr>
          <w:rFonts w:ascii="Arial" w:eastAsia="Times New Roman" w:hAnsi="Arial" w:cs="Arial"/>
          <w:sz w:val="20"/>
          <w:szCs w:val="24"/>
          <w:lang w:eastAsia="cs-CZ"/>
        </w:rPr>
        <w:t>Edita Nová</w:t>
      </w:r>
    </w:p>
    <w:p w:rsidR="00DF00D2" w:rsidRPr="00DF00D2" w:rsidRDefault="00DF00D2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23EF">
        <w:rPr>
          <w:rFonts w:ascii="Arial" w:eastAsia="Times New Roman" w:hAnsi="Arial" w:cs="Arial"/>
          <w:sz w:val="20"/>
          <w:szCs w:val="24"/>
          <w:lang w:eastAsia="cs-CZ"/>
        </w:rPr>
        <w:t>místostarosta</w:t>
      </w:r>
      <w:r w:rsidRPr="00C223EF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C223EF">
        <w:rPr>
          <w:rFonts w:ascii="Arial" w:eastAsia="Times New Roman" w:hAnsi="Arial" w:cs="Arial"/>
          <w:sz w:val="20"/>
          <w:szCs w:val="24"/>
          <w:lang w:eastAsia="cs-CZ"/>
        </w:rPr>
        <w:tab/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5B0CCA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            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starosta</w:t>
      </w:r>
    </w:p>
    <w:p w:rsidR="00DF00D2" w:rsidRPr="00DF00D2" w:rsidRDefault="00DF00D2" w:rsidP="00DF0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kulaté razítko obce</w:t>
      </w:r>
    </w:p>
    <w:p w:rsidR="00DF00D2" w:rsidRPr="00DF00D2" w:rsidRDefault="00DF00D2" w:rsidP="00DF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E40D66" w:rsidRDefault="00E40D66" w:rsidP="00DF00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E40D66" w:rsidRDefault="00E40D66" w:rsidP="00DF00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E40D66" w:rsidRDefault="00E40D66" w:rsidP="00DF00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E40D66" w:rsidRDefault="00E40D66" w:rsidP="00DF00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DF00D2" w:rsidRPr="00DF00D2" w:rsidRDefault="00DF00D2" w:rsidP="00DF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:rsidR="00DF00D2" w:rsidRPr="00DF00D2" w:rsidRDefault="00DF00D2" w:rsidP="00DF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Vyhlášení: </w:t>
      </w:r>
    </w:p>
    <w:p w:rsidR="00DF00D2" w:rsidRDefault="00DF00D2" w:rsidP="00DF00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Vyvěšeno na úřední desce dne: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EE222C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="00C223E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6. 5. 2019</w:t>
      </w:r>
    </w:p>
    <w:p w:rsidR="00C223EF" w:rsidRDefault="00C223EF" w:rsidP="00DF00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4A1C41" w:rsidRPr="00DF00D2" w:rsidRDefault="004A1C41" w:rsidP="00DF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E222C" w:rsidRDefault="00DF00D2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Sejmuto z</w:t>
      </w:r>
      <w:r w:rsidR="008D5179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="00BE1EF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úřední desky dne:</w:t>
      </w:r>
      <w:r w:rsidR="00EE222C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C223E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24. 6. 2019</w:t>
      </w:r>
    </w:p>
    <w:p w:rsidR="00EE222C" w:rsidRDefault="00EE222C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8D5179" w:rsidRDefault="00DF00D2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Podpis: </w:t>
      </w:r>
    </w:p>
    <w:p w:rsidR="008D5179" w:rsidRDefault="008D5179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8D5179" w:rsidRDefault="008D5179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8D5179" w:rsidRDefault="008D5179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8D5179" w:rsidRDefault="008D5179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8D5179" w:rsidRDefault="008D5179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8D5179" w:rsidRDefault="008D5179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8D5179" w:rsidRDefault="008D5179" w:rsidP="00DF00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:rsidR="00DF00D2" w:rsidRPr="00DF00D2" w:rsidRDefault="00DF00D2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cs-CZ"/>
        </w:rPr>
        <w:t>1</w:t>
      </w:r>
      <w:r w:rsidRPr="00DF00D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zákon č. 128/2000 Sb.</w:t>
      </w:r>
      <w:r w:rsidR="003776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BE1EF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obcích</w:t>
      </w:r>
      <w:r w:rsidRPr="00DF00D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ve znění pozdějších předpisů</w:t>
      </w:r>
    </w:p>
    <w:p w:rsidR="00DF00D2" w:rsidRPr="00C223EF" w:rsidRDefault="00DF00D2" w:rsidP="00DF00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0B6A8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2</w:t>
      </w:r>
      <w:r w:rsidR="000B6A80" w:rsidRPr="0053768D"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cs-CZ"/>
        </w:rPr>
        <w:t xml:space="preserve"> </w:t>
      </w:r>
      <w:r w:rsidR="000B6A80" w:rsidRPr="00C223EF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8D5179" w:rsidRPr="00C223EF">
        <w:rPr>
          <w:rFonts w:ascii="Arial" w:eastAsia="Times New Roman" w:hAnsi="Arial" w:cs="Arial"/>
          <w:sz w:val="20"/>
          <w:szCs w:val="20"/>
          <w:lang w:eastAsia="cs-CZ"/>
        </w:rPr>
        <w:t xml:space="preserve">becně závazná vyhláška č. </w:t>
      </w:r>
      <w:r w:rsidR="0053768D" w:rsidRPr="00C223EF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8D5179" w:rsidRPr="00C223EF">
        <w:rPr>
          <w:rFonts w:ascii="Arial" w:eastAsia="Times New Roman" w:hAnsi="Arial" w:cs="Arial"/>
          <w:sz w:val="20"/>
          <w:szCs w:val="20"/>
          <w:lang w:eastAsia="cs-CZ"/>
        </w:rPr>
        <w:t>/20</w:t>
      </w:r>
      <w:r w:rsidR="0053768D" w:rsidRPr="00C223EF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="008D5179" w:rsidRPr="00C223EF">
        <w:rPr>
          <w:rFonts w:ascii="Arial" w:eastAsia="Times New Roman" w:hAnsi="Arial" w:cs="Arial"/>
          <w:sz w:val="20"/>
          <w:szCs w:val="20"/>
          <w:lang w:eastAsia="cs-CZ"/>
        </w:rPr>
        <w:t xml:space="preserve"> o místním poplatku ze psů</w:t>
      </w:r>
    </w:p>
    <w:p w:rsidR="00DF00D2" w:rsidRPr="00DF00D2" w:rsidRDefault="005E1C26" w:rsidP="003776C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E1C2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3</w:t>
      </w:r>
      <w:r w:rsidR="00DF00D2" w:rsidRPr="005E1C2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 xml:space="preserve"> </w:t>
      </w:r>
      <w:r w:rsidR="00DF00D2" w:rsidRPr="00DF00D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 č. 212/1999</w:t>
      </w:r>
      <w:r w:rsidR="003776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DF00D2" w:rsidRPr="00DF00D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Sb., o ozbrojených silách ČR, celní zákon č. 13/1993Sb., ve znění pozdějších změn a doplňků,</w:t>
      </w:r>
      <w:r w:rsidR="00BE1EF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DF00D2" w:rsidRPr="00DF00D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 č. 555/1992 Sb.</w:t>
      </w:r>
      <w:r w:rsidR="003776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DF00D2" w:rsidRPr="00DF00D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Vězeňské službě a justiční stráži ČR, ve znění pozdějších změn a doplňků, zákon č.124/1992Sb.</w:t>
      </w:r>
      <w:r w:rsidR="003776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DF00D2" w:rsidRPr="00DF00D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 Vojenské policii., ve znění</w:t>
      </w:r>
      <w:r w:rsidR="003776C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pozdějších změn</w:t>
      </w:r>
    </w:p>
    <w:p w:rsidR="00DF00D2" w:rsidRPr="00DF00D2" w:rsidRDefault="00DF00D2" w:rsidP="00377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sectPr w:rsidR="00DF00D2" w:rsidRPr="00DF00D2" w:rsidSect="00721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D1" w:rsidRDefault="00815AD1" w:rsidP="003B1B75">
      <w:pPr>
        <w:spacing w:after="0" w:line="240" w:lineRule="auto"/>
      </w:pPr>
      <w:r>
        <w:separator/>
      </w:r>
    </w:p>
  </w:endnote>
  <w:endnote w:type="continuationSeparator" w:id="0">
    <w:p w:rsidR="00815AD1" w:rsidRDefault="00815AD1" w:rsidP="003B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6079"/>
      <w:docPartObj>
        <w:docPartGallery w:val="Page Numbers (Bottom of Page)"/>
        <w:docPartUnique/>
      </w:docPartObj>
    </w:sdtPr>
    <w:sdtEndPr/>
    <w:sdtContent>
      <w:p w:rsidR="003B1B75" w:rsidRDefault="00A66F5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E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75" w:rsidRDefault="003B1B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D1" w:rsidRDefault="00815AD1" w:rsidP="003B1B75">
      <w:pPr>
        <w:spacing w:after="0" w:line="240" w:lineRule="auto"/>
      </w:pPr>
      <w:r>
        <w:separator/>
      </w:r>
    </w:p>
  </w:footnote>
  <w:footnote w:type="continuationSeparator" w:id="0">
    <w:p w:rsidR="00815AD1" w:rsidRDefault="00815AD1" w:rsidP="003B1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07A70"/>
    <w:multiLevelType w:val="hybridMultilevel"/>
    <w:tmpl w:val="C346E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0EB9"/>
    <w:multiLevelType w:val="hybridMultilevel"/>
    <w:tmpl w:val="3CF25E3E"/>
    <w:lvl w:ilvl="0" w:tplc="6F94ED7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1071E"/>
    <w:multiLevelType w:val="hybridMultilevel"/>
    <w:tmpl w:val="4E128706"/>
    <w:lvl w:ilvl="0" w:tplc="B6A2EC00">
      <w:start w:val="1"/>
      <w:numFmt w:val="decimal"/>
      <w:lvlText w:val="(%1)"/>
      <w:lvlJc w:val="left"/>
      <w:pPr>
        <w:ind w:left="60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D2"/>
    <w:rsid w:val="00035483"/>
    <w:rsid w:val="000846BD"/>
    <w:rsid w:val="000B6A80"/>
    <w:rsid w:val="000E6BFE"/>
    <w:rsid w:val="00151AF3"/>
    <w:rsid w:val="001E642E"/>
    <w:rsid w:val="001F7CB1"/>
    <w:rsid w:val="002147FB"/>
    <w:rsid w:val="00226D52"/>
    <w:rsid w:val="00292B10"/>
    <w:rsid w:val="002A323C"/>
    <w:rsid w:val="002A5EA8"/>
    <w:rsid w:val="002D169A"/>
    <w:rsid w:val="003776CD"/>
    <w:rsid w:val="003B1B75"/>
    <w:rsid w:val="004A1C41"/>
    <w:rsid w:val="004E3AB6"/>
    <w:rsid w:val="0053768D"/>
    <w:rsid w:val="005B0CCA"/>
    <w:rsid w:val="005E1C26"/>
    <w:rsid w:val="005E6560"/>
    <w:rsid w:val="00667CC3"/>
    <w:rsid w:val="00690704"/>
    <w:rsid w:val="0071402B"/>
    <w:rsid w:val="00721C50"/>
    <w:rsid w:val="00726378"/>
    <w:rsid w:val="00815AD1"/>
    <w:rsid w:val="008C3E8B"/>
    <w:rsid w:val="008D5179"/>
    <w:rsid w:val="008D7A14"/>
    <w:rsid w:val="009754E7"/>
    <w:rsid w:val="009B51B5"/>
    <w:rsid w:val="00A63B13"/>
    <w:rsid w:val="00A66F55"/>
    <w:rsid w:val="00A91ED4"/>
    <w:rsid w:val="00AE67FA"/>
    <w:rsid w:val="00B816A2"/>
    <w:rsid w:val="00BD3303"/>
    <w:rsid w:val="00BE1EFB"/>
    <w:rsid w:val="00C223EF"/>
    <w:rsid w:val="00C6349F"/>
    <w:rsid w:val="00D26A4C"/>
    <w:rsid w:val="00D45622"/>
    <w:rsid w:val="00DB0A01"/>
    <w:rsid w:val="00DF00D2"/>
    <w:rsid w:val="00E16852"/>
    <w:rsid w:val="00E40D66"/>
    <w:rsid w:val="00EE1A5B"/>
    <w:rsid w:val="00E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9CB0"/>
  <w15:docId w15:val="{08DEFF22-2958-452F-9DD7-CCB8EEE9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21C50"/>
  </w:style>
  <w:style w:type="paragraph" w:styleId="Nadpis1">
    <w:name w:val="heading 1"/>
    <w:basedOn w:val="Normln"/>
    <w:next w:val="Normln"/>
    <w:link w:val="Nadpis1Char"/>
    <w:uiPriority w:val="9"/>
    <w:qFormat/>
    <w:rsid w:val="00DF00D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DF00D2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00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F00D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00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0D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F0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F00D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css-div-section1">
    <w:name w:val="css-div-section1"/>
    <w:basedOn w:val="Normln"/>
    <w:rsid w:val="00DF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ss-p-msonormal">
    <w:name w:val="css-p-msonormal"/>
    <w:basedOn w:val="Normln"/>
    <w:rsid w:val="00DF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ss-p-msobodytext2">
    <w:name w:val="css-p-msobodytext2"/>
    <w:basedOn w:val="Normln"/>
    <w:rsid w:val="00DF00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DF0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00D2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DF00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46BD"/>
    <w:pPr>
      <w:ind w:left="720"/>
      <w:contextualSpacing/>
    </w:pPr>
  </w:style>
  <w:style w:type="paragraph" w:styleId="Bezmezer">
    <w:name w:val="No Spacing"/>
    <w:uiPriority w:val="1"/>
    <w:qFormat/>
    <w:rsid w:val="00292B1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3B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1B75"/>
  </w:style>
  <w:style w:type="paragraph" w:styleId="Zpat">
    <w:name w:val="footer"/>
    <w:basedOn w:val="Normln"/>
    <w:link w:val="ZpatChar"/>
    <w:uiPriority w:val="99"/>
    <w:unhideWhenUsed/>
    <w:rsid w:val="003B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B75"/>
  </w:style>
  <w:style w:type="paragraph" w:styleId="Textbubliny">
    <w:name w:val="Balloon Text"/>
    <w:basedOn w:val="Normln"/>
    <w:link w:val="TextbublinyChar"/>
    <w:uiPriority w:val="99"/>
    <w:semiHidden/>
    <w:unhideWhenUsed/>
    <w:rsid w:val="00EE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937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638">
          <w:marLeft w:val="0"/>
          <w:marRight w:val="0"/>
          <w:marTop w:val="0"/>
          <w:marBottom w:val="0"/>
          <w:divBdr>
            <w:top w:val="single" w:sz="12" w:space="2" w:color="A6D26D"/>
            <w:left w:val="single" w:sz="12" w:space="2" w:color="A6D26D"/>
            <w:bottom w:val="single" w:sz="12" w:space="2" w:color="A6D26D"/>
            <w:right w:val="single" w:sz="12" w:space="2" w:color="A6D26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Starostka</cp:lastModifiedBy>
  <cp:revision>29</cp:revision>
  <cp:lastPrinted>2019-10-11T07:41:00Z</cp:lastPrinted>
  <dcterms:created xsi:type="dcterms:W3CDTF">2010-12-09T10:43:00Z</dcterms:created>
  <dcterms:modified xsi:type="dcterms:W3CDTF">2019-10-11T07:41:00Z</dcterms:modified>
</cp:coreProperties>
</file>