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220A41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0079EBE4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Zastupitelstvo hlavního města Prahy se usneslo dne </w:t>
      </w:r>
      <w:r w:rsidR="00123BBF">
        <w:rPr>
          <w:sz w:val="24"/>
          <w:szCs w:val="24"/>
        </w:rPr>
        <w:t>14. 12</w:t>
      </w:r>
      <w:r w:rsidR="00D07D6D" w:rsidRPr="00220A41">
        <w:rPr>
          <w:sz w:val="24"/>
          <w:szCs w:val="24"/>
        </w:rPr>
        <w:t>.</w:t>
      </w:r>
      <w:r w:rsidR="00D95E13" w:rsidRPr="00220A41">
        <w:rPr>
          <w:sz w:val="24"/>
          <w:szCs w:val="24"/>
        </w:rPr>
        <w:t xml:space="preserve"> 2023</w:t>
      </w:r>
      <w:r w:rsidRPr="00220A41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220A41" w:rsidRDefault="00B04E31" w:rsidP="00B04E31">
      <w:pPr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</w:t>
      </w:r>
    </w:p>
    <w:p w14:paraId="6839F942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131C385D" w14:textId="2AFD0C85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</w:t>
      </w:r>
      <w:r w:rsidRPr="00220A41">
        <w:rPr>
          <w:sz w:val="24"/>
          <w:szCs w:val="24"/>
        </w:rPr>
        <w:lastRenderedPageBreak/>
        <w:t xml:space="preserve">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</w:t>
      </w:r>
      <w:r w:rsidRPr="00220A41">
        <w:rPr>
          <w:sz w:val="24"/>
          <w:szCs w:val="24"/>
        </w:rPr>
        <w:lastRenderedPageBreak/>
        <w:t>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> č. 2/2022,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 xml:space="preserve"> č. 4/2022</w:t>
      </w:r>
      <w:r w:rsidR="007D799C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Pr="00220A41">
        <w:rPr>
          <w:sz w:val="24"/>
          <w:szCs w:val="24"/>
        </w:rPr>
        <w:t>č.</w:t>
      </w:r>
      <w:r w:rsidR="00E7393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6/2022</w:t>
      </w:r>
      <w:r w:rsidR="00E73938" w:rsidRPr="00220A41">
        <w:rPr>
          <w:sz w:val="24"/>
          <w:szCs w:val="24"/>
        </w:rPr>
        <w:t>,</w:t>
      </w:r>
      <w:r w:rsidR="007D799C"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="007D799C" w:rsidRPr="00220A41">
        <w:rPr>
          <w:sz w:val="24"/>
          <w:szCs w:val="24"/>
        </w:rPr>
        <w:t>č. 7/2022</w:t>
      </w:r>
      <w:r w:rsidR="00F01ACD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</w:t>
      </w:r>
      <w:r w:rsidR="00E73938" w:rsidRPr="00220A41">
        <w:rPr>
          <w:sz w:val="24"/>
          <w:szCs w:val="24"/>
        </w:rPr>
        <w:t>obecně závazné vyhlášky</w:t>
      </w:r>
      <w:r w:rsidR="00703968" w:rsidRPr="00220A41">
        <w:rPr>
          <w:sz w:val="24"/>
          <w:szCs w:val="24"/>
        </w:rPr>
        <w:t xml:space="preserve"> hlavního města Prahy </w:t>
      </w:r>
      <w:r w:rsidR="00E73938" w:rsidRPr="00220A41">
        <w:rPr>
          <w:sz w:val="24"/>
          <w:szCs w:val="24"/>
        </w:rPr>
        <w:t xml:space="preserve">č. </w:t>
      </w:r>
      <w:r w:rsidR="00DE50D3" w:rsidRPr="00220A41">
        <w:rPr>
          <w:sz w:val="24"/>
          <w:szCs w:val="24"/>
        </w:rPr>
        <w:t>9</w:t>
      </w:r>
      <w:r w:rsidR="00E73938" w:rsidRPr="00220A41">
        <w:rPr>
          <w:sz w:val="24"/>
          <w:szCs w:val="24"/>
        </w:rPr>
        <w:t>/2022</w:t>
      </w:r>
      <w:r w:rsidR="00646D4D" w:rsidRPr="00220A41">
        <w:rPr>
          <w:sz w:val="24"/>
          <w:szCs w:val="24"/>
        </w:rPr>
        <w:t>,</w:t>
      </w:r>
      <w:r w:rsidR="00F01ACD" w:rsidRPr="00220A41">
        <w:rPr>
          <w:sz w:val="24"/>
          <w:szCs w:val="24"/>
        </w:rPr>
        <w:t> obecně závazné vyhlášky hlavního města Prahy č.</w:t>
      </w:r>
      <w:r w:rsidR="00D95E13" w:rsidRPr="00220A41">
        <w:rPr>
          <w:sz w:val="24"/>
          <w:szCs w:val="24"/>
        </w:rPr>
        <w:t> </w:t>
      </w:r>
      <w:r w:rsidR="00F01ACD" w:rsidRPr="00220A41">
        <w:rPr>
          <w:sz w:val="24"/>
          <w:szCs w:val="24"/>
        </w:rPr>
        <w:t>12/2022</w:t>
      </w:r>
      <w:r w:rsidR="002A265C" w:rsidRPr="00220A41">
        <w:rPr>
          <w:sz w:val="24"/>
          <w:szCs w:val="24"/>
        </w:rPr>
        <w:t>,</w:t>
      </w:r>
      <w:r w:rsidR="00646D4D" w:rsidRPr="00220A41">
        <w:rPr>
          <w:sz w:val="24"/>
          <w:szCs w:val="24"/>
        </w:rPr>
        <w:t xml:space="preserve"> obecně závazné vyhlášky hlavního města Prahy č. 16/2022</w:t>
      </w:r>
      <w:r w:rsidR="00D95E13" w:rsidRPr="00220A41">
        <w:rPr>
          <w:sz w:val="24"/>
          <w:szCs w:val="24"/>
        </w:rPr>
        <w:t>,</w:t>
      </w:r>
      <w:r w:rsidR="002A265C" w:rsidRPr="00220A41">
        <w:rPr>
          <w:sz w:val="24"/>
          <w:szCs w:val="24"/>
        </w:rPr>
        <w:t xml:space="preserve"> obecně závazné vyhlášky hlavního města Prahy č. 19/2022</w:t>
      </w:r>
      <w:r w:rsidR="004124A7" w:rsidRPr="00220A41">
        <w:rPr>
          <w:sz w:val="24"/>
          <w:szCs w:val="24"/>
        </w:rPr>
        <w:t>,</w:t>
      </w:r>
      <w:r w:rsidR="00D95E13" w:rsidRPr="00220A41">
        <w:rPr>
          <w:sz w:val="24"/>
          <w:szCs w:val="24"/>
        </w:rPr>
        <w:t xml:space="preserve"> obecně závazné vyhlášky hlavního města Prahy č. 21/2022</w:t>
      </w:r>
      <w:r w:rsidR="00D07D6D" w:rsidRPr="00220A41">
        <w:rPr>
          <w:sz w:val="24"/>
          <w:szCs w:val="24"/>
        </w:rPr>
        <w:t>,</w:t>
      </w:r>
      <w:r w:rsidR="004124A7" w:rsidRPr="00220A41">
        <w:rPr>
          <w:sz w:val="24"/>
          <w:szCs w:val="24"/>
        </w:rPr>
        <w:t xml:space="preserve"> obecně závazné vyhlášky hlavního města Prahy č. 2/</w:t>
      </w:r>
      <w:r w:rsidR="00801FC4" w:rsidRPr="00220A41">
        <w:rPr>
          <w:sz w:val="24"/>
          <w:szCs w:val="24"/>
        </w:rPr>
        <w:t>2023</w:t>
      </w:r>
      <w:r w:rsidR="00930DCE">
        <w:rPr>
          <w:sz w:val="24"/>
          <w:szCs w:val="24"/>
        </w:rPr>
        <w:t>,</w:t>
      </w:r>
      <w:r w:rsidR="00D07D6D" w:rsidRPr="00220A41">
        <w:rPr>
          <w:sz w:val="24"/>
          <w:szCs w:val="24"/>
        </w:rPr>
        <w:t xml:space="preserve"> obecně závazné vyhlášky hlavního města Prahy č.</w:t>
      </w:r>
      <w:r w:rsidR="00930DCE">
        <w:rPr>
          <w:sz w:val="24"/>
          <w:szCs w:val="24"/>
        </w:rPr>
        <w:t> </w:t>
      </w:r>
      <w:r w:rsidR="00D07D6D" w:rsidRPr="00220A41">
        <w:rPr>
          <w:sz w:val="24"/>
          <w:szCs w:val="24"/>
        </w:rPr>
        <w:t>3/2023</w:t>
      </w:r>
      <w:r w:rsidR="00123BBF">
        <w:rPr>
          <w:sz w:val="24"/>
          <w:szCs w:val="24"/>
        </w:rPr>
        <w:t>,</w:t>
      </w:r>
      <w:r w:rsidR="00930DCE">
        <w:rPr>
          <w:sz w:val="24"/>
          <w:szCs w:val="24"/>
        </w:rPr>
        <w:t xml:space="preserve"> obecně závazné vyhlášky hlavního města Prahy č. 6/2023</w:t>
      </w:r>
      <w:r w:rsidR="00123BBF">
        <w:rPr>
          <w:sz w:val="24"/>
          <w:szCs w:val="24"/>
        </w:rPr>
        <w:t xml:space="preserve"> a obecně závazné vyhlášky hlavního města Prahy č. 7/2023</w:t>
      </w:r>
      <w:r w:rsidR="00801FC4" w:rsidRPr="00220A41">
        <w:rPr>
          <w:sz w:val="24"/>
          <w:szCs w:val="24"/>
        </w:rPr>
        <w:t>,</w:t>
      </w:r>
      <w:r w:rsidR="00E73938" w:rsidRPr="00220A41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se</w:t>
      </w:r>
      <w:r w:rsidR="0070396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mění takto:</w:t>
      </w:r>
    </w:p>
    <w:p w14:paraId="61006570" w14:textId="67406B6D" w:rsidR="00CF25A3" w:rsidRPr="00220A41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220A41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40718D28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1.V příloze č. 7 části A se v části Praha 8 na konci doplňuje tento výčet: </w:t>
      </w:r>
    </w:p>
    <w:p w14:paraId="5F4119E9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„Libeň</w:t>
      </w:r>
      <w:r w:rsidRPr="00123BBF">
        <w:rPr>
          <w:sz w:val="24"/>
          <w:szCs w:val="24"/>
        </w:rPr>
        <w:tab/>
        <w:t>3610/5</w:t>
      </w:r>
      <w:r w:rsidRPr="00123BBF">
        <w:rPr>
          <w:sz w:val="24"/>
          <w:szCs w:val="24"/>
        </w:rPr>
        <w:tab/>
        <w:t>349</w:t>
      </w:r>
      <w:r w:rsidRPr="00123BBF">
        <w:rPr>
          <w:sz w:val="24"/>
          <w:szCs w:val="24"/>
        </w:rPr>
        <w:tab/>
        <w:t>264</w:t>
      </w:r>
    </w:p>
    <w:p w14:paraId="5F8BEC70" w14:textId="36BACF80" w:rsidR="00123BBF" w:rsidRPr="00123BBF" w:rsidRDefault="009659D6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 xml:space="preserve">Libeň </w:t>
      </w:r>
      <w:r w:rsidR="00123BBF" w:rsidRPr="00123BBF">
        <w:rPr>
          <w:sz w:val="24"/>
          <w:szCs w:val="24"/>
        </w:rPr>
        <w:tab/>
        <w:t>3610/7</w:t>
      </w:r>
      <w:r w:rsidR="00123BBF" w:rsidRPr="00123BBF">
        <w:rPr>
          <w:sz w:val="24"/>
          <w:szCs w:val="24"/>
        </w:rPr>
        <w:tab/>
        <w:t>532</w:t>
      </w:r>
    </w:p>
    <w:p w14:paraId="15FA7B01" w14:textId="6BF36FAE" w:rsidR="00123BBF" w:rsidRPr="00123BBF" w:rsidRDefault="00641536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včetně staveb, terénních a sadových úprav, které nejsou předmětem zápisu do KN“.</w:t>
      </w:r>
    </w:p>
    <w:p w14:paraId="454D8192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9709E52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2. V příloze č. 7 části A se v části Praha 15 na konci doplňuje tento výčet:</w:t>
      </w:r>
    </w:p>
    <w:p w14:paraId="0076994B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„Hostivař</w:t>
      </w:r>
    </w:p>
    <w:p w14:paraId="60E37C21" w14:textId="5CDFBB2F" w:rsidR="00123BBF" w:rsidRPr="00123BBF" w:rsidRDefault="009659D6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 xml:space="preserve">stavba č. 8950 TV Praha 15, etapa 0009 – výstavba spojovacího chodníku Horolezecká x </w:t>
      </w:r>
      <w:proofErr w:type="spellStart"/>
      <w:r w:rsidR="00123BBF" w:rsidRPr="00123BBF">
        <w:rPr>
          <w:sz w:val="24"/>
          <w:szCs w:val="24"/>
        </w:rPr>
        <w:t>Bělinského</w:t>
      </w:r>
      <w:proofErr w:type="spellEnd"/>
      <w:r w:rsidR="00123BBF" w:rsidRPr="00123BBF">
        <w:rPr>
          <w:sz w:val="24"/>
          <w:szCs w:val="24"/>
        </w:rPr>
        <w:t xml:space="preserve"> </w:t>
      </w:r>
    </w:p>
    <w:p w14:paraId="121DEC70" w14:textId="11A2626E" w:rsidR="00123BBF" w:rsidRPr="00123BBF" w:rsidRDefault="00123BBF" w:rsidP="009659D6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– spojovací chodníky Horolezecká x </w:t>
      </w:r>
      <w:proofErr w:type="spellStart"/>
      <w:r w:rsidRPr="00123BBF">
        <w:rPr>
          <w:sz w:val="24"/>
          <w:szCs w:val="24"/>
        </w:rPr>
        <w:t>Bělinského</w:t>
      </w:r>
      <w:proofErr w:type="spellEnd"/>
      <w:r w:rsidRPr="00123BBF">
        <w:rPr>
          <w:sz w:val="24"/>
          <w:szCs w:val="24"/>
        </w:rPr>
        <w:t xml:space="preserve"> včetně schodiště, umístěné na pozemcích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9659D6">
        <w:rPr>
          <w:sz w:val="24"/>
          <w:szCs w:val="24"/>
        </w:rPr>
        <w:t> </w:t>
      </w:r>
      <w:r w:rsidRPr="00123BBF">
        <w:rPr>
          <w:sz w:val="24"/>
          <w:szCs w:val="24"/>
        </w:rPr>
        <w:t>č.</w:t>
      </w:r>
      <w:r w:rsidR="009659D6">
        <w:rPr>
          <w:sz w:val="24"/>
          <w:szCs w:val="24"/>
        </w:rPr>
        <w:t> </w:t>
      </w:r>
      <w:r w:rsidRPr="00123BBF">
        <w:rPr>
          <w:sz w:val="24"/>
          <w:szCs w:val="24"/>
        </w:rPr>
        <w:t>2741/40</w:t>
      </w:r>
      <w:r w:rsidR="009659D6">
        <w:rPr>
          <w:sz w:val="24"/>
          <w:szCs w:val="24"/>
        </w:rPr>
        <w:t xml:space="preserve"> a</w:t>
      </w:r>
      <w:r w:rsidRPr="00123BBF">
        <w:rPr>
          <w:sz w:val="24"/>
          <w:szCs w:val="24"/>
        </w:rPr>
        <w:t xml:space="preserve"> 2741/41 v k.</w:t>
      </w:r>
      <w:r w:rsidR="009659D6">
        <w:rPr>
          <w:sz w:val="24"/>
          <w:szCs w:val="24"/>
        </w:rPr>
        <w:t xml:space="preserve"> </w:t>
      </w:r>
      <w:proofErr w:type="spellStart"/>
      <w:r w:rsidRPr="00123BBF">
        <w:rPr>
          <w:sz w:val="24"/>
          <w:szCs w:val="24"/>
        </w:rPr>
        <w:t>ú.</w:t>
      </w:r>
      <w:proofErr w:type="spellEnd"/>
      <w:r w:rsidRPr="00123BBF">
        <w:rPr>
          <w:sz w:val="24"/>
          <w:szCs w:val="24"/>
        </w:rPr>
        <w:t xml:space="preserve"> Hostivař, zábradlí podél schodiště, umístěné na pozemku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9659D6">
        <w:rPr>
          <w:sz w:val="24"/>
          <w:szCs w:val="24"/>
        </w:rPr>
        <w:t> </w:t>
      </w:r>
      <w:r w:rsidRPr="00123BBF">
        <w:rPr>
          <w:sz w:val="24"/>
          <w:szCs w:val="24"/>
        </w:rPr>
        <w:t>č.</w:t>
      </w:r>
      <w:r w:rsidR="009659D6">
        <w:rPr>
          <w:sz w:val="24"/>
          <w:szCs w:val="24"/>
        </w:rPr>
        <w:t> </w:t>
      </w:r>
      <w:r w:rsidRPr="00123BBF">
        <w:rPr>
          <w:sz w:val="24"/>
          <w:szCs w:val="24"/>
        </w:rPr>
        <w:t>2741/40 v k.</w:t>
      </w:r>
      <w:r w:rsidR="009659D6">
        <w:rPr>
          <w:sz w:val="24"/>
          <w:szCs w:val="24"/>
        </w:rPr>
        <w:t xml:space="preserve"> </w:t>
      </w:r>
      <w:proofErr w:type="spellStart"/>
      <w:r w:rsidRPr="00123BBF">
        <w:rPr>
          <w:sz w:val="24"/>
          <w:szCs w:val="24"/>
        </w:rPr>
        <w:t>ú.</w:t>
      </w:r>
      <w:proofErr w:type="spellEnd"/>
      <w:r w:rsidRPr="00123BBF">
        <w:rPr>
          <w:sz w:val="24"/>
          <w:szCs w:val="24"/>
        </w:rPr>
        <w:t xml:space="preserve"> Hostivař a opěrná palisádová zídka, umístěná na pozemku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9659D6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č. 2741/41 v</w:t>
      </w:r>
      <w:r w:rsidR="009659D6">
        <w:rPr>
          <w:sz w:val="24"/>
          <w:szCs w:val="24"/>
        </w:rPr>
        <w:t> </w:t>
      </w:r>
      <w:r w:rsidRPr="00123BBF">
        <w:rPr>
          <w:sz w:val="24"/>
          <w:szCs w:val="24"/>
        </w:rPr>
        <w:t>k.</w:t>
      </w:r>
      <w:r w:rsidR="009659D6">
        <w:rPr>
          <w:sz w:val="24"/>
          <w:szCs w:val="24"/>
        </w:rPr>
        <w:t xml:space="preserve"> </w:t>
      </w:r>
      <w:proofErr w:type="spellStart"/>
      <w:r w:rsidRPr="00123BBF">
        <w:rPr>
          <w:sz w:val="24"/>
          <w:szCs w:val="24"/>
        </w:rPr>
        <w:t>ú.</w:t>
      </w:r>
      <w:proofErr w:type="spellEnd"/>
      <w:r w:rsidRPr="00123BBF">
        <w:rPr>
          <w:sz w:val="24"/>
          <w:szCs w:val="24"/>
        </w:rPr>
        <w:t xml:space="preserve"> Hostivař, v celkové pořizovací hodnotě 1 068 342,20 Kč“.</w:t>
      </w:r>
    </w:p>
    <w:p w14:paraId="21043997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B871C8" w14:textId="77777777" w:rsidR="009659D6" w:rsidRDefault="009659D6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A221279" w14:textId="58C702BD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lastRenderedPageBreak/>
        <w:t>3. V příloze č. 7 části A se v části Praha</w:t>
      </w:r>
      <w:r w:rsidR="009659D6">
        <w:rPr>
          <w:sz w:val="24"/>
          <w:szCs w:val="24"/>
        </w:rPr>
        <w:t>-</w:t>
      </w:r>
      <w:r w:rsidRPr="00123BBF">
        <w:rPr>
          <w:sz w:val="24"/>
          <w:szCs w:val="24"/>
        </w:rPr>
        <w:t>Kunratice na konci doplňuje tento výčet:</w:t>
      </w:r>
    </w:p>
    <w:p w14:paraId="482B83C6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„Kunratice</w:t>
      </w:r>
    </w:p>
    <w:p w14:paraId="486B1846" w14:textId="2D29524C" w:rsidR="00123BBF" w:rsidRDefault="00123BBF" w:rsidP="009659D6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stavba č. 2950194 „Cyklostezka Kunratice </w:t>
      </w:r>
      <w:r w:rsidR="009659D6" w:rsidRPr="00123BBF">
        <w:rPr>
          <w:sz w:val="24"/>
          <w:szCs w:val="24"/>
        </w:rPr>
        <w:t>–</w:t>
      </w:r>
      <w:r w:rsidRPr="00123BBF">
        <w:rPr>
          <w:sz w:val="24"/>
          <w:szCs w:val="24"/>
        </w:rPr>
        <w:t xml:space="preserve"> prodloužení“ na pozemcích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9659D6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č. 2361/6, 2361/12, 2361/29, 2361/49, 2474/3</w:t>
      </w:r>
      <w:r w:rsidR="009659D6">
        <w:rPr>
          <w:sz w:val="24"/>
          <w:szCs w:val="24"/>
        </w:rPr>
        <w:t xml:space="preserve"> a</w:t>
      </w:r>
      <w:r w:rsidRPr="00123BBF">
        <w:rPr>
          <w:sz w:val="24"/>
          <w:szCs w:val="24"/>
        </w:rPr>
        <w:t xml:space="preserve"> 2583/4 v k.</w:t>
      </w:r>
      <w:r w:rsidR="009659D6">
        <w:rPr>
          <w:sz w:val="24"/>
          <w:szCs w:val="24"/>
        </w:rPr>
        <w:t xml:space="preserve"> </w:t>
      </w:r>
      <w:proofErr w:type="spellStart"/>
      <w:r w:rsidRPr="00123BBF">
        <w:rPr>
          <w:sz w:val="24"/>
          <w:szCs w:val="24"/>
        </w:rPr>
        <w:t>ú.</w:t>
      </w:r>
      <w:proofErr w:type="spellEnd"/>
      <w:r w:rsidRPr="00123BBF">
        <w:rPr>
          <w:sz w:val="24"/>
          <w:szCs w:val="24"/>
        </w:rPr>
        <w:t xml:space="preserve"> Kunratice v pořizovací hodnotě 6 175 155,14 Kč“.</w:t>
      </w:r>
    </w:p>
    <w:p w14:paraId="1E6A9D48" w14:textId="7B20891A" w:rsidR="0059180A" w:rsidRDefault="0059180A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3ED6F29" w14:textId="5F5FD56D" w:rsidR="0059180A" w:rsidRPr="0059180A" w:rsidRDefault="00747460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180A" w:rsidRPr="0059180A">
        <w:rPr>
          <w:sz w:val="24"/>
          <w:szCs w:val="24"/>
        </w:rPr>
        <w:t>. V příloze č. 7 části A se v části Praha</w:t>
      </w:r>
      <w:r w:rsidR="009659D6">
        <w:rPr>
          <w:sz w:val="24"/>
          <w:szCs w:val="24"/>
        </w:rPr>
        <w:t>-</w:t>
      </w:r>
      <w:r w:rsidR="0059180A" w:rsidRPr="0059180A">
        <w:rPr>
          <w:sz w:val="24"/>
          <w:szCs w:val="24"/>
        </w:rPr>
        <w:t>Šeberov na konci doplňuje tento výčet:</w:t>
      </w:r>
    </w:p>
    <w:p w14:paraId="66CE4884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„Šeberov</w:t>
      </w:r>
      <w:r w:rsidRPr="0059180A">
        <w:rPr>
          <w:sz w:val="24"/>
          <w:szCs w:val="24"/>
        </w:rPr>
        <w:tab/>
        <w:t>564/34</w:t>
      </w:r>
      <w:r w:rsidRPr="0059180A">
        <w:rPr>
          <w:sz w:val="24"/>
          <w:szCs w:val="24"/>
        </w:rPr>
        <w:tab/>
        <w:t>148537</w:t>
      </w:r>
      <w:r w:rsidRPr="0059180A">
        <w:rPr>
          <w:sz w:val="24"/>
          <w:szCs w:val="24"/>
        </w:rPr>
        <w:tab/>
      </w:r>
    </w:p>
    <w:p w14:paraId="2A38A242" w14:textId="2A21EBDF" w:rsidR="0059180A" w:rsidRPr="00123BBF" w:rsidRDefault="009659D6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80A" w:rsidRPr="0059180A">
        <w:rPr>
          <w:sz w:val="24"/>
          <w:szCs w:val="24"/>
        </w:rPr>
        <w:t>včetně staveb, terénních a sadových úprav na pozemcích, které nejsou předmětem zápisu v KN“.</w:t>
      </w:r>
    </w:p>
    <w:p w14:paraId="4F8F0AFF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FE2EFE4" w14:textId="51D2CCCB" w:rsidR="0059180A" w:rsidRPr="0059180A" w:rsidRDefault="00747460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9180A" w:rsidRPr="0059180A">
        <w:rPr>
          <w:sz w:val="24"/>
          <w:szCs w:val="24"/>
        </w:rPr>
        <w:t xml:space="preserve">. V příloze č. 7 části B se v části Praha 7 na konci doplňuje tento výčet: </w:t>
      </w:r>
    </w:p>
    <w:p w14:paraId="2019ED40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„Holešovice</w:t>
      </w:r>
      <w:r w:rsidRPr="0059180A">
        <w:rPr>
          <w:sz w:val="24"/>
          <w:szCs w:val="24"/>
        </w:rPr>
        <w:tab/>
        <w:t>2416/12</w:t>
      </w:r>
      <w:r w:rsidRPr="0059180A">
        <w:rPr>
          <w:sz w:val="24"/>
          <w:szCs w:val="24"/>
        </w:rPr>
        <w:tab/>
        <w:t>2118</w:t>
      </w:r>
    </w:p>
    <w:p w14:paraId="7C15709A" w14:textId="0D8CAC6B" w:rsidR="0059180A" w:rsidRDefault="00641536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80A" w:rsidRPr="0059180A">
        <w:rPr>
          <w:sz w:val="24"/>
          <w:szCs w:val="24"/>
        </w:rPr>
        <w:t>včetně staveb, terénních a sadových úprav, které nejsou předmětem zápisu do KN“.</w:t>
      </w:r>
    </w:p>
    <w:p w14:paraId="22F74457" w14:textId="77777777" w:rsid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DA5C31C" w14:textId="78F56C23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23BBF" w:rsidRPr="00123BBF">
        <w:rPr>
          <w:sz w:val="24"/>
          <w:szCs w:val="24"/>
        </w:rPr>
        <w:t>. V příloze č. 7 části B se v části Praha 8 na konci doplňuje tento výčet:</w:t>
      </w:r>
    </w:p>
    <w:p w14:paraId="1B3AE749" w14:textId="1D09CA8E" w:rsidR="00123BBF" w:rsidRPr="00123BBF" w:rsidRDefault="009659D6" w:rsidP="009659D6">
      <w:pPr>
        <w:tabs>
          <w:tab w:val="left" w:pos="2268"/>
          <w:tab w:val="right" w:pos="4820"/>
          <w:tab w:val="left" w:pos="5812"/>
          <w:tab w:val="left" w:pos="7371"/>
        </w:tabs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„36 ks stožárů veřejného osvětlení č.</w:t>
      </w:r>
      <w:r>
        <w:rPr>
          <w:sz w:val="24"/>
          <w:szCs w:val="24"/>
        </w:rPr>
        <w:t xml:space="preserve"> </w:t>
      </w:r>
      <w:r w:rsidR="00123BBF" w:rsidRPr="00123BBF">
        <w:rPr>
          <w:sz w:val="24"/>
          <w:szCs w:val="24"/>
        </w:rPr>
        <w:t xml:space="preserve">ev. 815585-815620 včetně kabelového vedení na pozemcích </w:t>
      </w:r>
      <w:r>
        <w:rPr>
          <w:sz w:val="24"/>
          <w:szCs w:val="24"/>
        </w:rPr>
        <w:t xml:space="preserve">    </w:t>
      </w:r>
      <w:proofErr w:type="spellStart"/>
      <w:r w:rsidR="00123BBF" w:rsidRPr="00123BBF">
        <w:rPr>
          <w:sz w:val="24"/>
          <w:szCs w:val="24"/>
        </w:rPr>
        <w:t>parc.č</w:t>
      </w:r>
      <w:proofErr w:type="spellEnd"/>
      <w:r w:rsidR="00123BBF" w:rsidRPr="00123BBF">
        <w:rPr>
          <w:sz w:val="24"/>
          <w:szCs w:val="24"/>
        </w:rPr>
        <w:t>. 767/202, 767/204, 767/221</w:t>
      </w:r>
      <w:r>
        <w:rPr>
          <w:sz w:val="24"/>
          <w:szCs w:val="24"/>
        </w:rPr>
        <w:t xml:space="preserve"> a</w:t>
      </w:r>
      <w:r w:rsidR="00123BBF" w:rsidRPr="00123BBF">
        <w:rPr>
          <w:sz w:val="24"/>
          <w:szCs w:val="24"/>
        </w:rPr>
        <w:t xml:space="preserve"> 767/251 v k.</w:t>
      </w:r>
      <w:r>
        <w:rPr>
          <w:sz w:val="24"/>
          <w:szCs w:val="24"/>
        </w:rPr>
        <w:t xml:space="preserve"> </w:t>
      </w:r>
      <w:proofErr w:type="spellStart"/>
      <w:r w:rsidR="00123BBF" w:rsidRPr="00123BBF">
        <w:rPr>
          <w:sz w:val="24"/>
          <w:szCs w:val="24"/>
        </w:rPr>
        <w:t>ú.</w:t>
      </w:r>
      <w:proofErr w:type="spellEnd"/>
      <w:r w:rsidR="00123BBF" w:rsidRPr="00123BBF">
        <w:rPr>
          <w:sz w:val="24"/>
          <w:szCs w:val="24"/>
        </w:rPr>
        <w:t xml:space="preserve"> Karlín, </w:t>
      </w:r>
      <w:proofErr w:type="spellStart"/>
      <w:r w:rsidR="00123BBF" w:rsidRPr="00123BBF">
        <w:rPr>
          <w:sz w:val="24"/>
          <w:szCs w:val="24"/>
        </w:rPr>
        <w:t>parc</w:t>
      </w:r>
      <w:proofErr w:type="spellEnd"/>
      <w:r w:rsidR="00123BBF" w:rsidRPr="00123B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23BBF" w:rsidRPr="00123BBF">
        <w:rPr>
          <w:sz w:val="24"/>
          <w:szCs w:val="24"/>
        </w:rPr>
        <w:t>č. 3961/1</w:t>
      </w:r>
      <w:r>
        <w:rPr>
          <w:sz w:val="24"/>
          <w:szCs w:val="24"/>
        </w:rPr>
        <w:t xml:space="preserve"> a</w:t>
      </w:r>
      <w:r w:rsidR="00123BBF" w:rsidRPr="00123BBF">
        <w:rPr>
          <w:sz w:val="24"/>
          <w:szCs w:val="24"/>
        </w:rPr>
        <w:t xml:space="preserve"> 4004/150 v k.</w:t>
      </w:r>
      <w:r>
        <w:rPr>
          <w:sz w:val="24"/>
          <w:szCs w:val="24"/>
        </w:rPr>
        <w:t xml:space="preserve"> </w:t>
      </w:r>
      <w:proofErr w:type="spellStart"/>
      <w:r w:rsidR="00123BBF" w:rsidRPr="00123BBF">
        <w:rPr>
          <w:sz w:val="24"/>
          <w:szCs w:val="24"/>
        </w:rPr>
        <w:t>ú.</w:t>
      </w:r>
      <w:proofErr w:type="spellEnd"/>
      <w:r w:rsidR="00123BBF" w:rsidRPr="00123BBF">
        <w:rPr>
          <w:sz w:val="24"/>
          <w:szCs w:val="24"/>
        </w:rPr>
        <w:t xml:space="preserve"> Libeň a zapínací místo ZM 1746 na pozemku </w:t>
      </w:r>
      <w:proofErr w:type="spellStart"/>
      <w:r w:rsidR="00123BBF" w:rsidRPr="00123BBF">
        <w:rPr>
          <w:sz w:val="24"/>
          <w:szCs w:val="24"/>
        </w:rPr>
        <w:t>parc</w:t>
      </w:r>
      <w:proofErr w:type="spellEnd"/>
      <w:r w:rsidR="00123BBF" w:rsidRPr="00123B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23BBF" w:rsidRPr="00123BBF">
        <w:rPr>
          <w:sz w:val="24"/>
          <w:szCs w:val="24"/>
        </w:rPr>
        <w:t>č. 4004/150 v k.</w:t>
      </w:r>
      <w:r>
        <w:rPr>
          <w:sz w:val="24"/>
          <w:szCs w:val="24"/>
        </w:rPr>
        <w:t xml:space="preserve"> </w:t>
      </w:r>
      <w:proofErr w:type="spellStart"/>
      <w:r w:rsidR="00123BBF" w:rsidRPr="00123BBF">
        <w:rPr>
          <w:sz w:val="24"/>
          <w:szCs w:val="24"/>
        </w:rPr>
        <w:t>ú.</w:t>
      </w:r>
      <w:proofErr w:type="spellEnd"/>
      <w:r w:rsidR="00123BBF" w:rsidRPr="00123BBF">
        <w:rPr>
          <w:sz w:val="24"/>
          <w:szCs w:val="24"/>
        </w:rPr>
        <w:t xml:space="preserve"> Libeň v celkové pořizovací hodnotě 1 437 640,37 Kč</w:t>
      </w:r>
    </w:p>
    <w:p w14:paraId="3DC79464" w14:textId="77777777" w:rsidR="00123BBF" w:rsidRPr="00123BBF" w:rsidRDefault="00123BBF" w:rsidP="009659D6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>Bohnice</w:t>
      </w:r>
      <w:r w:rsidRPr="00123BBF">
        <w:rPr>
          <w:sz w:val="24"/>
          <w:szCs w:val="24"/>
        </w:rPr>
        <w:tab/>
        <w:t>57/1</w:t>
      </w:r>
      <w:r w:rsidRPr="00123BBF">
        <w:rPr>
          <w:sz w:val="24"/>
          <w:szCs w:val="24"/>
        </w:rPr>
        <w:tab/>
        <w:t>291</w:t>
      </w:r>
    </w:p>
    <w:p w14:paraId="2C949500" w14:textId="5E536006" w:rsidR="00123BBF" w:rsidRPr="00123BBF" w:rsidRDefault="00123BBF" w:rsidP="009659D6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>včetně terénních úprav, které nejsou předmětem zápisu v KN“.</w:t>
      </w:r>
    </w:p>
    <w:p w14:paraId="5B24DE37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F653872" w14:textId="60561F04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23BBF" w:rsidRPr="00123BBF">
        <w:rPr>
          <w:sz w:val="24"/>
          <w:szCs w:val="24"/>
        </w:rPr>
        <w:t>. V příloze č. 7 části B se v části Praha 9 na konci doplňuje tento výčet:</w:t>
      </w:r>
    </w:p>
    <w:p w14:paraId="69336C57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„Prosek </w:t>
      </w:r>
      <w:r w:rsidRPr="00123BBF">
        <w:rPr>
          <w:sz w:val="24"/>
          <w:szCs w:val="24"/>
        </w:rPr>
        <w:tab/>
        <w:t>1125/13 (id. 13/16)</w:t>
      </w:r>
      <w:r w:rsidRPr="00123BBF">
        <w:rPr>
          <w:sz w:val="24"/>
          <w:szCs w:val="24"/>
        </w:rPr>
        <w:tab/>
        <w:t>46</w:t>
      </w:r>
    </w:p>
    <w:p w14:paraId="74D03A6A" w14:textId="224EA622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včetně terénních úprav, které nejsou předmětem zápisu v KN“.</w:t>
      </w:r>
    </w:p>
    <w:p w14:paraId="735DFB87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7787502B" w14:textId="74468FCF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23BBF" w:rsidRPr="00123BBF">
        <w:rPr>
          <w:sz w:val="24"/>
          <w:szCs w:val="24"/>
        </w:rPr>
        <w:t>. V příloze č. 7 části B se v části Praha-Březiněves na konci doplňuje tento výčet:</w:t>
      </w:r>
    </w:p>
    <w:p w14:paraId="1D1B71A4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„Březiněves</w:t>
      </w:r>
      <w:r w:rsidRPr="00123BBF">
        <w:rPr>
          <w:sz w:val="24"/>
          <w:szCs w:val="24"/>
        </w:rPr>
        <w:tab/>
        <w:t>449/1</w:t>
      </w:r>
      <w:r w:rsidRPr="00123BBF">
        <w:rPr>
          <w:sz w:val="24"/>
          <w:szCs w:val="24"/>
        </w:rPr>
        <w:tab/>
        <w:t>34502</w:t>
      </w:r>
    </w:p>
    <w:p w14:paraId="40E36955" w14:textId="12846AA0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Březiněves</w:t>
      </w:r>
      <w:r w:rsidR="00123BBF" w:rsidRPr="00123BBF">
        <w:rPr>
          <w:sz w:val="24"/>
          <w:szCs w:val="24"/>
        </w:rPr>
        <w:tab/>
        <w:t>449/2</w:t>
      </w:r>
      <w:r w:rsidR="00123BBF" w:rsidRPr="00123BBF">
        <w:rPr>
          <w:sz w:val="24"/>
          <w:szCs w:val="24"/>
        </w:rPr>
        <w:tab/>
        <w:t>222</w:t>
      </w:r>
    </w:p>
    <w:p w14:paraId="6F4CCA07" w14:textId="4C1E8FF4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Březiněves</w:t>
      </w:r>
      <w:r w:rsidR="00123BBF" w:rsidRPr="00123BBF">
        <w:rPr>
          <w:sz w:val="24"/>
          <w:szCs w:val="24"/>
        </w:rPr>
        <w:tab/>
        <w:t>449/3</w:t>
      </w:r>
      <w:r w:rsidR="00123BBF" w:rsidRPr="00123BBF">
        <w:rPr>
          <w:sz w:val="24"/>
          <w:szCs w:val="24"/>
        </w:rPr>
        <w:tab/>
        <w:t>2858</w:t>
      </w:r>
    </w:p>
    <w:p w14:paraId="6FEF5AD0" w14:textId="552F5710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Březiněves</w:t>
      </w:r>
      <w:r w:rsidR="00123BBF" w:rsidRPr="00123BBF">
        <w:rPr>
          <w:sz w:val="24"/>
          <w:szCs w:val="24"/>
        </w:rPr>
        <w:tab/>
        <w:t>449/4</w:t>
      </w:r>
      <w:r w:rsidR="00123BBF" w:rsidRPr="00123BBF">
        <w:rPr>
          <w:sz w:val="24"/>
          <w:szCs w:val="24"/>
        </w:rPr>
        <w:tab/>
        <w:t>224</w:t>
      </w:r>
    </w:p>
    <w:p w14:paraId="4C7BC989" w14:textId="3FCD4EEF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Březiněves</w:t>
      </w:r>
      <w:r w:rsidR="00123BBF" w:rsidRPr="00123BBF">
        <w:rPr>
          <w:sz w:val="24"/>
          <w:szCs w:val="24"/>
        </w:rPr>
        <w:tab/>
        <w:t>449/6</w:t>
      </w:r>
      <w:r w:rsidR="00123BBF" w:rsidRPr="00123BBF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                       </w:t>
      </w:r>
      <w:r w:rsidR="00123BBF" w:rsidRPr="00123BBF">
        <w:rPr>
          <w:sz w:val="24"/>
          <w:szCs w:val="24"/>
        </w:rPr>
        <w:t xml:space="preserve"> 316“.</w:t>
      </w:r>
    </w:p>
    <w:p w14:paraId="43EF5CDE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0CA9128" w14:textId="4FCDEE6B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23BBF" w:rsidRPr="00123BBF">
        <w:rPr>
          <w:sz w:val="24"/>
          <w:szCs w:val="24"/>
        </w:rPr>
        <w:t>. V příloze č. 7 části B se v části Praha 20 na konci doplňuje tento výčet:</w:t>
      </w:r>
    </w:p>
    <w:p w14:paraId="062F8393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„Horní Počernice</w:t>
      </w:r>
      <w:r w:rsidRPr="00123BBF">
        <w:rPr>
          <w:sz w:val="24"/>
          <w:szCs w:val="24"/>
        </w:rPr>
        <w:tab/>
        <w:t>3976/149</w:t>
      </w:r>
      <w:r w:rsidRPr="00123BBF">
        <w:rPr>
          <w:sz w:val="24"/>
          <w:szCs w:val="24"/>
        </w:rPr>
        <w:tab/>
        <w:t>138</w:t>
      </w:r>
    </w:p>
    <w:p w14:paraId="67D76249" w14:textId="142E3088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4216/3</w:t>
      </w:r>
      <w:r w:rsidR="00123BBF" w:rsidRPr="00123BBF">
        <w:rPr>
          <w:sz w:val="24"/>
          <w:szCs w:val="24"/>
        </w:rPr>
        <w:tab/>
        <w:t>920</w:t>
      </w:r>
      <w:r w:rsidR="00123BBF" w:rsidRPr="00123BBF">
        <w:rPr>
          <w:sz w:val="24"/>
          <w:szCs w:val="24"/>
        </w:rPr>
        <w:tab/>
      </w:r>
      <w:r w:rsidR="00123BBF" w:rsidRPr="00123BBF">
        <w:rPr>
          <w:sz w:val="24"/>
          <w:szCs w:val="24"/>
        </w:rPr>
        <w:tab/>
      </w:r>
    </w:p>
    <w:p w14:paraId="4CE27A16" w14:textId="24933919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4321/21</w:t>
      </w:r>
      <w:r w:rsidR="00123BBF" w:rsidRPr="00123BBF">
        <w:rPr>
          <w:sz w:val="24"/>
          <w:szCs w:val="24"/>
        </w:rPr>
        <w:tab/>
        <w:t>698</w:t>
      </w:r>
    </w:p>
    <w:p w14:paraId="27728997" w14:textId="53CDC6ED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4321/23 (id. 5/8)</w:t>
      </w:r>
      <w:r w:rsidR="00123BBF" w:rsidRPr="00123BBF">
        <w:rPr>
          <w:sz w:val="24"/>
          <w:szCs w:val="24"/>
        </w:rPr>
        <w:tab/>
        <w:t>33</w:t>
      </w:r>
    </w:p>
    <w:p w14:paraId="70153966" w14:textId="1D43315C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4321/24</w:t>
      </w:r>
      <w:r w:rsidR="00123BBF" w:rsidRPr="00123BBF">
        <w:rPr>
          <w:sz w:val="24"/>
          <w:szCs w:val="24"/>
        </w:rPr>
        <w:tab/>
        <w:t>106</w:t>
      </w:r>
    </w:p>
    <w:p w14:paraId="7947EC32" w14:textId="07D9BA93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4322/1 (id. 5/8)</w:t>
      </w:r>
      <w:r w:rsidR="00123BBF" w:rsidRPr="00123BBF">
        <w:rPr>
          <w:sz w:val="24"/>
          <w:szCs w:val="24"/>
        </w:rPr>
        <w:tab/>
        <w:t>5886</w:t>
      </w:r>
    </w:p>
    <w:p w14:paraId="573D3AF7" w14:textId="4AB8FBEA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4322/3</w:t>
      </w:r>
      <w:r w:rsidR="00123BBF" w:rsidRPr="00123BBF">
        <w:rPr>
          <w:sz w:val="24"/>
          <w:szCs w:val="24"/>
        </w:rPr>
        <w:tab/>
        <w:t>20</w:t>
      </w:r>
    </w:p>
    <w:p w14:paraId="630BF8DC" w14:textId="180600B7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4322/4</w:t>
      </w:r>
      <w:r w:rsidR="00123BBF" w:rsidRPr="00123BBF">
        <w:rPr>
          <w:sz w:val="24"/>
          <w:szCs w:val="24"/>
        </w:rPr>
        <w:tab/>
        <w:t>287</w:t>
      </w:r>
    </w:p>
    <w:p w14:paraId="5D56F5AC" w14:textId="3B8FE396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4322/5</w:t>
      </w:r>
      <w:r w:rsidR="00123BBF" w:rsidRPr="00123BBF">
        <w:rPr>
          <w:sz w:val="24"/>
          <w:szCs w:val="24"/>
        </w:rPr>
        <w:tab/>
        <w:t>160</w:t>
      </w:r>
    </w:p>
    <w:p w14:paraId="6C1BBAF2" w14:textId="0F2B623F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4322/9</w:t>
      </w:r>
      <w:r w:rsidR="00123BBF" w:rsidRPr="00123BBF">
        <w:rPr>
          <w:sz w:val="24"/>
          <w:szCs w:val="24"/>
        </w:rPr>
        <w:tab/>
        <w:t>272</w:t>
      </w:r>
    </w:p>
    <w:p w14:paraId="7EDFD297" w14:textId="4AEA7BD1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4322/13</w:t>
      </w:r>
      <w:r w:rsidR="00123BBF" w:rsidRPr="00123BBF">
        <w:rPr>
          <w:sz w:val="24"/>
          <w:szCs w:val="24"/>
        </w:rPr>
        <w:tab/>
        <w:t>352</w:t>
      </w:r>
    </w:p>
    <w:p w14:paraId="6B9EF4A5" w14:textId="3E58CDAA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4322/14</w:t>
      </w:r>
      <w:r w:rsidR="00123BBF" w:rsidRPr="00123BBF">
        <w:rPr>
          <w:sz w:val="24"/>
          <w:szCs w:val="24"/>
        </w:rPr>
        <w:tab/>
        <w:t>1638</w:t>
      </w:r>
    </w:p>
    <w:p w14:paraId="4C1C5FA4" w14:textId="209602AF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4322/16</w:t>
      </w:r>
      <w:r w:rsidR="00123BBF" w:rsidRPr="00123BBF">
        <w:rPr>
          <w:sz w:val="24"/>
          <w:szCs w:val="24"/>
        </w:rPr>
        <w:tab/>
        <w:t>2218</w:t>
      </w:r>
    </w:p>
    <w:p w14:paraId="778E0099" w14:textId="15F5491E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4326/1</w:t>
      </w:r>
      <w:r w:rsidR="00123BBF" w:rsidRPr="00123BBF">
        <w:rPr>
          <w:sz w:val="24"/>
          <w:szCs w:val="24"/>
        </w:rPr>
        <w:tab/>
        <w:t>29</w:t>
      </w:r>
    </w:p>
    <w:p w14:paraId="1DB9EE9C" w14:textId="4A5B62DF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4326/2</w:t>
      </w:r>
      <w:r w:rsidR="00123BBF" w:rsidRPr="00123BBF">
        <w:rPr>
          <w:sz w:val="24"/>
          <w:szCs w:val="24"/>
        </w:rPr>
        <w:tab/>
        <w:t>128</w:t>
      </w:r>
    </w:p>
    <w:p w14:paraId="0103A86C" w14:textId="52D48458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4326/4</w:t>
      </w:r>
      <w:r w:rsidR="00123BBF" w:rsidRPr="00123BBF">
        <w:rPr>
          <w:sz w:val="24"/>
          <w:szCs w:val="24"/>
        </w:rPr>
        <w:tab/>
        <w:t>87</w:t>
      </w:r>
    </w:p>
    <w:p w14:paraId="0460F13C" w14:textId="3EEFD5B6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4326/5</w:t>
      </w:r>
      <w:r w:rsidR="00123BBF" w:rsidRPr="00123BBF">
        <w:rPr>
          <w:sz w:val="24"/>
          <w:szCs w:val="24"/>
        </w:rPr>
        <w:tab/>
        <w:t>1009</w:t>
      </w:r>
    </w:p>
    <w:p w14:paraId="16132E8B" w14:textId="52C00ABE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4337/17</w:t>
      </w:r>
      <w:r w:rsidR="00123BBF" w:rsidRPr="00123BBF">
        <w:rPr>
          <w:sz w:val="24"/>
          <w:szCs w:val="24"/>
        </w:rPr>
        <w:tab/>
        <w:t>18</w:t>
      </w:r>
    </w:p>
    <w:p w14:paraId="78ED3BC1" w14:textId="55972524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23BBF" w:rsidRPr="00123BBF">
        <w:rPr>
          <w:sz w:val="24"/>
          <w:szCs w:val="24"/>
        </w:rPr>
        <w:t>Horní Počernice</w:t>
      </w:r>
      <w:r w:rsidR="00123BBF" w:rsidRPr="00123BBF">
        <w:rPr>
          <w:sz w:val="24"/>
          <w:szCs w:val="24"/>
        </w:rPr>
        <w:tab/>
        <w:t>4337/19</w:t>
      </w:r>
      <w:r w:rsidR="00123BBF" w:rsidRPr="00123BBF">
        <w:rPr>
          <w:sz w:val="24"/>
          <w:szCs w:val="24"/>
        </w:rPr>
        <w:tab/>
        <w:t>50</w:t>
      </w:r>
    </w:p>
    <w:p w14:paraId="401A50F5" w14:textId="69051E14" w:rsidR="00123BBF" w:rsidRPr="00123BBF" w:rsidRDefault="00123BBF" w:rsidP="00265925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včetně stavby rybníka a hráze rybníka na pozemcích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č. 4322/1, 4322/4, 4322/9, 4322/13,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4322/16</w:t>
      </w:r>
      <w:r w:rsidR="00265925">
        <w:rPr>
          <w:sz w:val="24"/>
          <w:szCs w:val="24"/>
        </w:rPr>
        <w:t xml:space="preserve"> a</w:t>
      </w:r>
      <w:r w:rsidRPr="00123BBF">
        <w:rPr>
          <w:sz w:val="24"/>
          <w:szCs w:val="24"/>
        </w:rPr>
        <w:t xml:space="preserve"> 4322/14 ve svěřené správě </w:t>
      </w:r>
      <w:r w:rsidR="00265925">
        <w:rPr>
          <w:sz w:val="24"/>
          <w:szCs w:val="24"/>
        </w:rPr>
        <w:t>městské části</w:t>
      </w:r>
      <w:r w:rsidRPr="00123BBF">
        <w:rPr>
          <w:sz w:val="24"/>
          <w:szCs w:val="24"/>
        </w:rPr>
        <w:t xml:space="preserve"> a na pozemcích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č. 4322/15, 4322/2</w:t>
      </w:r>
      <w:r w:rsidR="00265925">
        <w:rPr>
          <w:sz w:val="24"/>
          <w:szCs w:val="24"/>
        </w:rPr>
        <w:t xml:space="preserve"> a </w:t>
      </w:r>
      <w:r w:rsidRPr="00123BBF">
        <w:rPr>
          <w:sz w:val="24"/>
          <w:szCs w:val="24"/>
        </w:rPr>
        <w:t>4321/5 ve vlastnictví fyzických osob“.</w:t>
      </w:r>
    </w:p>
    <w:p w14:paraId="4CA09DFF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8DA150E" w14:textId="1965AFAF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23BBF" w:rsidRPr="00123BBF">
        <w:rPr>
          <w:sz w:val="24"/>
          <w:szCs w:val="24"/>
        </w:rPr>
        <w:t>. V příloze č. 7 části B se v části Praha</w:t>
      </w:r>
      <w:r w:rsidR="00265925">
        <w:rPr>
          <w:sz w:val="24"/>
          <w:szCs w:val="24"/>
        </w:rPr>
        <w:t>-</w:t>
      </w:r>
      <w:r w:rsidR="00123BBF" w:rsidRPr="00123BBF">
        <w:rPr>
          <w:sz w:val="24"/>
          <w:szCs w:val="24"/>
        </w:rPr>
        <w:t>Kunratice na konci doplňuje tento výčet:</w:t>
      </w:r>
    </w:p>
    <w:p w14:paraId="7166969F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„Kunratice </w:t>
      </w:r>
      <w:r w:rsidRPr="00123BBF">
        <w:rPr>
          <w:sz w:val="24"/>
          <w:szCs w:val="24"/>
        </w:rPr>
        <w:tab/>
        <w:t>1139/5</w:t>
      </w:r>
      <w:r w:rsidRPr="00123BBF">
        <w:rPr>
          <w:sz w:val="24"/>
          <w:szCs w:val="24"/>
        </w:rPr>
        <w:tab/>
        <w:t>682</w:t>
      </w:r>
    </w:p>
    <w:p w14:paraId="07AD381E" w14:textId="188CA348" w:rsidR="00123BBF" w:rsidRPr="00123BBF" w:rsidRDefault="00265925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3BBF" w:rsidRPr="00123BBF">
        <w:rPr>
          <w:sz w:val="24"/>
          <w:szCs w:val="24"/>
        </w:rPr>
        <w:t>včetně stavby komunikace NN1265 a mostu K013“.</w:t>
      </w:r>
    </w:p>
    <w:p w14:paraId="1B4E8F2C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FD74E45" w14:textId="52D06228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123BBF" w:rsidRPr="00123BBF">
        <w:rPr>
          <w:sz w:val="24"/>
          <w:szCs w:val="24"/>
        </w:rPr>
        <w:t>. V příloze č. 7 části B se v části Praha</w:t>
      </w:r>
      <w:r w:rsidR="00265925">
        <w:rPr>
          <w:sz w:val="24"/>
          <w:szCs w:val="24"/>
        </w:rPr>
        <w:t>-</w:t>
      </w:r>
      <w:r w:rsidR="00123BBF" w:rsidRPr="00123BBF">
        <w:rPr>
          <w:sz w:val="24"/>
          <w:szCs w:val="24"/>
        </w:rPr>
        <w:t>Přední Kopanina na konci doplňuje tento výčet:</w:t>
      </w:r>
    </w:p>
    <w:p w14:paraId="71E28B40" w14:textId="56F050F6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„Přední Kopanina</w:t>
      </w:r>
      <w:r w:rsidRPr="00123BBF">
        <w:rPr>
          <w:sz w:val="24"/>
          <w:szCs w:val="24"/>
        </w:rPr>
        <w:tab/>
        <w:t>676/43</w:t>
      </w:r>
      <w:r w:rsidRPr="00123BBF">
        <w:rPr>
          <w:sz w:val="24"/>
          <w:szCs w:val="24"/>
        </w:rPr>
        <w:tab/>
      </w:r>
      <w:r w:rsidR="00265925">
        <w:rPr>
          <w:sz w:val="24"/>
          <w:szCs w:val="24"/>
        </w:rPr>
        <w:t xml:space="preserve">                        </w:t>
      </w:r>
      <w:r w:rsidRPr="00123BBF">
        <w:rPr>
          <w:sz w:val="24"/>
          <w:szCs w:val="24"/>
        </w:rPr>
        <w:t>4294“.</w:t>
      </w:r>
    </w:p>
    <w:p w14:paraId="1B04FC74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955BEB1" w14:textId="3CEA3875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123BBF" w:rsidRPr="00123BBF">
        <w:rPr>
          <w:sz w:val="24"/>
          <w:szCs w:val="24"/>
        </w:rPr>
        <w:t>. V příloze č. 7 části B se v části Praha-Suchdol na konci doplňuje tento výčet:</w:t>
      </w:r>
    </w:p>
    <w:p w14:paraId="598149E4" w14:textId="28E95F77" w:rsidR="00123BBF" w:rsidRPr="00123BBF" w:rsidRDefault="00123BBF" w:rsidP="00265925">
      <w:pPr>
        <w:tabs>
          <w:tab w:val="left" w:pos="2268"/>
          <w:tab w:val="right" w:pos="4820"/>
          <w:tab w:val="left" w:pos="5812"/>
          <w:tab w:val="left" w:pos="7371"/>
        </w:tabs>
        <w:ind w:left="142" w:hanging="142"/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„4 ks stožárů veřejného osvětlení č.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 xml:space="preserve">ev. 620315-620318 včetně kabelového vedení na pozemcích </w:t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265925">
        <w:rPr>
          <w:sz w:val="24"/>
          <w:szCs w:val="24"/>
        </w:rPr>
        <w:t> </w:t>
      </w:r>
      <w:r w:rsidRPr="00123BBF">
        <w:rPr>
          <w:sz w:val="24"/>
          <w:szCs w:val="24"/>
        </w:rPr>
        <w:t>č. 2217/16, 2224/2</w:t>
      </w:r>
      <w:r w:rsidR="00265925">
        <w:rPr>
          <w:sz w:val="24"/>
          <w:szCs w:val="24"/>
        </w:rPr>
        <w:t xml:space="preserve"> a</w:t>
      </w:r>
      <w:r w:rsidRPr="00123BBF">
        <w:rPr>
          <w:sz w:val="24"/>
          <w:szCs w:val="24"/>
        </w:rPr>
        <w:t xml:space="preserve"> 2309/2 v k.</w:t>
      </w:r>
      <w:r w:rsidR="00265925">
        <w:rPr>
          <w:sz w:val="24"/>
          <w:szCs w:val="24"/>
        </w:rPr>
        <w:t xml:space="preserve"> </w:t>
      </w:r>
      <w:proofErr w:type="spellStart"/>
      <w:r w:rsidRPr="00123BBF">
        <w:rPr>
          <w:sz w:val="24"/>
          <w:szCs w:val="24"/>
        </w:rPr>
        <w:t>ú.</w:t>
      </w:r>
      <w:proofErr w:type="spellEnd"/>
      <w:r w:rsidRPr="00123BBF">
        <w:rPr>
          <w:sz w:val="24"/>
          <w:szCs w:val="24"/>
        </w:rPr>
        <w:t xml:space="preserve"> Suchdol v celkové pořizovací hodnotě 590 352,53 Kč“.</w:t>
      </w:r>
    </w:p>
    <w:p w14:paraId="4FFC9581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800625C" w14:textId="6CFD01DB" w:rsidR="00123BBF" w:rsidRPr="00123BBF" w:rsidRDefault="00747460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123BBF" w:rsidRPr="00123BBF">
        <w:rPr>
          <w:sz w:val="24"/>
          <w:szCs w:val="24"/>
        </w:rPr>
        <w:t>. V příloze č. 10 se za bod 148 vkládá bod 149, který včetně nadpisu zní:</w:t>
      </w:r>
    </w:p>
    <w:p w14:paraId="31CA3DDD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„149. Městská část Praha 8</w:t>
      </w:r>
    </w:p>
    <w:p w14:paraId="36B403FA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3096C9B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a) Vymezeným majetkem se rozumí:</w:t>
      </w:r>
    </w:p>
    <w:p w14:paraId="0B984789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BFD0259" w14:textId="21CFB101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kat.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území</w:t>
      </w:r>
      <w:r w:rsidRPr="00123BBF">
        <w:rPr>
          <w:sz w:val="24"/>
          <w:szCs w:val="24"/>
        </w:rPr>
        <w:tab/>
      </w:r>
      <w:proofErr w:type="spellStart"/>
      <w:r w:rsidRPr="00123BBF">
        <w:rPr>
          <w:sz w:val="24"/>
          <w:szCs w:val="24"/>
        </w:rPr>
        <w:t>parc</w:t>
      </w:r>
      <w:proofErr w:type="spellEnd"/>
      <w:r w:rsidRPr="00123BBF">
        <w:rPr>
          <w:sz w:val="24"/>
          <w:szCs w:val="24"/>
        </w:rPr>
        <w:t>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č.</w:t>
      </w:r>
      <w:r w:rsidRPr="00123BBF">
        <w:rPr>
          <w:sz w:val="24"/>
          <w:szCs w:val="24"/>
        </w:rPr>
        <w:tab/>
      </w:r>
      <w:r w:rsidR="00265925">
        <w:rPr>
          <w:sz w:val="24"/>
          <w:szCs w:val="24"/>
        </w:rPr>
        <w:t xml:space="preserve">                    </w:t>
      </w:r>
      <w:r w:rsidRPr="00123BBF">
        <w:rPr>
          <w:sz w:val="24"/>
          <w:szCs w:val="24"/>
        </w:rPr>
        <w:t>výměra (m</w:t>
      </w:r>
      <w:r w:rsidRPr="00265925">
        <w:rPr>
          <w:sz w:val="24"/>
          <w:szCs w:val="24"/>
          <w:vertAlign w:val="superscript"/>
        </w:rPr>
        <w:t>2</w:t>
      </w:r>
      <w:r w:rsidRPr="00123BBF">
        <w:rPr>
          <w:sz w:val="24"/>
          <w:szCs w:val="24"/>
        </w:rPr>
        <w:t>)</w:t>
      </w:r>
      <w:r w:rsidR="00265925">
        <w:rPr>
          <w:sz w:val="24"/>
          <w:szCs w:val="24"/>
        </w:rPr>
        <w:t xml:space="preserve">     </w:t>
      </w:r>
      <w:r w:rsidRPr="00123BBF">
        <w:rPr>
          <w:sz w:val="24"/>
          <w:szCs w:val="24"/>
        </w:rPr>
        <w:t>č.</w:t>
      </w:r>
      <w:r w:rsidR="00265925">
        <w:rPr>
          <w:sz w:val="24"/>
          <w:szCs w:val="24"/>
        </w:rPr>
        <w:t xml:space="preserve"> </w:t>
      </w:r>
      <w:r w:rsidRPr="00123BBF">
        <w:rPr>
          <w:sz w:val="24"/>
          <w:szCs w:val="24"/>
        </w:rPr>
        <w:t>pop.</w:t>
      </w:r>
    </w:p>
    <w:p w14:paraId="644FF748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Libeň</w:t>
      </w:r>
      <w:r w:rsidRPr="00123BBF">
        <w:rPr>
          <w:sz w:val="24"/>
          <w:szCs w:val="24"/>
        </w:rPr>
        <w:tab/>
        <w:t>3610/5</w:t>
      </w:r>
      <w:r w:rsidRPr="00123BBF">
        <w:rPr>
          <w:sz w:val="24"/>
          <w:szCs w:val="24"/>
        </w:rPr>
        <w:tab/>
        <w:t>349</w:t>
      </w:r>
      <w:r w:rsidRPr="00123BBF">
        <w:rPr>
          <w:sz w:val="24"/>
          <w:szCs w:val="24"/>
        </w:rPr>
        <w:tab/>
        <w:t>264</w:t>
      </w:r>
    </w:p>
    <w:p w14:paraId="6ACE752C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 xml:space="preserve">Libeň </w:t>
      </w:r>
      <w:r w:rsidRPr="00123BBF">
        <w:rPr>
          <w:sz w:val="24"/>
          <w:szCs w:val="24"/>
        </w:rPr>
        <w:tab/>
        <w:t>3610/7</w:t>
      </w:r>
      <w:r w:rsidRPr="00123BBF">
        <w:rPr>
          <w:sz w:val="24"/>
          <w:szCs w:val="24"/>
        </w:rPr>
        <w:tab/>
        <w:t>532</w:t>
      </w:r>
      <w:r w:rsidRPr="00123BBF">
        <w:rPr>
          <w:sz w:val="24"/>
          <w:szCs w:val="24"/>
        </w:rPr>
        <w:tab/>
      </w:r>
    </w:p>
    <w:p w14:paraId="0D720808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AAAD5DF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b) Městská část Praha 8 není oprávněna převést nemovitosti uvedené pod písmenem a) na jinou fyzickou či právnickou osobu.</w:t>
      </w:r>
    </w:p>
    <w:p w14:paraId="36DBCA57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28EE4EE3" w14:textId="4B816D19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c) Městská část Praha 8 není oprávněna navrhovat či požadovat dělení ani scelování pozemků uvedených pod písmenem a), ani udělit souhlas s dělením nebo scelováním pozemků uvedených pod</w:t>
      </w:r>
      <w:r w:rsidR="00265925">
        <w:rPr>
          <w:sz w:val="24"/>
          <w:szCs w:val="24"/>
        </w:rPr>
        <w:t> </w:t>
      </w:r>
      <w:r w:rsidRPr="00123BBF">
        <w:rPr>
          <w:sz w:val="24"/>
          <w:szCs w:val="24"/>
        </w:rPr>
        <w:t>písmenem a) na základě podnětu orgánů státní správy.</w:t>
      </w:r>
    </w:p>
    <w:p w14:paraId="595527CA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2E45B9B" w14:textId="12F858B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d) Městská část Praha 8 je povinna v případě budoucího rozvoje nemovitostí uvedených pod</w:t>
      </w:r>
      <w:r w:rsidR="00265925">
        <w:rPr>
          <w:sz w:val="24"/>
          <w:szCs w:val="24"/>
        </w:rPr>
        <w:t> </w:t>
      </w:r>
      <w:r w:rsidRPr="00123BBF">
        <w:rPr>
          <w:sz w:val="24"/>
          <w:szCs w:val="24"/>
        </w:rPr>
        <w:t>písmenem a) koordinovat postup s Pražskou developerskou společností, příspěvkovou organizací.“.</w:t>
      </w:r>
    </w:p>
    <w:p w14:paraId="7D9B205F" w14:textId="77777777" w:rsidR="00123BBF" w:rsidRPr="00123BBF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CEE528B" w14:textId="404F5FA8" w:rsidR="00D07D6D" w:rsidRDefault="00123BBF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123BBF">
        <w:rPr>
          <w:sz w:val="24"/>
          <w:szCs w:val="24"/>
        </w:rPr>
        <w:t>Dosavadní body 149 až 484 se označují jako body 150 až 485.</w:t>
      </w:r>
    </w:p>
    <w:p w14:paraId="401578A3" w14:textId="12C1DF6E" w:rsidR="0059180A" w:rsidRDefault="0059180A" w:rsidP="00123BBF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B477E9C" w14:textId="2FE29EAB" w:rsidR="0059180A" w:rsidRPr="0059180A" w:rsidRDefault="00747460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9180A" w:rsidRPr="0059180A">
        <w:rPr>
          <w:sz w:val="24"/>
          <w:szCs w:val="24"/>
        </w:rPr>
        <w:t>. V příloze č. 10 se za bod 44</w:t>
      </w:r>
      <w:r w:rsidR="00265925">
        <w:rPr>
          <w:sz w:val="24"/>
          <w:szCs w:val="24"/>
        </w:rPr>
        <w:t>7</w:t>
      </w:r>
      <w:r w:rsidR="0059180A" w:rsidRPr="0059180A">
        <w:rPr>
          <w:sz w:val="24"/>
          <w:szCs w:val="24"/>
        </w:rPr>
        <w:t xml:space="preserve"> vkládá bod 44</w:t>
      </w:r>
      <w:r w:rsidR="00265925">
        <w:rPr>
          <w:sz w:val="24"/>
          <w:szCs w:val="24"/>
        </w:rPr>
        <w:t>8</w:t>
      </w:r>
      <w:r w:rsidR="0059180A" w:rsidRPr="0059180A">
        <w:rPr>
          <w:sz w:val="24"/>
          <w:szCs w:val="24"/>
        </w:rPr>
        <w:t>, který včetně nadpisu zní:</w:t>
      </w:r>
    </w:p>
    <w:p w14:paraId="60D108D4" w14:textId="42AE4833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„44</w:t>
      </w:r>
      <w:r w:rsidR="00265925">
        <w:rPr>
          <w:sz w:val="24"/>
          <w:szCs w:val="24"/>
        </w:rPr>
        <w:t>8</w:t>
      </w:r>
      <w:r w:rsidRPr="0059180A">
        <w:rPr>
          <w:sz w:val="24"/>
          <w:szCs w:val="24"/>
        </w:rPr>
        <w:t>. Městská část Praha-Šeberov</w:t>
      </w:r>
    </w:p>
    <w:p w14:paraId="4E4C905F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A4B60CE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a) Vymezeným majetkem se rozumí:</w:t>
      </w:r>
    </w:p>
    <w:p w14:paraId="68CDA5EF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463BFA1" w14:textId="0B755150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kat. území</w:t>
      </w:r>
      <w:r w:rsidRPr="0059180A">
        <w:rPr>
          <w:sz w:val="24"/>
          <w:szCs w:val="24"/>
        </w:rPr>
        <w:tab/>
      </w:r>
      <w:proofErr w:type="spellStart"/>
      <w:r w:rsidRPr="0059180A">
        <w:rPr>
          <w:sz w:val="24"/>
          <w:szCs w:val="24"/>
        </w:rPr>
        <w:t>parc</w:t>
      </w:r>
      <w:proofErr w:type="spellEnd"/>
      <w:r w:rsidRPr="0059180A">
        <w:rPr>
          <w:sz w:val="24"/>
          <w:szCs w:val="24"/>
        </w:rPr>
        <w:t>.</w:t>
      </w:r>
      <w:r w:rsidR="00265925">
        <w:rPr>
          <w:sz w:val="24"/>
          <w:szCs w:val="24"/>
        </w:rPr>
        <w:t xml:space="preserve"> </w:t>
      </w:r>
      <w:r w:rsidRPr="0059180A">
        <w:rPr>
          <w:sz w:val="24"/>
          <w:szCs w:val="24"/>
        </w:rPr>
        <w:t>č</w:t>
      </w:r>
      <w:r w:rsidRPr="0059180A">
        <w:rPr>
          <w:sz w:val="24"/>
          <w:szCs w:val="24"/>
        </w:rPr>
        <w:tab/>
      </w:r>
      <w:r w:rsidR="00265925">
        <w:rPr>
          <w:sz w:val="24"/>
          <w:szCs w:val="24"/>
        </w:rPr>
        <w:t xml:space="preserve">                </w:t>
      </w:r>
      <w:r w:rsidRPr="0059180A">
        <w:rPr>
          <w:sz w:val="24"/>
          <w:szCs w:val="24"/>
        </w:rPr>
        <w:t>výměra (m</w:t>
      </w:r>
      <w:r w:rsidRPr="00265925">
        <w:rPr>
          <w:sz w:val="24"/>
          <w:szCs w:val="24"/>
          <w:vertAlign w:val="superscript"/>
        </w:rPr>
        <w:t>2</w:t>
      </w:r>
      <w:r w:rsidRPr="0059180A">
        <w:rPr>
          <w:sz w:val="24"/>
          <w:szCs w:val="24"/>
        </w:rPr>
        <w:t>)</w:t>
      </w:r>
      <w:r w:rsidRPr="0059180A">
        <w:rPr>
          <w:sz w:val="24"/>
          <w:szCs w:val="24"/>
        </w:rPr>
        <w:tab/>
      </w:r>
      <w:r w:rsidRPr="0059180A">
        <w:rPr>
          <w:sz w:val="24"/>
          <w:szCs w:val="24"/>
        </w:rPr>
        <w:tab/>
      </w:r>
    </w:p>
    <w:p w14:paraId="71BB5C5A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Šeberov</w:t>
      </w:r>
      <w:r w:rsidRPr="0059180A">
        <w:rPr>
          <w:sz w:val="24"/>
          <w:szCs w:val="24"/>
        </w:rPr>
        <w:tab/>
        <w:t>564/34</w:t>
      </w:r>
      <w:r w:rsidRPr="0059180A">
        <w:rPr>
          <w:sz w:val="24"/>
          <w:szCs w:val="24"/>
        </w:rPr>
        <w:tab/>
        <w:t>148537</w:t>
      </w:r>
      <w:r w:rsidRPr="0059180A">
        <w:rPr>
          <w:sz w:val="24"/>
          <w:szCs w:val="24"/>
        </w:rPr>
        <w:tab/>
      </w:r>
    </w:p>
    <w:p w14:paraId="3BD2D2DF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ab/>
      </w:r>
    </w:p>
    <w:p w14:paraId="21F07753" w14:textId="2A846D64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b) Městská část Praha-Šeberov není oprávněna pozemek uvedený pod písmenem a) převést na jinou fyzickou či právnickou osobu.</w:t>
      </w:r>
    </w:p>
    <w:p w14:paraId="211E7B7A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 xml:space="preserve"> </w:t>
      </w:r>
    </w:p>
    <w:p w14:paraId="2973C65F" w14:textId="169D0DEE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lastRenderedPageBreak/>
        <w:t>c) Městská část Praha-Šeberov není oprávněna navrhovat či požadovat dělení ani scelování pozemku uvedeného pod písmenem a), ani udělit souhlas s dělením nebo scelováním pozemku uvedeného pod</w:t>
      </w:r>
      <w:r w:rsidR="00265925">
        <w:rPr>
          <w:sz w:val="24"/>
          <w:szCs w:val="24"/>
        </w:rPr>
        <w:t> </w:t>
      </w:r>
      <w:r w:rsidRPr="0059180A">
        <w:rPr>
          <w:sz w:val="24"/>
          <w:szCs w:val="24"/>
        </w:rPr>
        <w:t>písmenem a) na základě podnětu orgánů státní správy.</w:t>
      </w:r>
    </w:p>
    <w:p w14:paraId="598DF630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62A7AD0" w14:textId="57E1180B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 xml:space="preserve">d) Městská část Praha-Šeberov je povinna využít pozemek uvedený pod písmenem a) za účelem vybudování a provozování tréninkového centra pro děti a mládež, které bude částečně přístupné veřejnosti a školám zřizovaným </w:t>
      </w:r>
      <w:r w:rsidR="00265925">
        <w:rPr>
          <w:sz w:val="24"/>
          <w:szCs w:val="24"/>
        </w:rPr>
        <w:t>hlavním městem</w:t>
      </w:r>
      <w:r w:rsidRPr="0059180A">
        <w:rPr>
          <w:sz w:val="24"/>
          <w:szCs w:val="24"/>
        </w:rPr>
        <w:t xml:space="preserve"> Prahou či městskými částmi, mají-li sídlo na území městské části Praha</w:t>
      </w:r>
      <w:r w:rsidR="00265925">
        <w:rPr>
          <w:sz w:val="24"/>
          <w:szCs w:val="24"/>
        </w:rPr>
        <w:t>-</w:t>
      </w:r>
      <w:r w:rsidRPr="0059180A">
        <w:rPr>
          <w:sz w:val="24"/>
          <w:szCs w:val="24"/>
        </w:rPr>
        <w:t>Šeberov, pro potřeby školních aktivit.</w:t>
      </w:r>
    </w:p>
    <w:p w14:paraId="16B63C35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8306B08" w14:textId="2FFAC4A2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e) Městská část Praha-Šeberov je povinna záměr výstavby tréninkového centra pro děti a mládež konzultovat v dalších fázích projektové přípravy s Institutem plánování a rozvoje hlavního města Prahy.</w:t>
      </w:r>
    </w:p>
    <w:p w14:paraId="24871170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6CB4AF01" w14:textId="608A1153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f) Městská část Praha</w:t>
      </w:r>
      <w:r w:rsidR="00265925">
        <w:rPr>
          <w:sz w:val="24"/>
          <w:szCs w:val="24"/>
        </w:rPr>
        <w:t>-</w:t>
      </w:r>
      <w:r w:rsidRPr="0059180A">
        <w:rPr>
          <w:sz w:val="24"/>
          <w:szCs w:val="24"/>
        </w:rPr>
        <w:t>Šeberov je povinna odvést hlavnímu městu Praze 50</w:t>
      </w:r>
      <w:r w:rsidR="00265925">
        <w:rPr>
          <w:sz w:val="24"/>
          <w:szCs w:val="24"/>
        </w:rPr>
        <w:t xml:space="preserve"> </w:t>
      </w:r>
      <w:r w:rsidRPr="0059180A">
        <w:rPr>
          <w:sz w:val="24"/>
          <w:szCs w:val="24"/>
        </w:rPr>
        <w:t>% z následné úplaty za</w:t>
      </w:r>
      <w:r w:rsidR="00265925">
        <w:rPr>
          <w:sz w:val="24"/>
          <w:szCs w:val="24"/>
        </w:rPr>
        <w:t> </w:t>
      </w:r>
      <w:r w:rsidRPr="0059180A">
        <w:rPr>
          <w:sz w:val="24"/>
          <w:szCs w:val="24"/>
        </w:rPr>
        <w:t>užívání pozemku pod písmenem a), a to vždy do 15 dnů od zaplacení úplaty druhou smluvní stranou.“.</w:t>
      </w:r>
    </w:p>
    <w:p w14:paraId="6AAAB7D7" w14:textId="77777777" w:rsidR="0059180A" w:rsidRP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2A54D1D" w14:textId="2B3EBB79" w:rsidR="0059180A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59180A">
        <w:rPr>
          <w:sz w:val="24"/>
          <w:szCs w:val="24"/>
        </w:rPr>
        <w:t>Dosavadní body 44</w:t>
      </w:r>
      <w:r w:rsidR="00265925">
        <w:rPr>
          <w:sz w:val="24"/>
          <w:szCs w:val="24"/>
        </w:rPr>
        <w:t>8</w:t>
      </w:r>
      <w:r w:rsidRPr="0059180A">
        <w:rPr>
          <w:sz w:val="24"/>
          <w:szCs w:val="24"/>
        </w:rPr>
        <w:t xml:space="preserve"> až 48</w:t>
      </w:r>
      <w:r w:rsidR="00265925">
        <w:rPr>
          <w:sz w:val="24"/>
          <w:szCs w:val="24"/>
        </w:rPr>
        <w:t>5</w:t>
      </w:r>
      <w:r w:rsidRPr="0059180A">
        <w:rPr>
          <w:sz w:val="24"/>
          <w:szCs w:val="24"/>
        </w:rPr>
        <w:t xml:space="preserve"> se označují jako body 44</w:t>
      </w:r>
      <w:r w:rsidR="00265925">
        <w:rPr>
          <w:sz w:val="24"/>
          <w:szCs w:val="24"/>
        </w:rPr>
        <w:t>9</w:t>
      </w:r>
      <w:r w:rsidRPr="0059180A">
        <w:rPr>
          <w:sz w:val="24"/>
          <w:szCs w:val="24"/>
        </w:rPr>
        <w:t xml:space="preserve"> až 48</w:t>
      </w:r>
      <w:r w:rsidR="00265925">
        <w:rPr>
          <w:sz w:val="24"/>
          <w:szCs w:val="24"/>
        </w:rPr>
        <w:t>6</w:t>
      </w:r>
      <w:r w:rsidRPr="0059180A">
        <w:rPr>
          <w:sz w:val="24"/>
          <w:szCs w:val="24"/>
        </w:rPr>
        <w:t>.</w:t>
      </w:r>
    </w:p>
    <w:p w14:paraId="3F23EEC5" w14:textId="77777777" w:rsidR="0059180A" w:rsidRPr="00220A41" w:rsidRDefault="0059180A" w:rsidP="0059180A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4B9BBF69" w14:textId="77777777" w:rsidR="00930DCE" w:rsidRDefault="00930DCE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50FB1685" w:rsidR="00B04E31" w:rsidRPr="00220A41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II</w:t>
      </w:r>
    </w:p>
    <w:p w14:paraId="3A43787B" w14:textId="77777777" w:rsidR="00B04E31" w:rsidRPr="00220A41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0065965" w:rsidR="00B04E31" w:rsidRPr="00220A41" w:rsidRDefault="00B04E31" w:rsidP="00F01ACD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Tato vyhláška nabývá účinnosti dnem </w:t>
      </w:r>
      <w:r w:rsidR="00646D4D" w:rsidRPr="00220A41">
        <w:rPr>
          <w:sz w:val="24"/>
          <w:szCs w:val="24"/>
        </w:rPr>
        <w:t xml:space="preserve">1. </w:t>
      </w:r>
      <w:r w:rsidR="00123BBF">
        <w:rPr>
          <w:sz w:val="24"/>
          <w:szCs w:val="24"/>
        </w:rPr>
        <w:t>února 2024</w:t>
      </w:r>
      <w:r w:rsidRPr="00220A41">
        <w:rPr>
          <w:sz w:val="24"/>
          <w:szCs w:val="24"/>
        </w:rPr>
        <w:t>.</w:t>
      </w:r>
    </w:p>
    <w:p w14:paraId="3132412E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220A41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220A41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220A41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Doc. MUDr. Bohuslav Svoboda, CSc. v. r.</w:t>
      </w:r>
    </w:p>
    <w:p w14:paraId="353AB585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primátor hlavního města Prahy</w:t>
      </w:r>
    </w:p>
    <w:p w14:paraId="28527D2B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I. náměstek primátora hlavního města Prahy </w:t>
      </w:r>
    </w:p>
    <w:sectPr w:rsidR="00DD0F1F" w:rsidRPr="00220A41" w:rsidSect="00C971BF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2911</Words>
  <Characters>14795</Characters>
  <Application>Microsoft Office Word</Application>
  <DocSecurity>0</DocSecurity>
  <Lines>123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6</cp:revision>
  <cp:lastPrinted>2022-05-30T07:03:00Z</cp:lastPrinted>
  <dcterms:created xsi:type="dcterms:W3CDTF">2023-12-18T14:59:00Z</dcterms:created>
  <dcterms:modified xsi:type="dcterms:W3CDTF">2023-12-18T15:30:00Z</dcterms:modified>
</cp:coreProperties>
</file>