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A4E6" w14:textId="77777777" w:rsidR="00AD732B" w:rsidRDefault="00D528A9">
      <w:pPr>
        <w:pStyle w:val="Standard"/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BE5448" wp14:editId="16B447FE">
            <wp:simplePos x="0" y="0"/>
            <wp:positionH relativeFrom="column">
              <wp:posOffset>-202680</wp:posOffset>
            </wp:positionH>
            <wp:positionV relativeFrom="paragraph">
              <wp:posOffset>-473040</wp:posOffset>
            </wp:positionV>
            <wp:extent cx="1233720" cy="1232640"/>
            <wp:effectExtent l="0" t="0" r="4530" b="5610"/>
            <wp:wrapNone/>
            <wp:docPr id="325964132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720" cy="1232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OBEC Dolní Lhota</w:t>
      </w:r>
    </w:p>
    <w:p w14:paraId="191EEEB0" w14:textId="77777777" w:rsidR="00AD732B" w:rsidRDefault="00D528A9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Zastupitelstvo obce Dolní Lhota</w:t>
      </w:r>
    </w:p>
    <w:p w14:paraId="52B79567" w14:textId="77777777" w:rsidR="00AD732B" w:rsidRDefault="00AD732B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14:paraId="67EB647C" w14:textId="77777777" w:rsidR="00AD732B" w:rsidRDefault="00D528A9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Obecně závazná vyhláška obce Dolní Lhota</w:t>
      </w:r>
    </w:p>
    <w:p w14:paraId="4C7AE19B" w14:textId="77777777" w:rsidR="00AD732B" w:rsidRDefault="00D528A9">
      <w:pPr>
        <w:pStyle w:val="NormlnIMP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212DDB1E" w14:textId="77777777" w:rsidR="00AD732B" w:rsidRDefault="00AD732B">
      <w:pPr>
        <w:pStyle w:val="Standard"/>
      </w:pPr>
    </w:p>
    <w:p w14:paraId="773BBF46" w14:textId="737A9564" w:rsidR="00AD732B" w:rsidRDefault="00D528A9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obce Dolní Lhota se na svém zasedání dne 02. března 2026 usnesením č. </w:t>
      </w:r>
      <w:r w:rsidR="00071167">
        <w:rPr>
          <w:rFonts w:ascii="Arial" w:hAnsi="Arial" w:cs="Arial"/>
          <w:sz w:val="22"/>
          <w:szCs w:val="22"/>
        </w:rPr>
        <w:t>171/3/2026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4A25D52B" w14:textId="77777777" w:rsidR="00AD732B" w:rsidRDefault="00AD732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286FAC76" w14:textId="77777777" w:rsidR="00AD732B" w:rsidRDefault="00D528A9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1</w:t>
      </w:r>
    </w:p>
    <w:p w14:paraId="5F37FC8A" w14:textId="77777777" w:rsidR="00AD732B" w:rsidRDefault="00D528A9">
      <w:pPr>
        <w:pStyle w:val="Nadpis2"/>
        <w:spacing w:before="0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14:paraId="01E01387" w14:textId="77777777" w:rsidR="00AD732B" w:rsidRDefault="00AD732B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59C9E9" w14:textId="77777777" w:rsidR="00AD732B" w:rsidRDefault="00D528A9">
      <w:pPr>
        <w:pStyle w:val="Standard"/>
        <w:numPr>
          <w:ilvl w:val="0"/>
          <w:numId w:val="24"/>
        </w:numPr>
        <w:jc w:val="both"/>
      </w:pPr>
      <w:r>
        <w:rPr>
          <w:rFonts w:ascii="Arial" w:hAnsi="Arial" w:cs="Times New Roman"/>
          <w:sz w:val="22"/>
        </w:rPr>
        <w:t>Tato vyhláška stanovuje obecní systém odpadového hospodářství na území obce Dolní Lhota.</w:t>
      </w:r>
    </w:p>
    <w:p w14:paraId="6BA39509" w14:textId="77777777" w:rsidR="00AD732B" w:rsidRDefault="00AD732B">
      <w:pPr>
        <w:pStyle w:val="Standard"/>
        <w:jc w:val="both"/>
        <w:rPr>
          <w:rFonts w:ascii="Arial" w:hAnsi="Arial" w:cs="Times New Roman"/>
          <w:sz w:val="22"/>
        </w:rPr>
      </w:pPr>
    </w:p>
    <w:p w14:paraId="7D995D3D" w14:textId="77777777" w:rsidR="00AD732B" w:rsidRDefault="00D528A9">
      <w:pPr>
        <w:pStyle w:val="Standard"/>
        <w:numPr>
          <w:ilvl w:val="0"/>
          <w:numId w:val="17"/>
        </w:numPr>
      </w:pPr>
      <w:r>
        <w:rPr>
          <w:rFonts w:ascii="Arial" w:hAnsi="Arial" w:cs="Times New Roman"/>
          <w:sz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Times New Roman"/>
          <w:sz w:val="22"/>
        </w:rPr>
        <w:footnoteReference w:id="1"/>
      </w:r>
      <w:r>
        <w:rPr>
          <w:rFonts w:ascii="Arial" w:hAnsi="Arial" w:cs="Times New Roman"/>
          <w:sz w:val="22"/>
        </w:rPr>
        <w:t>.</w:t>
      </w:r>
    </w:p>
    <w:p w14:paraId="7F9ADC20" w14:textId="77777777" w:rsidR="00AD732B" w:rsidRDefault="00AD732B">
      <w:pPr>
        <w:pStyle w:val="Standard"/>
        <w:jc w:val="both"/>
        <w:rPr>
          <w:rFonts w:ascii="Arial" w:hAnsi="Arial" w:cs="Times New Roman"/>
          <w:sz w:val="22"/>
        </w:rPr>
      </w:pPr>
    </w:p>
    <w:p w14:paraId="72FBB846" w14:textId="77777777" w:rsidR="00AD732B" w:rsidRDefault="00D528A9">
      <w:pPr>
        <w:pStyle w:val="Standard"/>
        <w:numPr>
          <w:ilvl w:val="0"/>
          <w:numId w:val="17"/>
        </w:numPr>
        <w:jc w:val="both"/>
      </w:pPr>
      <w:r>
        <w:rPr>
          <w:rFonts w:ascii="Arial" w:hAnsi="Arial" w:cs="Times New Roman"/>
          <w:sz w:val="22"/>
        </w:rPr>
        <w:t xml:space="preserve">V okamžiku, kdy osoba zapojená do obecního systému odloží movitou věc nebo odpad, </w:t>
      </w:r>
      <w:r>
        <w:rPr>
          <w:rFonts w:ascii="Arial" w:hAnsi="Arial" w:cs="Times New Roman"/>
          <w:sz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Times New Roman"/>
          <w:sz w:val="22"/>
        </w:rPr>
        <w:footnoteReference w:id="2"/>
      </w:r>
      <w:r>
        <w:rPr>
          <w:rFonts w:ascii="Arial" w:hAnsi="Arial" w:cs="Times New Roman"/>
          <w:sz w:val="22"/>
        </w:rPr>
        <w:t>.</w:t>
      </w:r>
    </w:p>
    <w:p w14:paraId="3DD950FD" w14:textId="77777777" w:rsidR="00AD732B" w:rsidRDefault="00AD732B">
      <w:pPr>
        <w:pStyle w:val="Standard"/>
        <w:jc w:val="both"/>
        <w:rPr>
          <w:rFonts w:ascii="Arial" w:hAnsi="Arial" w:cs="Times New Roman"/>
          <w:sz w:val="22"/>
        </w:rPr>
      </w:pPr>
    </w:p>
    <w:p w14:paraId="5504C19E" w14:textId="77777777" w:rsidR="00AD732B" w:rsidRDefault="00D528A9">
      <w:pPr>
        <w:pStyle w:val="Standard"/>
        <w:numPr>
          <w:ilvl w:val="0"/>
          <w:numId w:val="17"/>
        </w:numPr>
        <w:jc w:val="both"/>
      </w:pPr>
      <w:r>
        <w:rPr>
          <w:rFonts w:ascii="Arial" w:hAnsi="Arial" w:cs="Times New Roman"/>
          <w:sz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2849DB8" w14:textId="77777777" w:rsidR="00AD732B" w:rsidRDefault="00AD732B">
      <w:pPr>
        <w:pStyle w:val="Standard"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24A37516" w14:textId="77777777" w:rsidR="00AD732B" w:rsidRDefault="00AD732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2DCF8D48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14:paraId="0E6BD727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5A29BE65" w14:textId="77777777" w:rsidR="00AD732B" w:rsidRDefault="00AD732B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0E7A109F" w14:textId="77777777" w:rsidR="00AD732B" w:rsidRDefault="00D528A9">
      <w:pPr>
        <w:pStyle w:val="Standard"/>
        <w:numPr>
          <w:ilvl w:val="0"/>
          <w:numId w:val="25"/>
        </w:numPr>
        <w:jc w:val="both"/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BDC54C3" w14:textId="77777777" w:rsidR="00AD732B" w:rsidRDefault="00AD732B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14:paraId="4EACB519" w14:textId="77777777" w:rsidR="00AD732B" w:rsidRDefault="00D528A9">
      <w:pPr>
        <w:pStyle w:val="Odstavecseseznamem"/>
        <w:numPr>
          <w:ilvl w:val="0"/>
          <w:numId w:val="26"/>
        </w:numPr>
        <w:spacing w:after="0"/>
        <w:contextualSpacing w:val="0"/>
      </w:pPr>
      <w:r>
        <w:rPr>
          <w:rFonts w:ascii="Arial" w:hAnsi="Arial" w:cs="Arial"/>
          <w:bCs/>
          <w:i/>
          <w:color w:val="000000"/>
        </w:rPr>
        <w:t>Biologické odpady rostlinného původu</w:t>
      </w:r>
      <w:r>
        <w:rPr>
          <w:rFonts w:ascii="Arial" w:hAnsi="Arial" w:cs="Arial"/>
          <w:bCs/>
          <w:i/>
        </w:rPr>
        <w:t>,</w:t>
      </w:r>
    </w:p>
    <w:p w14:paraId="52AC6E73" w14:textId="77777777" w:rsidR="00AD732B" w:rsidRDefault="00D528A9">
      <w:pPr>
        <w:pStyle w:val="Odstavecseseznamem"/>
        <w:numPr>
          <w:ilvl w:val="0"/>
          <w:numId w:val="15"/>
        </w:numPr>
        <w:tabs>
          <w:tab w:val="left" w:pos="1221"/>
        </w:tabs>
        <w:spacing w:after="0"/>
        <w:contextualSpacing w:val="0"/>
      </w:pPr>
      <w:r>
        <w:rPr>
          <w:rFonts w:ascii="Arial" w:hAnsi="Arial" w:cs="Arial"/>
          <w:bCs/>
          <w:i/>
          <w:color w:val="000000"/>
        </w:rPr>
        <w:t>Papír,</w:t>
      </w:r>
    </w:p>
    <w:p w14:paraId="3C1620F9" w14:textId="77777777" w:rsidR="00AD732B" w:rsidRDefault="00D528A9">
      <w:pPr>
        <w:pStyle w:val="Odstavecseseznamem"/>
        <w:numPr>
          <w:ilvl w:val="0"/>
          <w:numId w:val="15"/>
        </w:numPr>
        <w:tabs>
          <w:tab w:val="left" w:pos="1221"/>
        </w:tabs>
        <w:spacing w:after="0"/>
        <w:contextualSpacing w:val="0"/>
      </w:pPr>
      <w:r>
        <w:rPr>
          <w:rFonts w:ascii="Arial" w:hAnsi="Arial" w:cs="Arial"/>
          <w:bCs/>
          <w:i/>
          <w:color w:val="000000"/>
        </w:rPr>
        <w:t>Plasty včetně PET lahví a nápojové kartony,</w:t>
      </w:r>
    </w:p>
    <w:p w14:paraId="37FBB937" w14:textId="77777777" w:rsidR="00AD732B" w:rsidRDefault="00D528A9">
      <w:pPr>
        <w:pStyle w:val="Odstavecseseznamem"/>
        <w:numPr>
          <w:ilvl w:val="0"/>
          <w:numId w:val="15"/>
        </w:numPr>
        <w:spacing w:after="0"/>
        <w:contextualSpacing w:val="0"/>
      </w:pPr>
      <w:r>
        <w:rPr>
          <w:rFonts w:ascii="Arial" w:hAnsi="Arial" w:cs="Arial"/>
          <w:bCs/>
          <w:i/>
          <w:color w:val="000000"/>
        </w:rPr>
        <w:t>Sklo bílé,</w:t>
      </w:r>
    </w:p>
    <w:p w14:paraId="4EFD34C4" w14:textId="77777777" w:rsidR="00AD732B" w:rsidRDefault="00D528A9">
      <w:pPr>
        <w:pStyle w:val="Odstavecseseznamem"/>
        <w:numPr>
          <w:ilvl w:val="0"/>
          <w:numId w:val="15"/>
        </w:numPr>
        <w:spacing w:after="0"/>
        <w:contextualSpacing w:val="0"/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62DE2F79" w14:textId="77777777" w:rsidR="00AD732B" w:rsidRDefault="00D528A9">
      <w:pPr>
        <w:pStyle w:val="Odstavecseseznamem"/>
        <w:numPr>
          <w:ilvl w:val="0"/>
          <w:numId w:val="15"/>
        </w:numPr>
        <w:spacing w:after="0"/>
        <w:contextualSpacing w:val="0"/>
      </w:pPr>
      <w:r>
        <w:rPr>
          <w:rFonts w:ascii="Arial" w:hAnsi="Arial" w:cs="Arial"/>
          <w:bCs/>
          <w:i/>
          <w:color w:val="000000"/>
        </w:rPr>
        <w:t>Kovy,</w:t>
      </w:r>
    </w:p>
    <w:p w14:paraId="00D020DC" w14:textId="77777777" w:rsidR="00AD732B" w:rsidRDefault="00D528A9">
      <w:pPr>
        <w:pStyle w:val="Standard"/>
        <w:numPr>
          <w:ilvl w:val="0"/>
          <w:numId w:val="15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B893A9D" w14:textId="77777777" w:rsidR="00AD732B" w:rsidRDefault="00D528A9">
      <w:pPr>
        <w:pStyle w:val="Standard"/>
        <w:numPr>
          <w:ilvl w:val="0"/>
          <w:numId w:val="15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9A76B2" w14:textId="77777777" w:rsidR="00AD732B" w:rsidRDefault="00D528A9">
      <w:pPr>
        <w:pStyle w:val="Standard"/>
        <w:numPr>
          <w:ilvl w:val="0"/>
          <w:numId w:val="15"/>
        </w:num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2C871EA" w14:textId="77777777" w:rsidR="00AD732B" w:rsidRDefault="00D528A9">
      <w:pPr>
        <w:pStyle w:val="Standard"/>
        <w:numPr>
          <w:ilvl w:val="0"/>
          <w:numId w:val="15"/>
        </w:num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EC70363" w14:textId="77777777" w:rsidR="00AD732B" w:rsidRDefault="00D528A9">
      <w:pPr>
        <w:pStyle w:val="Standard"/>
        <w:numPr>
          <w:ilvl w:val="0"/>
          <w:numId w:val="15"/>
        </w:num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53D9BD96" w14:textId="77777777" w:rsidR="00AD732B" w:rsidRDefault="00AD732B">
      <w:pPr>
        <w:pStyle w:val="Standard"/>
        <w:rPr>
          <w:rFonts w:ascii="Arial" w:hAnsi="Arial" w:cs="Arial"/>
          <w:i/>
          <w:sz w:val="22"/>
          <w:szCs w:val="22"/>
        </w:rPr>
      </w:pPr>
    </w:p>
    <w:p w14:paraId="634B0E6A" w14:textId="77777777" w:rsidR="00AD732B" w:rsidRDefault="00D528A9">
      <w:pPr>
        <w:pStyle w:val="Standard"/>
        <w:numPr>
          <w:ilvl w:val="0"/>
          <w:numId w:val="17"/>
        </w:numPr>
        <w:jc w:val="both"/>
      </w:pPr>
      <w:r>
        <w:rPr>
          <w:rFonts w:ascii="Arial" w:hAnsi="Arial" w:cs="Times New Roman"/>
          <w:sz w:val="22"/>
        </w:rPr>
        <w:lastRenderedPageBreak/>
        <w:t>Směsným komunálním odpadem se rozumí zbylý komunální odpad po stanoveném vytřídění podle odstavce 1 písm. a), b), c), d), e), f), g), h), i) a j).</w:t>
      </w:r>
    </w:p>
    <w:p w14:paraId="5174DA10" w14:textId="77777777" w:rsidR="00AD732B" w:rsidRDefault="00AD732B">
      <w:pPr>
        <w:pStyle w:val="Textbodyindent"/>
        <w:ind w:left="360"/>
        <w:rPr>
          <w:sz w:val="22"/>
          <w:szCs w:val="22"/>
        </w:rPr>
      </w:pPr>
    </w:p>
    <w:p w14:paraId="0ADE84B0" w14:textId="77777777" w:rsidR="00AD732B" w:rsidRDefault="00D528A9">
      <w:pPr>
        <w:pStyle w:val="Standard"/>
        <w:numPr>
          <w:ilvl w:val="0"/>
          <w:numId w:val="17"/>
        </w:numPr>
        <w:jc w:val="both"/>
      </w:pPr>
      <w:r>
        <w:rPr>
          <w:rFonts w:ascii="Arial" w:hAnsi="Arial" w:cs="Times New Roman"/>
          <w:sz w:val="22"/>
        </w:rPr>
        <w:t>Objemný odpad je takový odpad, který vzhledem ke svým rozměrům nemůže být umístěn do sběrných nádob.</w:t>
      </w:r>
    </w:p>
    <w:p w14:paraId="1595047E" w14:textId="77777777" w:rsidR="00AD732B" w:rsidRDefault="00AD732B">
      <w:pPr>
        <w:pStyle w:val="Standard"/>
        <w:jc w:val="center"/>
      </w:pPr>
    </w:p>
    <w:p w14:paraId="10DA243A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1BAC7F5E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39EF8C3" w14:textId="77777777" w:rsidR="00AD732B" w:rsidRDefault="00AD732B">
      <w:pPr>
        <w:pStyle w:val="Standard"/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BA32D9" w14:textId="2801B230" w:rsidR="00AD732B" w:rsidRDefault="00D528A9">
      <w:pPr>
        <w:pStyle w:val="Standard"/>
        <w:numPr>
          <w:ilvl w:val="0"/>
          <w:numId w:val="27"/>
        </w:numPr>
        <w:tabs>
          <w:tab w:val="left" w:pos="0"/>
          <w:tab w:val="left" w:pos="180"/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>Papír, plasty včetně PET lahví a nápojové kartony, sklo bílé a barevné</w:t>
      </w:r>
      <w:r w:rsidR="007B12B1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iCs/>
          <w:sz w:val="22"/>
          <w:szCs w:val="22"/>
        </w:rPr>
        <w:t>sběrné nádoby, plastové pytle a kontejnery.</w:t>
      </w:r>
    </w:p>
    <w:p w14:paraId="363D78CA" w14:textId="77777777" w:rsidR="00AD732B" w:rsidRDefault="00AD732B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14:paraId="6F4F9B92" w14:textId="77777777" w:rsidR="00AD732B" w:rsidRDefault="00D528A9">
      <w:pPr>
        <w:pStyle w:val="NormlnIMP"/>
        <w:numPr>
          <w:ilvl w:val="0"/>
          <w:numId w:val="13"/>
        </w:numPr>
        <w:tabs>
          <w:tab w:val="left" w:pos="360"/>
          <w:tab w:val="left" w:pos="540"/>
          <w:tab w:val="left" w:pos="927"/>
        </w:tabs>
        <w:ind w:left="0" w:firstLine="0"/>
        <w:textAlignment w:val="auto"/>
      </w:pPr>
      <w:r>
        <w:rPr>
          <w:rFonts w:ascii="Arial" w:hAnsi="Arial" w:cs="Arial"/>
          <w:color w:val="000000"/>
          <w:sz w:val="22"/>
          <w:szCs w:val="22"/>
        </w:rPr>
        <w:t>Zvláštní sběrné nádoby jsou umístěny na těchto stanovištích:</w:t>
      </w:r>
    </w:p>
    <w:p w14:paraId="5C102719" w14:textId="77777777" w:rsidR="00AD732B" w:rsidRDefault="00D528A9">
      <w:pPr>
        <w:pStyle w:val="Normlnweb"/>
        <w:numPr>
          <w:ilvl w:val="0"/>
          <w:numId w:val="28"/>
        </w:numPr>
        <w:spacing w:before="0" w:after="0"/>
      </w:pPr>
      <w:r>
        <w:rPr>
          <w:rFonts w:ascii="Arial" w:hAnsi="Arial" w:cs="Arial"/>
          <w:color w:val="000000"/>
          <w:sz w:val="22"/>
          <w:szCs w:val="22"/>
        </w:rPr>
        <w:t>kontejnery na papír a plasty včetně PET lahví a nápojové kartony jsou umístěny na sběrném místě u č. p. 129, 179,</w:t>
      </w:r>
    </w:p>
    <w:p w14:paraId="72B8DC0C" w14:textId="77777777" w:rsidR="00AD732B" w:rsidRDefault="00D528A9">
      <w:pPr>
        <w:pStyle w:val="Normlnweb"/>
        <w:numPr>
          <w:ilvl w:val="0"/>
          <w:numId w:val="22"/>
        </w:numPr>
        <w:spacing w:before="0" w:after="0"/>
      </w:pPr>
      <w:r>
        <w:rPr>
          <w:rFonts w:ascii="Arial" w:hAnsi="Arial" w:cs="Arial"/>
          <w:color w:val="000000"/>
          <w:sz w:val="22"/>
          <w:szCs w:val="22"/>
        </w:rPr>
        <w:t>kontejnery na sklo bílé a barevné jsou umístěny na sběrném místě u č. p. 98, 129, 165.</w:t>
      </w:r>
    </w:p>
    <w:p w14:paraId="38DE9CC4" w14:textId="77777777" w:rsidR="00AD732B" w:rsidRDefault="00D528A9">
      <w:pPr>
        <w:pStyle w:val="Normlnweb"/>
        <w:numPr>
          <w:ilvl w:val="0"/>
          <w:numId w:val="22"/>
        </w:numPr>
        <w:spacing w:before="0" w:after="0"/>
      </w:pPr>
      <w:r>
        <w:rPr>
          <w:rFonts w:ascii="Arial" w:hAnsi="Arial" w:cs="Arial"/>
          <w:color w:val="000000"/>
          <w:sz w:val="22"/>
          <w:szCs w:val="22"/>
        </w:rPr>
        <w:t>kontejnery na textil jsou umístěny na sběrném místě u č. p. 129</w:t>
      </w:r>
    </w:p>
    <w:p w14:paraId="4F30CDF7" w14:textId="77777777" w:rsidR="00AD732B" w:rsidRDefault="00AD732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1E5A5081" w14:textId="77777777" w:rsidR="00AD732B" w:rsidRDefault="00D528A9">
      <w:pPr>
        <w:pStyle w:val="NormlnIMP"/>
        <w:numPr>
          <w:ilvl w:val="0"/>
          <w:numId w:val="13"/>
        </w:numPr>
        <w:tabs>
          <w:tab w:val="left" w:pos="360"/>
          <w:tab w:val="left" w:pos="540"/>
          <w:tab w:val="left" w:pos="927"/>
        </w:tabs>
        <w:ind w:left="0" w:firstLine="0"/>
        <w:textAlignment w:val="auto"/>
      </w:pPr>
      <w:r>
        <w:rPr>
          <w:rFonts w:ascii="Arial" w:hAnsi="Arial" w:cs="Times New Roman"/>
          <w:sz w:val="22"/>
        </w:rPr>
        <w:t>Zvláštní sběrné nádoby jsou barevně odlišeny a označeny příslušnými nápisy:</w:t>
      </w:r>
    </w:p>
    <w:p w14:paraId="09CF1B31" w14:textId="77777777" w:rsidR="00AD732B" w:rsidRDefault="00AD732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8C39C08" w14:textId="77777777" w:rsidR="00AD732B" w:rsidRDefault="00D528A9">
      <w:pPr>
        <w:pStyle w:val="Odstavecseseznamem"/>
        <w:numPr>
          <w:ilvl w:val="0"/>
          <w:numId w:val="18"/>
        </w:numPr>
        <w:spacing w:after="0"/>
        <w:contextualSpacing w:val="0"/>
      </w:pPr>
      <w:r>
        <w:rPr>
          <w:rFonts w:ascii="Arial" w:hAnsi="Arial" w:cs="Arial"/>
          <w:bCs/>
          <w:i/>
          <w:color w:val="000000"/>
        </w:rPr>
        <w:t>Papír, kontejner barva modrá, pytle barva modrá</w:t>
      </w:r>
    </w:p>
    <w:p w14:paraId="73459500" w14:textId="77777777" w:rsidR="00AD732B" w:rsidRDefault="00D528A9">
      <w:pPr>
        <w:pStyle w:val="Odstavecseseznamem"/>
        <w:numPr>
          <w:ilvl w:val="0"/>
          <w:numId w:val="18"/>
        </w:numPr>
        <w:spacing w:after="0"/>
        <w:contextualSpacing w:val="0"/>
      </w:pPr>
      <w:r>
        <w:rPr>
          <w:rFonts w:ascii="Arial" w:hAnsi="Arial" w:cs="Arial"/>
          <w:bCs/>
          <w:i/>
          <w:color w:val="000000"/>
        </w:rPr>
        <w:t>Plasty včetně PET lahví a nápojové kartony, kontejner barva žlutá, pytle barva žlutá</w:t>
      </w:r>
    </w:p>
    <w:p w14:paraId="4F7226BF" w14:textId="77777777" w:rsidR="00AD732B" w:rsidRDefault="00D528A9">
      <w:pPr>
        <w:pStyle w:val="Odstavecseseznamem"/>
        <w:numPr>
          <w:ilvl w:val="0"/>
          <w:numId w:val="18"/>
        </w:numPr>
        <w:spacing w:after="0"/>
        <w:contextualSpacing w:val="0"/>
      </w:pPr>
      <w:r>
        <w:rPr>
          <w:rFonts w:ascii="Arial" w:hAnsi="Arial" w:cs="Arial"/>
          <w:bCs/>
          <w:i/>
          <w:color w:val="000000"/>
        </w:rPr>
        <w:t>Sklo barevné, kontejner barva zelená,</w:t>
      </w:r>
    </w:p>
    <w:p w14:paraId="69455011" w14:textId="77777777" w:rsidR="00AD732B" w:rsidRDefault="00D528A9">
      <w:pPr>
        <w:pStyle w:val="Odstavecseseznamem"/>
        <w:numPr>
          <w:ilvl w:val="0"/>
          <w:numId w:val="18"/>
        </w:numPr>
        <w:spacing w:after="0"/>
        <w:contextualSpacing w:val="0"/>
      </w:pPr>
      <w:r>
        <w:rPr>
          <w:rFonts w:ascii="Arial" w:hAnsi="Arial" w:cs="Arial"/>
          <w:bCs/>
          <w:i/>
          <w:color w:val="000000"/>
        </w:rPr>
        <w:t>Sklo bílé, kontejner barva bílá,</w:t>
      </w:r>
    </w:p>
    <w:p w14:paraId="7627E7A8" w14:textId="77777777" w:rsidR="00AD732B" w:rsidRDefault="00D528A9">
      <w:pPr>
        <w:pStyle w:val="Standard"/>
        <w:numPr>
          <w:ilvl w:val="0"/>
          <w:numId w:val="18"/>
        </w:numPr>
      </w:pPr>
      <w:r>
        <w:rPr>
          <w:rFonts w:ascii="Arial" w:hAnsi="Arial" w:cs="Arial"/>
          <w:i/>
          <w:iCs/>
          <w:color w:val="000000"/>
          <w:sz w:val="22"/>
          <w:szCs w:val="22"/>
        </w:rPr>
        <w:t>Textil, kontejner barva bílá.</w:t>
      </w:r>
    </w:p>
    <w:p w14:paraId="73EF1097" w14:textId="77777777" w:rsidR="00AD732B" w:rsidRDefault="00AD732B">
      <w:pPr>
        <w:pStyle w:val="Standard"/>
        <w:rPr>
          <w:color w:val="000000"/>
        </w:rPr>
      </w:pPr>
    </w:p>
    <w:p w14:paraId="355C54BC" w14:textId="77777777" w:rsidR="00AD732B" w:rsidRDefault="00D528A9">
      <w:pPr>
        <w:pStyle w:val="Standard"/>
        <w:numPr>
          <w:ilvl w:val="0"/>
          <w:numId w:val="17"/>
        </w:numPr>
        <w:jc w:val="both"/>
      </w:pPr>
      <w:r>
        <w:rPr>
          <w:rFonts w:ascii="Arial" w:hAnsi="Arial" w:cs="Times New Roman"/>
          <w:sz w:val="22"/>
        </w:rPr>
        <w:t>Do zvláštních sběrných nádob je zakázáno ukládat jiné složky komunálních odpadů, než pro které jsou určeny.</w:t>
      </w:r>
    </w:p>
    <w:p w14:paraId="322B8F15" w14:textId="77777777" w:rsidR="00AD732B" w:rsidRDefault="00AD73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C1CE9DA" w14:textId="77777777" w:rsidR="00AD732B" w:rsidRDefault="00D528A9">
      <w:pPr>
        <w:pStyle w:val="Standard"/>
        <w:numPr>
          <w:ilvl w:val="0"/>
          <w:numId w:val="17"/>
        </w:numPr>
        <w:jc w:val="both"/>
      </w:pPr>
      <w:r>
        <w:rPr>
          <w:rFonts w:ascii="Arial" w:hAnsi="Arial" w:cs="Times New Roman"/>
          <w:sz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C442624" w14:textId="77777777" w:rsidR="00AD732B" w:rsidRDefault="00AD732B">
      <w:pPr>
        <w:pStyle w:val="Standard"/>
        <w:tabs>
          <w:tab w:val="left" w:pos="720"/>
        </w:tabs>
        <w:ind w:left="360"/>
        <w:jc w:val="both"/>
      </w:pPr>
    </w:p>
    <w:p w14:paraId="2D77F3AB" w14:textId="77777777" w:rsidR="00AD732B" w:rsidRDefault="00D528A9">
      <w:pPr>
        <w:pStyle w:val="Standard"/>
        <w:numPr>
          <w:ilvl w:val="0"/>
          <w:numId w:val="17"/>
        </w:numPr>
        <w:jc w:val="both"/>
      </w:pPr>
      <w:r>
        <w:rPr>
          <w:rFonts w:ascii="Arial" w:hAnsi="Arial" w:cs="Times New Roman"/>
          <w:sz w:val="22"/>
        </w:rPr>
        <w:t>Papír a plasty včetně PET lahví a nápojové kartony lze soustřeďovat do plastových pytlů, které jsou k dispozici na obecním úřadě. Pytle se sváží ve stanovenou dobu přímo od jednotlivých nemovitostí. Harmonogram svozu je zveřejněn na webových stránkách obce.</w:t>
      </w:r>
    </w:p>
    <w:p w14:paraId="6DCBB0A0" w14:textId="77777777" w:rsidR="00AD732B" w:rsidRDefault="00AD732B">
      <w:pPr>
        <w:pStyle w:val="Default"/>
        <w:ind w:left="360"/>
      </w:pPr>
    </w:p>
    <w:p w14:paraId="3A43CB3C" w14:textId="182A85D7" w:rsidR="00AD732B" w:rsidRDefault="007B12B1">
      <w:pPr>
        <w:pStyle w:val="Standard"/>
        <w:numPr>
          <w:ilvl w:val="0"/>
          <w:numId w:val="17"/>
        </w:numPr>
        <w:jc w:val="both"/>
      </w:pPr>
      <w:r>
        <w:rPr>
          <w:rFonts w:ascii="Arial" w:hAnsi="Arial" w:cs="Times New Roman"/>
          <w:sz w:val="22"/>
        </w:rPr>
        <w:t>J</w:t>
      </w:r>
      <w:r w:rsidR="00D528A9">
        <w:rPr>
          <w:rFonts w:ascii="Arial" w:hAnsi="Arial" w:cs="Times New Roman"/>
          <w:sz w:val="22"/>
        </w:rPr>
        <w:t>edlé oleje a tuky, kovy a biologický odpad rostlinného původu lze odevzdávat ve sběrném dvoře, který je umístěn u č. p. 156</w:t>
      </w:r>
      <w:r>
        <w:rPr>
          <w:rFonts w:ascii="Arial" w:hAnsi="Arial" w:cs="Times New Roman"/>
          <w:sz w:val="22"/>
        </w:rPr>
        <w:t>, kde lze také odevzdávat papír, plasty včetně PET lahví a nápojové kartony, sklo bílé a barevné a textil.</w:t>
      </w:r>
    </w:p>
    <w:p w14:paraId="55D87FDB" w14:textId="77777777" w:rsidR="00AD732B" w:rsidRDefault="00AD732B">
      <w:pPr>
        <w:pStyle w:val="Default"/>
        <w:ind w:left="360"/>
      </w:pPr>
    </w:p>
    <w:p w14:paraId="6DADE433" w14:textId="77777777" w:rsidR="00AD732B" w:rsidRDefault="00D528A9">
      <w:pPr>
        <w:pStyle w:val="Nadpis2"/>
        <w:spacing w:before="303"/>
      </w:pPr>
      <w:r>
        <w:rPr>
          <w:sz w:val="22"/>
          <w:szCs w:val="22"/>
        </w:rPr>
        <w:t>Čl. 4</w:t>
      </w:r>
    </w:p>
    <w:p w14:paraId="43186B18" w14:textId="6CF7612F" w:rsidR="00AD732B" w:rsidRDefault="00D528A9">
      <w:pPr>
        <w:pStyle w:val="Nadpis2"/>
        <w:spacing w:before="0"/>
      </w:pPr>
      <w:r>
        <w:rPr>
          <w:sz w:val="22"/>
          <w:szCs w:val="22"/>
        </w:rPr>
        <w:t xml:space="preserve"> Svoz </w:t>
      </w:r>
      <w:r w:rsidR="003B25FA">
        <w:rPr>
          <w:sz w:val="22"/>
          <w:szCs w:val="22"/>
        </w:rPr>
        <w:t xml:space="preserve">a soustřeďování </w:t>
      </w:r>
      <w:r>
        <w:rPr>
          <w:sz w:val="22"/>
          <w:szCs w:val="22"/>
        </w:rPr>
        <w:t>nebezpečných složek komunálního odpadu</w:t>
      </w:r>
    </w:p>
    <w:p w14:paraId="1AD14738" w14:textId="77777777" w:rsidR="00AD732B" w:rsidRDefault="00AD732B">
      <w:pPr>
        <w:pStyle w:val="Standard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9A5FE77" w14:textId="77777777" w:rsidR="00AD732B" w:rsidRDefault="00D528A9">
      <w:pPr>
        <w:pStyle w:val="Standard"/>
        <w:numPr>
          <w:ilvl w:val="0"/>
          <w:numId w:val="30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infokanále obce, na webových stránkách obce a v mobilní aplikaci V obraze.</w:t>
      </w:r>
    </w:p>
    <w:p w14:paraId="2020143E" w14:textId="77777777" w:rsidR="00AD732B" w:rsidRDefault="00AD732B">
      <w:pPr>
        <w:pStyle w:val="Standard"/>
        <w:rPr>
          <w:rFonts w:ascii="Arial" w:hAnsi="Arial" w:cs="Arial"/>
          <w:sz w:val="22"/>
          <w:szCs w:val="22"/>
        </w:rPr>
      </w:pPr>
    </w:p>
    <w:p w14:paraId="09B54F6A" w14:textId="77777777" w:rsidR="00AD732B" w:rsidRDefault="00D528A9">
      <w:pPr>
        <w:pStyle w:val="Standard"/>
        <w:numPr>
          <w:ilvl w:val="0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>Nebezpečný odpad lze také odevzdávat ve sběrném dvoře, který je umístěn u č. p. 156.</w:t>
      </w:r>
    </w:p>
    <w:p w14:paraId="0BB45487" w14:textId="77777777" w:rsidR="00AD732B" w:rsidRDefault="00AD732B">
      <w:pPr>
        <w:pStyle w:val="Standard"/>
        <w:ind w:left="360"/>
        <w:jc w:val="both"/>
        <w:rPr>
          <w:rFonts w:ascii="Arial" w:hAnsi="Arial" w:cs="Arial"/>
          <w:sz w:val="22"/>
          <w:szCs w:val="22"/>
        </w:rPr>
      </w:pPr>
    </w:p>
    <w:p w14:paraId="201B694E" w14:textId="77777777" w:rsidR="00AD732B" w:rsidRDefault="00D528A9">
      <w:pPr>
        <w:pStyle w:val="Standard"/>
        <w:numPr>
          <w:ilvl w:val="0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56A399E5" w14:textId="77777777" w:rsidR="00AD732B" w:rsidRDefault="00AD732B">
      <w:pPr>
        <w:pStyle w:val="Standard"/>
        <w:rPr>
          <w:rFonts w:ascii="Arial" w:hAnsi="Arial" w:cs="Arial"/>
          <w:b/>
          <w:sz w:val="22"/>
          <w:szCs w:val="22"/>
        </w:rPr>
      </w:pPr>
    </w:p>
    <w:p w14:paraId="5D53C7BF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5</w:t>
      </w:r>
    </w:p>
    <w:p w14:paraId="7222D741" w14:textId="3764C483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 xml:space="preserve"> Svoz </w:t>
      </w:r>
      <w:r w:rsidR="003B25FA">
        <w:rPr>
          <w:rFonts w:ascii="Arial" w:hAnsi="Arial" w:cs="Arial"/>
          <w:b/>
          <w:sz w:val="22"/>
          <w:szCs w:val="22"/>
        </w:rPr>
        <w:t xml:space="preserve">a soustřeďování </w:t>
      </w:r>
      <w:r>
        <w:rPr>
          <w:rFonts w:ascii="Arial" w:hAnsi="Arial" w:cs="Arial"/>
          <w:b/>
          <w:sz w:val="22"/>
          <w:szCs w:val="22"/>
        </w:rPr>
        <w:t>objemného odpadu</w:t>
      </w:r>
    </w:p>
    <w:p w14:paraId="3DA8D5E5" w14:textId="77777777" w:rsidR="00AD732B" w:rsidRDefault="00AD732B">
      <w:pPr>
        <w:pStyle w:val="Standard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2280A5" w14:textId="77777777" w:rsidR="00AD732B" w:rsidRDefault="00D528A9">
      <w:pPr>
        <w:pStyle w:val="Standard"/>
        <w:numPr>
          <w:ilvl w:val="0"/>
          <w:numId w:val="31"/>
        </w:numPr>
        <w:tabs>
          <w:tab w:val="left" w:pos="0"/>
        </w:tabs>
        <w:jc w:val="both"/>
      </w:pPr>
      <w:r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infokanále obce, na webových stránkách obce a v mobilní aplikaci V obraze.</w:t>
      </w:r>
    </w:p>
    <w:p w14:paraId="73ADF43C" w14:textId="77777777" w:rsidR="00AD732B" w:rsidRDefault="00AD732B">
      <w:pPr>
        <w:pStyle w:val="Standard"/>
        <w:jc w:val="both"/>
        <w:rPr>
          <w:rFonts w:ascii="Arial" w:hAnsi="Arial" w:cs="Arial"/>
          <w:i/>
          <w:iCs/>
          <w:sz w:val="22"/>
          <w:szCs w:val="22"/>
        </w:rPr>
      </w:pPr>
    </w:p>
    <w:p w14:paraId="737F87C5" w14:textId="77777777" w:rsidR="00AD732B" w:rsidRDefault="00D528A9">
      <w:pPr>
        <w:pStyle w:val="Standard"/>
        <w:numPr>
          <w:ilvl w:val="0"/>
          <w:numId w:val="14"/>
        </w:numPr>
        <w:tabs>
          <w:tab w:val="left" w:pos="0"/>
        </w:tabs>
        <w:jc w:val="both"/>
      </w:pPr>
      <w:r>
        <w:rPr>
          <w:rFonts w:ascii="Arial" w:hAnsi="Arial" w:cs="Arial"/>
          <w:sz w:val="22"/>
          <w:szCs w:val="22"/>
        </w:rPr>
        <w:t>Objemný odpad lze také odevzdávat ve sběrném dvoře, který je umístěn u č. p. 156.</w:t>
      </w:r>
    </w:p>
    <w:p w14:paraId="7E889902" w14:textId="77777777" w:rsidR="00AD732B" w:rsidRDefault="00AD732B">
      <w:pPr>
        <w:pStyle w:val="NormlnIMP"/>
        <w:textAlignment w:val="auto"/>
        <w:rPr>
          <w:rFonts w:ascii="Arial" w:hAnsi="Arial" w:cs="Arial"/>
          <w:sz w:val="22"/>
          <w:szCs w:val="22"/>
        </w:rPr>
      </w:pPr>
    </w:p>
    <w:p w14:paraId="5962D916" w14:textId="77777777" w:rsidR="00AD732B" w:rsidRDefault="00D528A9">
      <w:pPr>
        <w:pStyle w:val="Standard"/>
        <w:numPr>
          <w:ilvl w:val="0"/>
          <w:numId w:val="14"/>
        </w:numPr>
        <w:tabs>
          <w:tab w:val="left" w:pos="360"/>
          <w:tab w:val="left" w:pos="567"/>
        </w:tabs>
        <w:ind w:left="0" w:firstLine="0"/>
        <w:jc w:val="both"/>
      </w:pPr>
      <w:r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14:paraId="402F0878" w14:textId="77777777" w:rsidR="00AD732B" w:rsidRDefault="00AD732B">
      <w:pPr>
        <w:pStyle w:val="Standard"/>
        <w:rPr>
          <w:rFonts w:ascii="Arial" w:hAnsi="Arial" w:cs="Arial"/>
          <w:b/>
          <w:sz w:val="22"/>
          <w:szCs w:val="22"/>
        </w:rPr>
      </w:pPr>
    </w:p>
    <w:p w14:paraId="6764B783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14:paraId="1DE10737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5CDE8EAA" w14:textId="77777777" w:rsidR="00AD732B" w:rsidRDefault="00AD732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6113E6BF" w14:textId="77777777" w:rsidR="00AD732B" w:rsidRDefault="00D528A9">
      <w:pPr>
        <w:pStyle w:val="Standard"/>
        <w:numPr>
          <w:ilvl w:val="0"/>
          <w:numId w:val="32"/>
        </w:numPr>
        <w:tabs>
          <w:tab w:val="left" w:pos="0"/>
        </w:tabs>
        <w:jc w:val="both"/>
      </w:pPr>
      <w:r>
        <w:rPr>
          <w:rFonts w:ascii="Arial" w:hAnsi="Arial" w:cs="Times New Roman"/>
          <w:sz w:val="22"/>
        </w:rPr>
        <w:t>Směsný komunální odpad se odkládá do sběrných nádob. Pro účely této vyhlášky se sběrnými nádobami rozumějí:</w:t>
      </w:r>
    </w:p>
    <w:p w14:paraId="5388292B" w14:textId="77777777" w:rsidR="00AD732B" w:rsidRDefault="00D528A9">
      <w:pPr>
        <w:pStyle w:val="Odstavecseseznamem"/>
        <w:numPr>
          <w:ilvl w:val="0"/>
          <w:numId w:val="33"/>
        </w:numPr>
        <w:spacing w:after="0"/>
        <w:contextualSpacing w:val="0"/>
      </w:pPr>
      <w:r>
        <w:rPr>
          <w:rFonts w:ascii="Arial" w:hAnsi="Arial" w:cs="Arial"/>
          <w:i/>
          <w:color w:val="000000"/>
        </w:rPr>
        <w:t>popelnice o objemu 110 l a 240 l, umístěné u jednotlivých nemovitých věcí a provozoven,</w:t>
      </w:r>
    </w:p>
    <w:p w14:paraId="29A03329" w14:textId="77777777" w:rsidR="00AD732B" w:rsidRDefault="00D528A9">
      <w:pPr>
        <w:pStyle w:val="Odstavecseseznamem"/>
        <w:numPr>
          <w:ilvl w:val="0"/>
          <w:numId w:val="18"/>
        </w:numPr>
        <w:spacing w:after="0"/>
        <w:contextualSpacing w:val="0"/>
      </w:pPr>
      <w:r>
        <w:rPr>
          <w:rFonts w:ascii="Arial" w:hAnsi="Arial" w:cs="Arial"/>
          <w:i/>
          <w:color w:val="000000"/>
        </w:rPr>
        <w:t>igelitové pytle,</w:t>
      </w:r>
    </w:p>
    <w:p w14:paraId="01D76BE3" w14:textId="77777777" w:rsidR="00AD732B" w:rsidRDefault="00D528A9">
      <w:pPr>
        <w:pStyle w:val="Odstavecseseznamem"/>
        <w:numPr>
          <w:ilvl w:val="0"/>
          <w:numId w:val="18"/>
        </w:numPr>
        <w:spacing w:after="0"/>
        <w:contextualSpacing w:val="0"/>
      </w:pPr>
      <w:r>
        <w:rPr>
          <w:rFonts w:ascii="Arial" w:hAnsi="Arial" w:cs="Arial"/>
          <w:i/>
          <w:color w:val="000000"/>
        </w:rPr>
        <w:t>velkoobjemové kontejnery umístěné na sběrném místě obecního dvoru u č. p. 156 (parc. č. 339/3),</w:t>
      </w:r>
    </w:p>
    <w:p w14:paraId="40529B96" w14:textId="77777777" w:rsidR="00AD732B" w:rsidRDefault="00D528A9">
      <w:pPr>
        <w:pStyle w:val="Odstavecseseznamem"/>
        <w:numPr>
          <w:ilvl w:val="0"/>
          <w:numId w:val="18"/>
        </w:numPr>
        <w:spacing w:after="0"/>
        <w:contextualSpacing w:val="0"/>
      </w:pPr>
      <w:r>
        <w:rPr>
          <w:rFonts w:ascii="Arial" w:hAnsi="Arial" w:cs="Arial"/>
          <w:i/>
          <w:color w:val="000000"/>
        </w:rPr>
        <w:t>odpadkové koše, které jsou umístěny na veřejných prostranstvích v obci, sloužící pro odkládání drobného směsného komunálního odpadu.</w:t>
      </w:r>
    </w:p>
    <w:p w14:paraId="3C27A535" w14:textId="77777777" w:rsidR="00AD732B" w:rsidRDefault="00D528A9">
      <w:pPr>
        <w:pStyle w:val="Standard"/>
        <w:numPr>
          <w:ilvl w:val="0"/>
          <w:numId w:val="14"/>
        </w:numPr>
        <w:tabs>
          <w:tab w:val="left" w:pos="0"/>
        </w:tabs>
        <w:jc w:val="both"/>
      </w:pPr>
      <w:r>
        <w:rPr>
          <w:rFonts w:ascii="Arial" w:hAnsi="Arial" w:cs="Times New Roman"/>
          <w:sz w:val="22"/>
        </w:rPr>
        <w:t xml:space="preserve">Soustřeďování směsného komunálního odpadu podléhá požadavkům stanoveným </w:t>
      </w:r>
      <w:r>
        <w:rPr>
          <w:rFonts w:ascii="Arial" w:hAnsi="Arial" w:cs="Times New Roman"/>
          <w:sz w:val="22"/>
        </w:rPr>
        <w:br/>
        <w:t>v čl. 3 odst. 4 a 5.</w:t>
      </w:r>
    </w:p>
    <w:p w14:paraId="57F9B952" w14:textId="77777777" w:rsidR="00AD732B" w:rsidRDefault="00AD732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2475B2E" w14:textId="77777777" w:rsidR="00AD732B" w:rsidRDefault="00D528A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681A5C4" w14:textId="77777777" w:rsidR="00AD732B" w:rsidRDefault="00D528A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 komunálním odpadem vznikajícím na území obce při činnosti právnických a podnikajících fyzických osob</w:t>
      </w:r>
    </w:p>
    <w:p w14:paraId="56C11091" w14:textId="77777777" w:rsidR="00AD732B" w:rsidRDefault="00AD732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7A565A3" w14:textId="77777777" w:rsidR="00AD732B" w:rsidRDefault="00D528A9">
      <w:pPr>
        <w:pStyle w:val="Standard"/>
        <w:numPr>
          <w:ilvl w:val="0"/>
          <w:numId w:val="34"/>
        </w:numPr>
        <w:tabs>
          <w:tab w:val="left" w:pos="0"/>
        </w:tabs>
        <w:jc w:val="both"/>
      </w:pPr>
      <w:r>
        <w:rPr>
          <w:rFonts w:ascii="Arial" w:hAnsi="Arial" w:cs="Times New Roman"/>
          <w:sz w:val="22"/>
        </w:rPr>
        <w:t>Právnické a podnikající fyzické osoby zapojené do obecního systému na základě smlouvy s obcí komunální odpad dle čl. 2 odst. 1 písm. a), b), c), d), e), f) a i) předávají dle článku 3, komunální odpad dle čl. 2 odst. 1 písm. g) předávají dle článku 4, komunální odpad dle čl. 2 odst. 1 písm. h) předávají dle článku 5 a komunální odpad dle čl. 2 odst. 1 písm. j) odkládají do sběrných nádob, které jsou umístěny před jednotlivými provozovnami.</w:t>
      </w:r>
    </w:p>
    <w:p w14:paraId="2F390BB0" w14:textId="77777777" w:rsidR="00AD732B" w:rsidRDefault="00AD732B">
      <w:pPr>
        <w:pStyle w:val="Standard"/>
        <w:tabs>
          <w:tab w:val="left" w:pos="0"/>
        </w:tabs>
        <w:jc w:val="both"/>
      </w:pPr>
    </w:p>
    <w:p w14:paraId="3A8220E0" w14:textId="77777777" w:rsidR="00AD732B" w:rsidRDefault="00D528A9">
      <w:pPr>
        <w:pStyle w:val="Standard"/>
        <w:numPr>
          <w:ilvl w:val="0"/>
          <w:numId w:val="14"/>
        </w:numPr>
        <w:tabs>
          <w:tab w:val="left" w:pos="0"/>
        </w:tabs>
        <w:jc w:val="both"/>
      </w:pPr>
      <w:r>
        <w:rPr>
          <w:rFonts w:ascii="Arial" w:hAnsi="Arial" w:cs="Times New Roman"/>
          <w:sz w:val="22"/>
        </w:rPr>
        <w:t xml:space="preserve">Výše úhrady za zapojení do obecního systému se stanoví na základě ceníku schváleného zastupitelstvem obce zveřejněného na webových stránkách obce Dolní Lhota </w:t>
      </w:r>
      <w:hyperlink r:id="rId8" w:history="1">
        <w:r>
          <w:rPr>
            <w:rFonts w:ascii="Arial" w:hAnsi="Arial" w:cs="Times New Roman"/>
            <w:sz w:val="22"/>
          </w:rPr>
          <w:t>www.dolni-lhota.cz</w:t>
        </w:r>
      </w:hyperlink>
      <w:r>
        <w:rPr>
          <w:rFonts w:ascii="Arial" w:hAnsi="Arial" w:cs="Times New Roman"/>
          <w:sz w:val="22"/>
        </w:rPr>
        <w:t>.</w:t>
      </w:r>
    </w:p>
    <w:p w14:paraId="2D340539" w14:textId="77777777" w:rsidR="00AD732B" w:rsidRDefault="00AD732B">
      <w:pPr>
        <w:pStyle w:val="Standard"/>
        <w:tabs>
          <w:tab w:val="left" w:pos="0"/>
        </w:tabs>
        <w:jc w:val="both"/>
      </w:pPr>
    </w:p>
    <w:p w14:paraId="3FB91900" w14:textId="2E4DA2DA" w:rsidR="00AD732B" w:rsidRDefault="00D528A9">
      <w:pPr>
        <w:pStyle w:val="Standard"/>
        <w:numPr>
          <w:ilvl w:val="0"/>
          <w:numId w:val="14"/>
        </w:numPr>
        <w:tabs>
          <w:tab w:val="left" w:pos="0"/>
        </w:tabs>
        <w:jc w:val="both"/>
      </w:pPr>
      <w:r>
        <w:rPr>
          <w:rFonts w:ascii="Arial" w:hAnsi="Arial" w:cs="Times New Roman"/>
          <w:sz w:val="22"/>
        </w:rPr>
        <w:t>Úhrada se vybírá jednorázově</w:t>
      </w:r>
      <w:r w:rsidR="007B12B1">
        <w:rPr>
          <w:rFonts w:ascii="Arial" w:hAnsi="Arial" w:cs="Times New Roman"/>
          <w:sz w:val="22"/>
        </w:rPr>
        <w:t>,</w:t>
      </w:r>
      <w:r>
        <w:rPr>
          <w:rFonts w:ascii="Arial" w:hAnsi="Arial" w:cs="Times New Roman"/>
          <w:sz w:val="22"/>
        </w:rPr>
        <w:t xml:space="preserve"> a to převodem na bankovní účet obce Dolní Lhota.</w:t>
      </w:r>
    </w:p>
    <w:p w14:paraId="3B00DECE" w14:textId="77777777" w:rsidR="00AD732B" w:rsidRDefault="00AD732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2B705B74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8</w:t>
      </w:r>
    </w:p>
    <w:p w14:paraId="10714A15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Nakládání s výrobky s ukončenou životností v rámci služby pro výrobce</w:t>
      </w:r>
    </w:p>
    <w:p w14:paraId="6533D268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(zpětný odběr)</w:t>
      </w:r>
    </w:p>
    <w:p w14:paraId="101BC443" w14:textId="77777777" w:rsidR="00AD732B" w:rsidRDefault="00AD732B">
      <w:pPr>
        <w:pStyle w:val="Standard"/>
        <w:jc w:val="center"/>
      </w:pPr>
    </w:p>
    <w:p w14:paraId="14450813" w14:textId="77777777" w:rsidR="00AD732B" w:rsidRDefault="00D528A9">
      <w:pPr>
        <w:pStyle w:val="Standard"/>
        <w:numPr>
          <w:ilvl w:val="0"/>
          <w:numId w:val="35"/>
        </w:numPr>
        <w:tabs>
          <w:tab w:val="left" w:pos="0"/>
        </w:tabs>
        <w:jc w:val="both"/>
      </w:pPr>
      <w:r>
        <w:rPr>
          <w:rFonts w:ascii="Arial" w:hAnsi="Arial" w:cs="Times New Roman"/>
          <w:sz w:val="22"/>
        </w:rPr>
        <w:t xml:space="preserve">Obec v rámci služby pro výrobce nakládá s těmito výrobky s ukončenou životností:  </w:t>
      </w:r>
    </w:p>
    <w:p w14:paraId="37536A30" w14:textId="77777777" w:rsidR="00AD732B" w:rsidRDefault="00D528A9" w:rsidP="007B12B1">
      <w:pPr>
        <w:pStyle w:val="Odstavecseseznamem"/>
        <w:numPr>
          <w:ilvl w:val="0"/>
          <w:numId w:val="37"/>
        </w:numPr>
        <w:spacing w:after="0"/>
        <w:contextualSpacing w:val="0"/>
      </w:pPr>
      <w:r>
        <w:rPr>
          <w:rFonts w:ascii="Arial" w:hAnsi="Arial" w:cs="Arial"/>
          <w:i/>
          <w:color w:val="000000"/>
        </w:rPr>
        <w:t>elektrozařízení</w:t>
      </w:r>
    </w:p>
    <w:p w14:paraId="161D9080" w14:textId="77777777" w:rsidR="00AD732B" w:rsidRDefault="00D528A9" w:rsidP="007B12B1">
      <w:pPr>
        <w:pStyle w:val="Odstavecseseznamem"/>
        <w:numPr>
          <w:ilvl w:val="0"/>
          <w:numId w:val="37"/>
        </w:numPr>
        <w:spacing w:after="0"/>
        <w:contextualSpacing w:val="0"/>
      </w:pPr>
      <w:r>
        <w:rPr>
          <w:rFonts w:ascii="Arial" w:hAnsi="Arial" w:cs="Arial"/>
          <w:i/>
          <w:color w:val="000000"/>
        </w:rPr>
        <w:t>baterie a akumulátory</w:t>
      </w:r>
    </w:p>
    <w:p w14:paraId="073D48E8" w14:textId="77777777" w:rsidR="00AD732B" w:rsidRDefault="00D528A9">
      <w:pPr>
        <w:pStyle w:val="Standard"/>
      </w:pPr>
      <w:r>
        <w:rPr>
          <w:rFonts w:ascii="Arial" w:hAnsi="Arial" w:cs="Arial"/>
          <w:sz w:val="22"/>
          <w:szCs w:val="22"/>
        </w:rPr>
        <w:t xml:space="preserve">  </w:t>
      </w:r>
    </w:p>
    <w:p w14:paraId="5522ADEB" w14:textId="77777777" w:rsidR="00AD732B" w:rsidRDefault="00D528A9">
      <w:pPr>
        <w:pStyle w:val="Standard"/>
        <w:numPr>
          <w:ilvl w:val="0"/>
          <w:numId w:val="14"/>
        </w:numPr>
        <w:tabs>
          <w:tab w:val="left" w:pos="0"/>
        </w:tabs>
        <w:jc w:val="both"/>
      </w:pPr>
      <w:r>
        <w:rPr>
          <w:rFonts w:ascii="Arial" w:hAnsi="Arial" w:cs="Times New Roman"/>
          <w:sz w:val="22"/>
        </w:rPr>
        <w:t xml:space="preserve">Výrobky s ukončenou životností uvedené v odst. 1 lze předávat do označeného kontejneru, jehož přesné umístění je trvale zveřejněno a pravidelně aktualizováno na webových stránkách obce Dolní Lhota </w:t>
      </w:r>
      <w:r>
        <w:rPr>
          <w:rFonts w:ascii="Arial" w:hAnsi="Arial" w:cs="Times New Roman"/>
          <w:color w:val="000080"/>
          <w:sz w:val="22"/>
          <w:u w:val="single"/>
        </w:rPr>
        <w:t>www.dolni-lhota.cz</w:t>
      </w:r>
      <w:r>
        <w:rPr>
          <w:rFonts w:ascii="Arial" w:hAnsi="Arial" w:cs="Times New Roman"/>
          <w:sz w:val="22"/>
        </w:rPr>
        <w:t>.</w:t>
      </w:r>
    </w:p>
    <w:p w14:paraId="2E76EEB5" w14:textId="77777777" w:rsidR="00AD732B" w:rsidRDefault="00AD732B">
      <w:pPr>
        <w:pStyle w:val="Standard"/>
        <w:jc w:val="center"/>
      </w:pPr>
    </w:p>
    <w:p w14:paraId="23B06388" w14:textId="77777777" w:rsidR="00AD732B" w:rsidRDefault="00AD732B">
      <w:pPr>
        <w:pStyle w:val="Standard"/>
        <w:jc w:val="center"/>
      </w:pPr>
    </w:p>
    <w:p w14:paraId="40E720B6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9</w:t>
      </w:r>
    </w:p>
    <w:p w14:paraId="7DDECAD1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717B8EC" w14:textId="77777777" w:rsidR="00AD732B" w:rsidRDefault="00AD732B">
      <w:pPr>
        <w:pStyle w:val="Standard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1E1F76" w14:textId="60EC59DB" w:rsidR="00AD732B" w:rsidRDefault="00D528A9">
      <w:pPr>
        <w:pStyle w:val="Standard"/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B12B1">
        <w:rPr>
          <w:rFonts w:ascii="Arial" w:hAnsi="Arial" w:cs="Arial"/>
          <w:sz w:val="22"/>
          <w:szCs w:val="22"/>
        </w:rPr>
        <w:t xml:space="preserve">obce Dolní Lhota </w:t>
      </w:r>
      <w:r>
        <w:rPr>
          <w:rFonts w:ascii="Arial" w:hAnsi="Arial" w:cs="Arial"/>
          <w:sz w:val="22"/>
          <w:szCs w:val="22"/>
        </w:rPr>
        <w:t>č. 1/2024, o stanovení obecního systému odpadového hospodářství, ze dne 11. března 2024.</w:t>
      </w:r>
    </w:p>
    <w:p w14:paraId="62A9B0A8" w14:textId="77777777" w:rsidR="00AD732B" w:rsidRDefault="00AD732B">
      <w:pPr>
        <w:pStyle w:val="Standard"/>
        <w:spacing w:before="120" w:line="288" w:lineRule="auto"/>
        <w:jc w:val="both"/>
      </w:pPr>
    </w:p>
    <w:p w14:paraId="22EAFF1D" w14:textId="77777777" w:rsidR="00AD732B" w:rsidRDefault="00D528A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10</w:t>
      </w:r>
    </w:p>
    <w:p w14:paraId="2C49CC76" w14:textId="77777777" w:rsidR="00AD732B" w:rsidRDefault="00D528A9">
      <w:pPr>
        <w:pStyle w:val="Nzvylnk"/>
        <w:spacing w:before="0" w:after="0"/>
      </w:pPr>
      <w:r>
        <w:rPr>
          <w:rFonts w:ascii="Arial" w:hAnsi="Arial" w:cs="Arial"/>
          <w:sz w:val="22"/>
          <w:szCs w:val="22"/>
        </w:rPr>
        <w:t>Účinnost</w:t>
      </w:r>
    </w:p>
    <w:p w14:paraId="263584F0" w14:textId="77777777" w:rsidR="00AD732B" w:rsidRDefault="00AD732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6E39BC42" w14:textId="77777777" w:rsidR="00AD732B" w:rsidRDefault="00D528A9">
      <w:pPr>
        <w:pStyle w:val="Standard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7F81E59" w14:textId="77777777" w:rsidR="00AD732B" w:rsidRDefault="00AD732B">
      <w:pPr>
        <w:pStyle w:val="Standard"/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B1053D" w14:textId="77777777" w:rsidR="00AD732B" w:rsidRDefault="00AD732B">
      <w:pPr>
        <w:pStyle w:val="Standard"/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622C4E2" w14:textId="77777777" w:rsidR="00AD732B" w:rsidRDefault="00AD732B">
      <w:pPr>
        <w:pStyle w:val="Standard"/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EE7F622" w14:textId="77777777" w:rsidR="00AD732B" w:rsidRDefault="00AD732B">
      <w:pPr>
        <w:pStyle w:val="Standard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D732B" w14:paraId="5536BAF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DA3CA2" w14:textId="77777777" w:rsidR="00AD732B" w:rsidRDefault="00D528A9">
            <w:pPr>
              <w:pStyle w:val="PodpisovePole"/>
            </w:pPr>
            <w:r>
              <w:t>Jaroslav Masař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4FB3B" w14:textId="77777777" w:rsidR="00AD732B" w:rsidRDefault="00D528A9">
            <w:pPr>
              <w:pStyle w:val="PodpisovePole"/>
            </w:pPr>
            <w:r>
              <w:t>Mgr. Ivana Grácová v. r.</w:t>
            </w:r>
            <w:r>
              <w:br/>
              <w:t xml:space="preserve"> místostarostka</w:t>
            </w:r>
          </w:p>
        </w:tc>
      </w:tr>
      <w:bookmarkEnd w:id="0"/>
    </w:tbl>
    <w:p w14:paraId="2FAF2F82" w14:textId="77777777" w:rsidR="00AD732B" w:rsidRDefault="00AD732B">
      <w:pPr>
        <w:pStyle w:val="Standard"/>
      </w:pPr>
    </w:p>
    <w:sectPr w:rsidR="00AD732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2ED3" w14:textId="77777777" w:rsidR="000514B1" w:rsidRDefault="000514B1">
      <w:r>
        <w:separator/>
      </w:r>
    </w:p>
  </w:endnote>
  <w:endnote w:type="continuationSeparator" w:id="0">
    <w:p w14:paraId="63CD177C" w14:textId="77777777" w:rsidR="000514B1" w:rsidRDefault="0005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PingFang SC"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6A83" w14:textId="77777777" w:rsidR="000514B1" w:rsidRDefault="000514B1">
      <w:r>
        <w:rPr>
          <w:color w:val="000000"/>
        </w:rPr>
        <w:separator/>
      </w:r>
    </w:p>
  </w:footnote>
  <w:footnote w:type="continuationSeparator" w:id="0">
    <w:p w14:paraId="311A7E06" w14:textId="77777777" w:rsidR="000514B1" w:rsidRDefault="000514B1">
      <w:r>
        <w:continuationSeparator/>
      </w:r>
    </w:p>
  </w:footnote>
  <w:footnote w:id="1">
    <w:p w14:paraId="52F330FC" w14:textId="77777777" w:rsidR="00AD732B" w:rsidRDefault="00D528A9">
      <w:pPr>
        <w:pStyle w:val="Footnote"/>
      </w:pPr>
      <w:r>
        <w:rPr>
          <w:rStyle w:val="Znakapoznpodarou"/>
        </w:rPr>
        <w:footnoteRef/>
      </w:r>
      <w:r>
        <w:rPr>
          <w:sz w:val="20"/>
          <w:szCs w:val="20"/>
          <w:lang w:eastAsia="cs-CZ" w:bidi="ar-SA"/>
        </w:rPr>
        <w:t>§ 61 zákona o odpadech</w:t>
      </w:r>
    </w:p>
    <w:p w14:paraId="56AB0AEA" w14:textId="77777777" w:rsidR="00D528A9" w:rsidRDefault="00D528A9"/>
  </w:footnote>
  <w:footnote w:id="2">
    <w:p w14:paraId="7ACE84E7" w14:textId="77777777" w:rsidR="00AD732B" w:rsidRDefault="00D528A9">
      <w:pPr>
        <w:pStyle w:val="Footnote"/>
      </w:pPr>
      <w:r>
        <w:rPr>
          <w:rStyle w:val="Znakapoznpodarou"/>
        </w:rPr>
        <w:footnoteRef/>
      </w:r>
      <w:r>
        <w:rPr>
          <w:sz w:val="20"/>
          <w:szCs w:val="20"/>
          <w:lang w:eastAsia="cs-CZ" w:bidi="ar-SA"/>
        </w:rPr>
        <w:t>§ 60 zákona o odpadech</w:t>
      </w:r>
    </w:p>
    <w:p w14:paraId="5FCD8036" w14:textId="77777777" w:rsidR="00D528A9" w:rsidRDefault="00D528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018C"/>
    <w:multiLevelType w:val="multilevel"/>
    <w:tmpl w:val="27F676AC"/>
    <w:styleLink w:val="WWNum5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C36537"/>
    <w:multiLevelType w:val="multilevel"/>
    <w:tmpl w:val="99665582"/>
    <w:styleLink w:val="WWNum1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F32F84"/>
    <w:multiLevelType w:val="multilevel"/>
    <w:tmpl w:val="20E68D0E"/>
    <w:styleLink w:val="WWNum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8B00553"/>
    <w:multiLevelType w:val="multilevel"/>
    <w:tmpl w:val="CEC63D32"/>
    <w:styleLink w:val="WWNum9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i w:val="0"/>
        <w:i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85669"/>
    <w:multiLevelType w:val="multilevel"/>
    <w:tmpl w:val="8FB45C6E"/>
    <w:styleLink w:val="WWNum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4200B6"/>
    <w:multiLevelType w:val="multilevel"/>
    <w:tmpl w:val="D3C8574E"/>
    <w:styleLink w:val="WWNum1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1D4B41"/>
    <w:multiLevelType w:val="multilevel"/>
    <w:tmpl w:val="9530EE94"/>
    <w:styleLink w:val="WWNum10"/>
    <w:lvl w:ilvl="0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2195A80"/>
    <w:multiLevelType w:val="multilevel"/>
    <w:tmpl w:val="62828C34"/>
    <w:styleLink w:val="WWNum6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A75AE"/>
    <w:multiLevelType w:val="multilevel"/>
    <w:tmpl w:val="AD148BEC"/>
    <w:styleLink w:val="WWNum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6D97B27"/>
    <w:multiLevelType w:val="multilevel"/>
    <w:tmpl w:val="CEECF342"/>
    <w:styleLink w:val="WWNum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AE135B5"/>
    <w:multiLevelType w:val="multilevel"/>
    <w:tmpl w:val="50FEA434"/>
    <w:styleLink w:val="WWNum4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D31502B"/>
    <w:multiLevelType w:val="multilevel"/>
    <w:tmpl w:val="B08A41A4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FC71BA"/>
    <w:multiLevelType w:val="multilevel"/>
    <w:tmpl w:val="89DE8BC6"/>
    <w:styleLink w:val="WWNum10a"/>
    <w:lvl w:ilvl="0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465A2A9A"/>
    <w:multiLevelType w:val="multilevel"/>
    <w:tmpl w:val="2FBEEFFE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AF97725"/>
    <w:multiLevelType w:val="multilevel"/>
    <w:tmpl w:val="0E0C2522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547A75"/>
    <w:multiLevelType w:val="multilevel"/>
    <w:tmpl w:val="4DD8EFDE"/>
    <w:styleLink w:val="WWNum2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D8F7976"/>
    <w:multiLevelType w:val="multilevel"/>
    <w:tmpl w:val="02FA9F8A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CF4917"/>
    <w:multiLevelType w:val="multilevel"/>
    <w:tmpl w:val="92A4410A"/>
    <w:styleLink w:val="WWNum3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618D30E3"/>
    <w:multiLevelType w:val="multilevel"/>
    <w:tmpl w:val="79E0FBAE"/>
    <w:styleLink w:val="WWNum11a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3C796D"/>
    <w:multiLevelType w:val="multilevel"/>
    <w:tmpl w:val="17AA2AE2"/>
    <w:styleLink w:val="Numberingabc"/>
    <w:lvl w:ilvl="0">
      <w:start w:val="1"/>
      <w:numFmt w:val="lowerLetter"/>
      <w:lvlText w:val="%1."/>
      <w:lvlJc w:val="left"/>
      <w:pPr>
        <w:ind w:left="754" w:hanging="397"/>
      </w:pPr>
    </w:lvl>
    <w:lvl w:ilvl="1">
      <w:start w:val="1"/>
      <w:numFmt w:val="lowerLetter"/>
      <w:lvlText w:val="%2)"/>
      <w:lvlJc w:val="left"/>
      <w:pPr>
        <w:ind w:left="1151" w:hanging="397"/>
      </w:pPr>
    </w:lvl>
    <w:lvl w:ilvl="2">
      <w:start w:val="1"/>
      <w:numFmt w:val="lowerLetter"/>
      <w:lvlText w:val="%3."/>
      <w:lvlJc w:val="left"/>
      <w:pPr>
        <w:ind w:left="1548" w:hanging="397"/>
      </w:pPr>
    </w:lvl>
    <w:lvl w:ilvl="3">
      <w:start w:val="1"/>
      <w:numFmt w:val="lowerLetter"/>
      <w:lvlText w:val="%4."/>
      <w:lvlJc w:val="left"/>
      <w:pPr>
        <w:ind w:left="1945" w:hanging="397"/>
      </w:pPr>
    </w:lvl>
    <w:lvl w:ilvl="4">
      <w:start w:val="1"/>
      <w:numFmt w:val="lowerLetter"/>
      <w:lvlText w:val="%5."/>
      <w:lvlJc w:val="left"/>
      <w:pPr>
        <w:ind w:left="2342" w:hanging="397"/>
      </w:pPr>
    </w:lvl>
    <w:lvl w:ilvl="5">
      <w:start w:val="1"/>
      <w:numFmt w:val="lowerLetter"/>
      <w:lvlText w:val="%6."/>
      <w:lvlJc w:val="left"/>
      <w:pPr>
        <w:ind w:left="2739" w:hanging="397"/>
      </w:pPr>
    </w:lvl>
    <w:lvl w:ilvl="6">
      <w:start w:val="1"/>
      <w:numFmt w:val="lowerLetter"/>
      <w:lvlText w:val="%7."/>
      <w:lvlJc w:val="left"/>
      <w:pPr>
        <w:ind w:left="3136" w:hanging="397"/>
      </w:pPr>
    </w:lvl>
    <w:lvl w:ilvl="7">
      <w:start w:val="1"/>
      <w:numFmt w:val="lowerLetter"/>
      <w:lvlText w:val="%8."/>
      <w:lvlJc w:val="left"/>
      <w:pPr>
        <w:ind w:left="3533" w:hanging="397"/>
      </w:pPr>
    </w:lvl>
    <w:lvl w:ilvl="8">
      <w:start w:val="1"/>
      <w:numFmt w:val="lowerLetter"/>
      <w:lvlText w:val="%9."/>
      <w:lvlJc w:val="left"/>
      <w:pPr>
        <w:ind w:left="3930" w:hanging="397"/>
      </w:pPr>
    </w:lvl>
  </w:abstractNum>
  <w:abstractNum w:abstractNumId="20" w15:restartNumberingAfterBreak="0">
    <w:nsid w:val="718308AA"/>
    <w:multiLevelType w:val="multilevel"/>
    <w:tmpl w:val="62828C3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C83CD4"/>
    <w:multiLevelType w:val="multilevel"/>
    <w:tmpl w:val="A4ACE970"/>
    <w:styleLink w:val="WWNum7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9A5050"/>
    <w:multiLevelType w:val="multilevel"/>
    <w:tmpl w:val="893645B0"/>
    <w:styleLink w:val="WWNum3a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7CC013A1"/>
    <w:multiLevelType w:val="multilevel"/>
    <w:tmpl w:val="7A0EC9AE"/>
    <w:styleLink w:val="WWNum8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0505375">
    <w:abstractNumId w:val="19"/>
  </w:num>
  <w:num w:numId="2" w16cid:durableId="1242906798">
    <w:abstractNumId w:val="13"/>
  </w:num>
  <w:num w:numId="3" w16cid:durableId="1511338699">
    <w:abstractNumId w:val="2"/>
  </w:num>
  <w:num w:numId="4" w16cid:durableId="1167398813">
    <w:abstractNumId w:val="17"/>
  </w:num>
  <w:num w:numId="5" w16cid:durableId="660277148">
    <w:abstractNumId w:val="8"/>
  </w:num>
  <w:num w:numId="6" w16cid:durableId="1878738126">
    <w:abstractNumId w:val="9"/>
  </w:num>
  <w:num w:numId="7" w16cid:durableId="2066172684">
    <w:abstractNumId w:val="14"/>
  </w:num>
  <w:num w:numId="8" w16cid:durableId="13070077">
    <w:abstractNumId w:val="16"/>
  </w:num>
  <w:num w:numId="9" w16cid:durableId="1515193460">
    <w:abstractNumId w:val="11"/>
  </w:num>
  <w:num w:numId="10" w16cid:durableId="1041905401">
    <w:abstractNumId w:val="4"/>
  </w:num>
  <w:num w:numId="11" w16cid:durableId="751926447">
    <w:abstractNumId w:val="6"/>
  </w:num>
  <w:num w:numId="12" w16cid:durableId="1842617472">
    <w:abstractNumId w:val="5"/>
  </w:num>
  <w:num w:numId="13" w16cid:durableId="2083720794">
    <w:abstractNumId w:val="1"/>
  </w:num>
  <w:num w:numId="14" w16cid:durableId="1310590948">
    <w:abstractNumId w:val="15"/>
  </w:num>
  <w:num w:numId="15" w16cid:durableId="1598370092">
    <w:abstractNumId w:val="22"/>
  </w:num>
  <w:num w:numId="16" w16cid:durableId="2053992778">
    <w:abstractNumId w:val="10"/>
  </w:num>
  <w:num w:numId="17" w16cid:durableId="456534332">
    <w:abstractNumId w:val="0"/>
  </w:num>
  <w:num w:numId="18" w16cid:durableId="137385895">
    <w:abstractNumId w:val="7"/>
  </w:num>
  <w:num w:numId="19" w16cid:durableId="216205445">
    <w:abstractNumId w:val="21"/>
  </w:num>
  <w:num w:numId="20" w16cid:durableId="1768695259">
    <w:abstractNumId w:val="23"/>
  </w:num>
  <w:num w:numId="21" w16cid:durableId="2076583959">
    <w:abstractNumId w:val="3"/>
  </w:num>
  <w:num w:numId="22" w16cid:durableId="1412699139">
    <w:abstractNumId w:val="12"/>
  </w:num>
  <w:num w:numId="23" w16cid:durableId="1776632140">
    <w:abstractNumId w:val="18"/>
  </w:num>
  <w:num w:numId="24" w16cid:durableId="751589877">
    <w:abstractNumId w:val="0"/>
    <w:lvlOverride w:ilvl="0">
      <w:startOverride w:val="1"/>
    </w:lvlOverride>
  </w:num>
  <w:num w:numId="25" w16cid:durableId="1192106145">
    <w:abstractNumId w:val="0"/>
    <w:lvlOverride w:ilvl="0">
      <w:startOverride w:val="1"/>
    </w:lvlOverride>
  </w:num>
  <w:num w:numId="26" w16cid:durableId="345866030">
    <w:abstractNumId w:val="22"/>
    <w:lvlOverride w:ilvl="0">
      <w:startOverride w:val="1"/>
    </w:lvlOverride>
  </w:num>
  <w:num w:numId="27" w16cid:durableId="1858274399">
    <w:abstractNumId w:val="1"/>
    <w:lvlOverride w:ilvl="0">
      <w:startOverride w:val="1"/>
    </w:lvlOverride>
  </w:num>
  <w:num w:numId="28" w16cid:durableId="1439639709">
    <w:abstractNumId w:val="12"/>
    <w:lvlOverride w:ilvl="0">
      <w:startOverride w:val="1"/>
    </w:lvlOverride>
  </w:num>
  <w:num w:numId="29" w16cid:durableId="1224832525">
    <w:abstractNumId w:val="7"/>
    <w:lvlOverride w:ilvl="0">
      <w:startOverride w:val="1"/>
    </w:lvlOverride>
  </w:num>
  <w:num w:numId="30" w16cid:durableId="443618326">
    <w:abstractNumId w:val="10"/>
    <w:lvlOverride w:ilvl="0">
      <w:startOverride w:val="1"/>
    </w:lvlOverride>
  </w:num>
  <w:num w:numId="31" w16cid:durableId="1248536100">
    <w:abstractNumId w:val="15"/>
    <w:lvlOverride w:ilvl="0">
      <w:startOverride w:val="1"/>
    </w:lvlOverride>
  </w:num>
  <w:num w:numId="32" w16cid:durableId="1853834545">
    <w:abstractNumId w:val="15"/>
    <w:lvlOverride w:ilvl="0">
      <w:startOverride w:val="1"/>
    </w:lvlOverride>
  </w:num>
  <w:num w:numId="33" w16cid:durableId="489908874">
    <w:abstractNumId w:val="7"/>
    <w:lvlOverride w:ilvl="0">
      <w:startOverride w:val="1"/>
    </w:lvlOverride>
  </w:num>
  <w:num w:numId="34" w16cid:durableId="2130928902">
    <w:abstractNumId w:val="15"/>
    <w:lvlOverride w:ilvl="0">
      <w:startOverride w:val="1"/>
    </w:lvlOverride>
  </w:num>
  <w:num w:numId="35" w16cid:durableId="1983462825">
    <w:abstractNumId w:val="15"/>
    <w:lvlOverride w:ilvl="0">
      <w:startOverride w:val="1"/>
    </w:lvlOverride>
  </w:num>
  <w:num w:numId="36" w16cid:durableId="929582406">
    <w:abstractNumId w:val="7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" w:hAnsi="Arial" w:cs="Times New Roman"/>
          <w:b/>
          <w:sz w:val="22"/>
        </w:rPr>
      </w:lvl>
    </w:lvlOverride>
  </w:num>
  <w:num w:numId="37" w16cid:durableId="3636045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2B"/>
    <w:rsid w:val="000514B1"/>
    <w:rsid w:val="00071167"/>
    <w:rsid w:val="003B25FA"/>
    <w:rsid w:val="00654559"/>
    <w:rsid w:val="007B12B1"/>
    <w:rsid w:val="008222AE"/>
    <w:rsid w:val="009C30D3"/>
    <w:rsid w:val="00AD732B"/>
    <w:rsid w:val="00AE020E"/>
    <w:rsid w:val="00C46903"/>
    <w:rsid w:val="00D5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6DBF"/>
  <w15:docId w15:val="{C33E56C1-9CAB-48DF-B87F-62D258BC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lntabulka1">
    <w:name w:val="Normální tabulka1"/>
    <w:pPr>
      <w:textAlignment w:val="auto"/>
    </w:pPr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paragraph" w:styleId="Zkladntextodsazen2">
    <w:name w:val="Body Text Indent 2"/>
    <w:basedOn w:val="Standard"/>
    <w:pPr>
      <w:ind w:left="708" w:firstLine="360"/>
      <w:jc w:val="both"/>
    </w:pPr>
    <w:rPr>
      <w:bCs/>
      <w:szCs w:val="20"/>
    </w:rPr>
  </w:style>
  <w:style w:type="paragraph" w:customStyle="1" w:styleId="NormlnIMP">
    <w:name w:val="Normální_IMP"/>
    <w:basedOn w:val="Standard"/>
    <w:pPr>
      <w:spacing w:line="228" w:lineRule="auto"/>
      <w:jc w:val="both"/>
    </w:pPr>
    <w:rPr>
      <w:szCs w:val="20"/>
    </w:rPr>
  </w:style>
  <w:style w:type="paragraph" w:styleId="Odstavecseseznamem">
    <w:name w:val="List Paragraph"/>
    <w:basedOn w:val="Standar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pPr>
      <w:textAlignment w:val="auto"/>
    </w:pPr>
    <w:rPr>
      <w:rFonts w:ascii="Arial" w:eastAsia="Cambria Math" w:hAnsi="Arial" w:cs="Arial"/>
      <w:color w:val="000000"/>
      <w:lang w:eastAsia="cs-CZ" w:bidi="ar-SA"/>
    </w:rPr>
  </w:style>
  <w:style w:type="paragraph" w:customStyle="1" w:styleId="Nzvylnk">
    <w:name w:val="Názvy článků"/>
    <w:basedOn w:val="Standard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Standard"/>
    <w:pPr>
      <w:spacing w:before="100" w:after="142" w:line="276" w:lineRule="auto"/>
    </w:pPr>
  </w:style>
  <w:style w:type="paragraph" w:customStyle="1" w:styleId="Textbodyindent">
    <w:name w:val="Text body indent"/>
    <w:basedOn w:val="Textbody"/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2Char">
    <w:name w:val="Nadpis 2 Char"/>
    <w:basedOn w:val="Standardnpsmoodstavce"/>
    <w:rPr>
      <w:u w:val="single"/>
    </w:rPr>
  </w:style>
  <w:style w:type="character" w:customStyle="1" w:styleId="ZkladntextodsazenChar">
    <w:name w:val="Základní text odsazený Char"/>
    <w:basedOn w:val="Standardnpsmoodstavce"/>
  </w:style>
  <w:style w:type="character" w:customStyle="1" w:styleId="Zkladntextodsazen2Char">
    <w:name w:val="Základní text odsazený 2 Char"/>
    <w:basedOn w:val="Standardnpsmoodstavce"/>
    <w:rPr>
      <w:bCs/>
    </w:rPr>
  </w:style>
  <w:style w:type="character" w:customStyle="1" w:styleId="TextpoznpodarouChar">
    <w:name w:val="Text pozn. pod čarou Char"/>
    <w:basedOn w:val="Standardnpsmoodstavce"/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ListLabel1">
    <w:name w:val="ListLabel 1"/>
    <w:rPr>
      <w:rFonts w:ascii="Arial" w:eastAsia="Arial" w:hAnsi="Arial" w:cs="Times New Roman"/>
      <w:b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Arial" w:eastAsia="Arial" w:hAnsi="Arial" w:cs="Times New Roman"/>
      <w:sz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Arial" w:eastAsia="Times New Roman" w:hAnsi="Arial" w:cs="Times New Roman"/>
      <w:b/>
      <w:sz w:val="22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Arial" w:eastAsia="Arial" w:hAnsi="Arial" w:cs="Times New Roman"/>
      <w:sz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Arial" w:eastAsia="Arial" w:hAnsi="Arial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Arial" w:eastAsia="Arial" w:hAnsi="Arial" w:cs="Times New Roman"/>
      <w:b/>
      <w:sz w:val="22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ascii="Arial" w:eastAsia="Arial" w:hAnsi="Arial" w:cs="Times New Roman"/>
      <w:sz w:val="22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ascii="Arial" w:eastAsia="Arial" w:hAnsi="Arial" w:cs="Times New Roman"/>
      <w:sz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Arial" w:eastAsia="Arial" w:hAnsi="Arial" w:cs="Times New Roman"/>
      <w:sz w:val="22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Arial" w:eastAsia="Times New Roman" w:hAnsi="Arial" w:cs="Arial"/>
      <w:sz w:val="22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Arial" w:eastAsia="Arial" w:hAnsi="Arial" w:cs="Times New Roman"/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ascii="Arial" w:eastAsia="Arial" w:hAnsi="Arial" w:cs="Times New Roman"/>
      <w:b w:val="0"/>
      <w:bCs w:val="0"/>
      <w:sz w:val="22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ascii="Arial" w:eastAsia="Arial" w:hAnsi="Arial" w:cs="Times New Roman"/>
      <w:sz w:val="22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ascii="Arial" w:eastAsia="Times New Roman" w:hAnsi="Arial" w:cs="Times New Roman"/>
      <w:b/>
      <w:sz w:val="22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ascii="Arial" w:eastAsia="Arial" w:hAnsi="Arial" w:cs="Times New Roman"/>
      <w:sz w:val="22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ascii="Arial" w:eastAsia="Arial" w:hAnsi="Arial" w:cs="Times New Roman"/>
      <w:sz w:val="22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ascii="Arial" w:eastAsia="Arial" w:hAnsi="Arial" w:cs="Times New Roman"/>
      <w:b/>
      <w:sz w:val="22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ascii="Arial" w:eastAsia="Arial" w:hAnsi="Arial" w:cs="Times New Roman"/>
      <w:sz w:val="22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ascii="Arial" w:eastAsia="Arial" w:hAnsi="Arial" w:cs="Times New Roman"/>
      <w:sz w:val="22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ascii="Arial" w:eastAsia="Arial" w:hAnsi="Arial" w:cs="Times New Roman"/>
      <w:i w:val="0"/>
      <w:iCs w:val="0"/>
      <w:sz w:val="22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ascii="Arial" w:eastAsia="Times New Roman" w:hAnsi="Arial" w:cs="Arial"/>
      <w:sz w:val="22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ascii="Arial" w:eastAsia="Arial" w:hAnsi="Arial" w:cs="Times New Roman"/>
      <w:sz w:val="22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umberingabc">
    <w:name w:val="Numbering abc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a">
    <w:name w:val="WWNum1a"/>
    <w:basedOn w:val="Bezseznamu"/>
    <w:pPr>
      <w:numPr>
        <w:numId w:val="13"/>
      </w:numPr>
    </w:pPr>
  </w:style>
  <w:style w:type="numbering" w:customStyle="1" w:styleId="WWNum2a">
    <w:name w:val="WWNum2a"/>
    <w:basedOn w:val="Bezseznamu"/>
    <w:pPr>
      <w:numPr>
        <w:numId w:val="14"/>
      </w:numPr>
    </w:pPr>
  </w:style>
  <w:style w:type="numbering" w:customStyle="1" w:styleId="WWNum3a">
    <w:name w:val="WWNum3a"/>
    <w:basedOn w:val="Bezseznamu"/>
    <w:pPr>
      <w:numPr>
        <w:numId w:val="15"/>
      </w:numPr>
    </w:pPr>
  </w:style>
  <w:style w:type="numbering" w:customStyle="1" w:styleId="WWNum4a">
    <w:name w:val="WWNum4a"/>
    <w:basedOn w:val="Bezseznamu"/>
    <w:pPr>
      <w:numPr>
        <w:numId w:val="16"/>
      </w:numPr>
    </w:pPr>
  </w:style>
  <w:style w:type="numbering" w:customStyle="1" w:styleId="WWNum5a">
    <w:name w:val="WWNum5a"/>
    <w:basedOn w:val="Bezseznamu"/>
    <w:pPr>
      <w:numPr>
        <w:numId w:val="17"/>
      </w:numPr>
    </w:pPr>
  </w:style>
  <w:style w:type="numbering" w:customStyle="1" w:styleId="WWNum6a">
    <w:name w:val="WWNum6a"/>
    <w:basedOn w:val="Bezseznamu"/>
    <w:pPr>
      <w:numPr>
        <w:numId w:val="18"/>
      </w:numPr>
    </w:pPr>
  </w:style>
  <w:style w:type="numbering" w:customStyle="1" w:styleId="WWNum7a">
    <w:name w:val="WWNum7a"/>
    <w:basedOn w:val="Bezseznamu"/>
    <w:pPr>
      <w:numPr>
        <w:numId w:val="19"/>
      </w:numPr>
    </w:pPr>
  </w:style>
  <w:style w:type="numbering" w:customStyle="1" w:styleId="WWNum8a">
    <w:name w:val="WWNum8a"/>
    <w:basedOn w:val="Bezseznamu"/>
    <w:pPr>
      <w:numPr>
        <w:numId w:val="20"/>
      </w:numPr>
    </w:pPr>
  </w:style>
  <w:style w:type="numbering" w:customStyle="1" w:styleId="WWNum9a">
    <w:name w:val="WWNum9a"/>
    <w:basedOn w:val="Bezseznamu"/>
    <w:pPr>
      <w:numPr>
        <w:numId w:val="21"/>
      </w:numPr>
    </w:pPr>
  </w:style>
  <w:style w:type="numbering" w:customStyle="1" w:styleId="WWNum10a">
    <w:name w:val="WWNum10a"/>
    <w:basedOn w:val="Bezseznamu"/>
    <w:pPr>
      <w:numPr>
        <w:numId w:val="22"/>
      </w:numPr>
    </w:pPr>
  </w:style>
  <w:style w:type="numbering" w:customStyle="1" w:styleId="WWNum11a">
    <w:name w:val="WWNum11a"/>
    <w:basedOn w:val="Bezseznamu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pne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1019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    Čl. 1</vt:lpstr>
      <vt:lpstr>    Úvodní ustanovení</vt:lpstr>
      <vt:lpstr>    Čl. 4</vt:lpstr>
      <vt:lpstr>    Svoz nebezpečných složek komunálního odpadu</vt:lpstr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Dolni Lhota</cp:lastModifiedBy>
  <cp:revision>4</cp:revision>
  <dcterms:created xsi:type="dcterms:W3CDTF">2026-02-24T09:21:00Z</dcterms:created>
  <dcterms:modified xsi:type="dcterms:W3CDTF">2026-03-03T12:06:00Z</dcterms:modified>
</cp:coreProperties>
</file>