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SVS/2024/140249-T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23D7F23" w14:textId="77777777" w:rsidR="0099033E" w:rsidRPr="001E651A" w:rsidRDefault="0099033E" w:rsidP="0099033E">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2C432839" w14:textId="77777777" w:rsidR="0099033E" w:rsidRDefault="0099033E" w:rsidP="0099033E">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76AE9A0" w14:textId="77777777" w:rsidR="0099033E" w:rsidRPr="001E651A" w:rsidRDefault="0099033E" w:rsidP="0099033E">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4B916D93" w14:textId="77777777" w:rsidR="0099033E" w:rsidRPr="001E651A" w:rsidRDefault="0099033E" w:rsidP="0099033E">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25258110" w14:textId="77777777" w:rsidR="0099033E" w:rsidRPr="001E651A" w:rsidRDefault="0099033E" w:rsidP="0099033E">
      <w:pPr>
        <w:spacing w:before="120" w:after="0" w:line="240" w:lineRule="auto"/>
        <w:ind w:left="57" w:firstLine="652"/>
        <w:jc w:val="both"/>
        <w:rPr>
          <w:rFonts w:ascii="Arial" w:eastAsia="Times New Roman" w:hAnsi="Arial" w:cs="Times New Roman"/>
          <w:lang w:eastAsia="cs-CZ"/>
        </w:rPr>
      </w:pPr>
    </w:p>
    <w:p w14:paraId="2AD5026E" w14:textId="77777777" w:rsidR="0099033E" w:rsidRPr="001E651A" w:rsidRDefault="0099033E" w:rsidP="0099033E">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48CAF19B" w14:textId="77777777" w:rsidR="0099033E" w:rsidRPr="001E651A" w:rsidRDefault="0099033E" w:rsidP="0099033E">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2CA39144" w14:textId="77777777" w:rsidR="0099033E" w:rsidRDefault="0099033E" w:rsidP="0099033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575170E3" w14:textId="67B893DB" w:rsidR="0099033E" w:rsidRDefault="000E59A0" w:rsidP="000E59A0">
      <w:pPr>
        <w:tabs>
          <w:tab w:val="left" w:pos="4488"/>
          <w:tab w:val="center" w:pos="4890"/>
        </w:tabs>
        <w:spacing w:before="120" w:after="0" w:line="240" w:lineRule="auto"/>
        <w:ind w:left="57"/>
        <w:jc w:val="both"/>
        <w:rPr>
          <w:rFonts w:ascii="Arial" w:eastAsia="Times New Roman" w:hAnsi="Arial" w:cs="Times New Roman"/>
          <w:lang w:eastAsia="cs-CZ"/>
        </w:rPr>
      </w:pPr>
      <w:r w:rsidRPr="000E59A0">
        <w:rPr>
          <w:rFonts w:ascii="Arial" w:eastAsia="Times New Roman" w:hAnsi="Arial" w:cs="Times New Roman"/>
          <w:lang w:eastAsia="cs-CZ"/>
        </w:rPr>
        <w:t>Kunčičky u Bašky (601098), Staré Město u Frýdku -  Místku (754498), Skalice u Frýdku - Místku (74797</w:t>
      </w:r>
      <w:r w:rsidR="004479D0">
        <w:rPr>
          <w:rFonts w:ascii="Arial" w:eastAsia="Times New Roman" w:hAnsi="Arial" w:cs="Times New Roman"/>
          <w:lang w:eastAsia="cs-CZ"/>
        </w:rPr>
        <w:t xml:space="preserve">1), Baška (601063), </w:t>
      </w:r>
      <w:proofErr w:type="spellStart"/>
      <w:r w:rsidR="004479D0">
        <w:rPr>
          <w:rFonts w:ascii="Arial" w:eastAsia="Times New Roman" w:hAnsi="Arial" w:cs="Times New Roman"/>
          <w:lang w:eastAsia="cs-CZ"/>
        </w:rPr>
        <w:t>Hodoňovice</w:t>
      </w:r>
      <w:proofErr w:type="spellEnd"/>
      <w:r w:rsidR="004479D0">
        <w:rPr>
          <w:rFonts w:ascii="Arial" w:eastAsia="Times New Roman" w:hAnsi="Arial" w:cs="Times New Roman"/>
          <w:lang w:eastAsia="cs-CZ"/>
        </w:rPr>
        <w:t xml:space="preserve"> (601080), Palkovice </w:t>
      </w:r>
      <w:r w:rsidRPr="000E59A0">
        <w:rPr>
          <w:rFonts w:ascii="Arial" w:eastAsia="Times New Roman" w:hAnsi="Arial" w:cs="Times New Roman"/>
          <w:lang w:eastAsia="cs-CZ"/>
        </w:rPr>
        <w:t>(717452), Místek</w:t>
      </w:r>
      <w:r>
        <w:rPr>
          <w:rFonts w:ascii="Arial" w:eastAsia="Times New Roman" w:hAnsi="Arial" w:cs="Times New Roman"/>
          <w:lang w:eastAsia="cs-CZ"/>
        </w:rPr>
        <w:t xml:space="preserve"> </w:t>
      </w:r>
      <w:r w:rsidRPr="000E59A0">
        <w:rPr>
          <w:rFonts w:ascii="Arial" w:eastAsia="Times New Roman" w:hAnsi="Arial" w:cs="Times New Roman"/>
          <w:lang w:eastAsia="cs-CZ"/>
        </w:rPr>
        <w:t>(634824)</w:t>
      </w:r>
    </w:p>
    <w:p w14:paraId="4F9701D1" w14:textId="77777777" w:rsidR="00A67905" w:rsidRDefault="00A67905" w:rsidP="0099033E">
      <w:pPr>
        <w:tabs>
          <w:tab w:val="left" w:pos="4488"/>
          <w:tab w:val="center" w:pos="4890"/>
        </w:tabs>
        <w:spacing w:before="120" w:after="0" w:line="240" w:lineRule="auto"/>
        <w:jc w:val="center"/>
        <w:rPr>
          <w:rFonts w:ascii="Arial" w:eastAsia="Times New Roman" w:hAnsi="Arial" w:cs="Times New Roman"/>
          <w:lang w:eastAsia="cs-CZ"/>
        </w:rPr>
      </w:pPr>
    </w:p>
    <w:p w14:paraId="6A64A65B" w14:textId="174F12F5" w:rsidR="0099033E" w:rsidRPr="001E651A" w:rsidRDefault="0099033E" w:rsidP="0099033E">
      <w:pPr>
        <w:tabs>
          <w:tab w:val="left" w:pos="4488"/>
          <w:tab w:val="center" w:pos="4890"/>
        </w:tabs>
        <w:spacing w:before="120" w:after="0" w:line="240" w:lineRule="auto"/>
        <w:jc w:val="center"/>
        <w:rPr>
          <w:rFonts w:ascii="Arial" w:eastAsia="Times New Roman" w:hAnsi="Arial" w:cs="Times New Roman"/>
          <w:lang w:eastAsia="cs-CZ"/>
        </w:rPr>
      </w:pPr>
      <w:bookmarkStart w:id="0" w:name="_GoBack"/>
      <w:bookmarkEnd w:id="0"/>
      <w:r w:rsidRPr="001E651A">
        <w:rPr>
          <w:rFonts w:ascii="Arial" w:eastAsia="Times New Roman" w:hAnsi="Arial" w:cs="Times New Roman"/>
          <w:lang w:eastAsia="cs-CZ"/>
        </w:rPr>
        <w:t>Čl. 2</w:t>
      </w:r>
    </w:p>
    <w:p w14:paraId="324ECE7F" w14:textId="77777777" w:rsidR="0099033E" w:rsidRPr="001E651A" w:rsidRDefault="0099033E" w:rsidP="0099033E">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1454A506" w14:textId="77777777" w:rsidR="0099033E" w:rsidRPr="001E651A" w:rsidRDefault="0099033E" w:rsidP="0099033E">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0E4B8437" w14:textId="77777777" w:rsidR="0099033E" w:rsidRPr="001E651A" w:rsidRDefault="0099033E" w:rsidP="0099033E">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021BEBD4" w14:textId="77777777" w:rsidR="0099033E" w:rsidRDefault="0099033E" w:rsidP="0099033E">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Pr="00206567">
        <w:rPr>
          <w:rFonts w:ascii="Arial" w:eastAsia="Times New Roman" w:hAnsi="Arial" w:cs="Times New Roman"/>
          <w:b/>
          <w:lang w:eastAsia="cs-CZ"/>
        </w:rPr>
        <w:t>do 15.02.2025</w:t>
      </w:r>
      <w:r w:rsidRPr="00B2154F">
        <w:rPr>
          <w:rFonts w:ascii="Arial" w:eastAsia="Times New Roman" w:hAnsi="Arial" w:cs="Times New Roman"/>
          <w:lang w:eastAsia="cs-CZ"/>
        </w:rPr>
        <w:t xml:space="preserve">. Odběr měli se provádí </w:t>
      </w:r>
      <w:r>
        <w:rPr>
          <w:rFonts w:ascii="Arial" w:eastAsia="Times New Roman" w:hAnsi="Arial" w:cs="Times New Roman"/>
          <w:lang w:eastAsia="cs-CZ"/>
        </w:rPr>
        <w:t>v období od 1.1.2025 do 15.2.2025</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0432E030" w14:textId="77777777" w:rsidR="0099033E" w:rsidRDefault="0099033E" w:rsidP="0099033E">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v </w:t>
      </w:r>
      <w:r w:rsidRPr="00206567">
        <w:rPr>
          <w:rFonts w:ascii="Arial" w:eastAsia="Times New Roman" w:hAnsi="Arial" w:cs="Times New Roman"/>
          <w:lang w:eastAsia="cs-CZ"/>
        </w:rPr>
        <w:lastRenderedPageBreak/>
        <w:t xml:space="preserve">ochranném pásmu a předat je k vyšetření do státního veterinárního ústavu v termínu </w:t>
      </w:r>
      <w:r w:rsidRPr="00206567">
        <w:rPr>
          <w:rFonts w:ascii="Arial" w:eastAsia="Times New Roman" w:hAnsi="Arial" w:cs="Times New Roman"/>
          <w:b/>
          <w:lang w:eastAsia="cs-CZ"/>
        </w:rPr>
        <w:t>do 15.8.2025</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2ECF3F72" w14:textId="77777777" w:rsidR="0099033E" w:rsidRDefault="0099033E" w:rsidP="0099033E">
      <w:pPr>
        <w:spacing w:after="0" w:line="240" w:lineRule="auto"/>
        <w:ind w:left="57" w:firstLine="652"/>
        <w:jc w:val="both"/>
        <w:rPr>
          <w:rFonts w:ascii="Arial" w:eastAsia="Times New Roman" w:hAnsi="Arial" w:cs="Times New Roman"/>
          <w:lang w:eastAsia="cs-CZ"/>
        </w:rPr>
      </w:pPr>
    </w:p>
    <w:p w14:paraId="5FC1D71D" w14:textId="77777777" w:rsidR="0099033E" w:rsidRPr="001E651A" w:rsidRDefault="0099033E" w:rsidP="0099033E">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2A6654E8" w14:textId="77777777" w:rsidR="0099033E" w:rsidRPr="001E651A" w:rsidRDefault="0099033E" w:rsidP="0099033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32D41083" w14:textId="77777777" w:rsidR="0099033E" w:rsidRPr="001E651A" w:rsidRDefault="0099033E" w:rsidP="0099033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0C8A4F54" w14:textId="77777777" w:rsidR="0099033E" w:rsidRPr="001E651A" w:rsidRDefault="0099033E" w:rsidP="0099033E">
      <w:pPr>
        <w:spacing w:before="120" w:after="0" w:line="240" w:lineRule="auto"/>
        <w:rPr>
          <w:rFonts w:ascii="Arial" w:eastAsia="Times New Roman" w:hAnsi="Arial" w:cs="Times New Roman"/>
          <w:lang w:eastAsia="cs-CZ"/>
        </w:rPr>
      </w:pPr>
    </w:p>
    <w:p w14:paraId="311205E9" w14:textId="77777777" w:rsidR="0099033E" w:rsidRPr="001E651A" w:rsidRDefault="0099033E" w:rsidP="0099033E">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1B797E8F" w14:textId="77777777" w:rsidR="0099033E" w:rsidRPr="001E651A" w:rsidRDefault="0099033E" w:rsidP="0099033E">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1EF8EF4B" w14:textId="77777777" w:rsidR="0099033E" w:rsidRPr="001E651A" w:rsidRDefault="0099033E" w:rsidP="0099033E">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F00E4B1" w14:textId="77777777" w:rsidR="0099033E" w:rsidRPr="001E651A" w:rsidRDefault="0099033E" w:rsidP="0099033E">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705228F9" w14:textId="77777777" w:rsidR="0099033E" w:rsidRPr="001E651A" w:rsidRDefault="0099033E" w:rsidP="0099033E">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1AFACE06" w14:textId="77777777" w:rsidR="0099033E" w:rsidRPr="001E651A" w:rsidRDefault="0099033E" w:rsidP="0099033E">
      <w:pPr>
        <w:tabs>
          <w:tab w:val="left" w:pos="709"/>
          <w:tab w:val="left" w:pos="5387"/>
        </w:tabs>
        <w:spacing w:before="120" w:after="0" w:line="240" w:lineRule="auto"/>
        <w:jc w:val="both"/>
        <w:rPr>
          <w:rFonts w:ascii="Arial" w:eastAsia="Times New Roman" w:hAnsi="Arial" w:cs="Arial"/>
        </w:rPr>
      </w:pPr>
    </w:p>
    <w:p w14:paraId="22BE6F82" w14:textId="77777777" w:rsidR="0099033E" w:rsidRPr="001E651A" w:rsidRDefault="0099033E" w:rsidP="0099033E">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7EC891F5" w14:textId="77777777" w:rsidR="0099033E" w:rsidRPr="001E651A" w:rsidRDefault="0099033E" w:rsidP="0099033E">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6F946BFF" w14:textId="77777777" w:rsidR="0099033E" w:rsidRDefault="0099033E" w:rsidP="0099033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C00098D" w14:textId="77777777" w:rsidR="0099033E" w:rsidRPr="00C2547A" w:rsidRDefault="0099033E" w:rsidP="0099033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187B4010" w14:textId="77777777" w:rsidR="0099033E" w:rsidRPr="001E651A" w:rsidRDefault="0099033E" w:rsidP="0099033E">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4B55777C" w14:textId="77777777" w:rsidR="0099033E" w:rsidRPr="001E651A" w:rsidRDefault="0099033E" w:rsidP="0099033E">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28D5A970" w14:textId="77777777" w:rsidR="0099033E" w:rsidRPr="001E651A" w:rsidRDefault="0099033E" w:rsidP="0099033E">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27D1FBEA" w14:textId="77777777" w:rsidR="0099033E" w:rsidRPr="001E651A" w:rsidRDefault="0099033E" w:rsidP="0099033E">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3DBA0BC3" w14:textId="77777777" w:rsidR="0099033E" w:rsidRPr="001E651A" w:rsidRDefault="0099033E" w:rsidP="0099033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256203D2" w14:textId="77777777" w:rsidR="0099033E" w:rsidRPr="001E651A" w:rsidRDefault="0099033E" w:rsidP="0099033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C3949CF" w14:textId="39023E5B" w:rsidR="0099033E" w:rsidRPr="001E651A" w:rsidRDefault="0099033E" w:rsidP="0099033E">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Pr>
          <w:rFonts w:ascii="Arial" w:eastAsia="Times New Roman" w:hAnsi="Arial" w:cs="Times New Roman"/>
          <w:color w:val="000000" w:themeColor="text1"/>
        </w:rPr>
        <w:t>01.10</w:t>
      </w:r>
      <w:r>
        <w:rPr>
          <w:rFonts w:ascii="Arial" w:eastAsia="Times New Roman" w:hAnsi="Arial" w:cs="Times New Roman"/>
          <w:color w:val="000000" w:themeColor="text1"/>
        </w:rPr>
        <w:t>.2024</w:t>
      </w:r>
    </w:p>
    <w:p w14:paraId="7CD15EB7" w14:textId="77777777" w:rsidR="0099033E" w:rsidRDefault="0099033E" w:rsidP="0099033E">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072B8E7E" w14:textId="77777777" w:rsidR="0099033E" w:rsidRPr="001E651A" w:rsidRDefault="0099033E" w:rsidP="0099033E">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2D061C91" w14:textId="77777777" w:rsidR="0099033E" w:rsidRPr="001E651A" w:rsidRDefault="0099033E" w:rsidP="0099033E">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5E82A145" w14:textId="77777777" w:rsidR="0099033E" w:rsidRPr="001E651A" w:rsidRDefault="0099033E" w:rsidP="0099033E">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5471AF8E" w14:textId="77777777" w:rsidR="0099033E" w:rsidRDefault="0099033E" w:rsidP="0099033E">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2868AC1C" w14:textId="77777777" w:rsidR="0099033E" w:rsidRPr="001E651A" w:rsidRDefault="0099033E" w:rsidP="0099033E">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529F79A0" w14:textId="77777777" w:rsidR="0099033E" w:rsidRPr="001E651A" w:rsidRDefault="0099033E" w:rsidP="0099033E">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4B09C598" w14:textId="77777777" w:rsidR="0099033E" w:rsidRDefault="0099033E" w:rsidP="0099033E">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50EE2339" w14:textId="77777777" w:rsidR="0099033E" w:rsidRPr="00AE07EA" w:rsidRDefault="0099033E" w:rsidP="0099033E">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r>
        <w:rPr>
          <w:rFonts w:ascii="Arial" w:eastAsia="Times New Roman" w:hAnsi="Arial" w:cs="Times New Roman"/>
          <w:color w:val="000000" w:themeColor="text1"/>
          <w:szCs w:val="20"/>
        </w:rPr>
        <w:t>ky</w:t>
      </w:r>
    </w:p>
    <w:p w14:paraId="5ACA14BA" w14:textId="77777777" w:rsidR="0099033E" w:rsidRDefault="0099033E" w:rsidP="0099033E">
      <w:pPr>
        <w:keepNext/>
        <w:keepLines/>
        <w:tabs>
          <w:tab w:val="left" w:pos="709"/>
          <w:tab w:val="left" w:pos="5387"/>
        </w:tabs>
        <w:spacing w:before="480" w:after="0" w:line="240" w:lineRule="auto"/>
        <w:jc w:val="center"/>
        <w:outlineLvl w:val="0"/>
      </w:pPr>
    </w:p>
    <w:p w14:paraId="333C2F25" w14:textId="77777777" w:rsidR="00661489" w:rsidRDefault="00661489" w:rsidP="0099033E">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6E69E260" w:rsidR="00461078" w:rsidRDefault="00461078">
        <w:pPr>
          <w:pStyle w:val="Zpat"/>
          <w:jc w:val="center"/>
        </w:pPr>
        <w:r>
          <w:fldChar w:fldCharType="begin"/>
        </w:r>
        <w:r>
          <w:instrText>PAGE   \* MERGEFORMAT</w:instrText>
        </w:r>
        <w:r>
          <w:fldChar w:fldCharType="separate"/>
        </w:r>
        <w:r w:rsidR="00A67905">
          <w:rPr>
            <w:noProof/>
          </w:rPr>
          <w:t>1</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E59A0"/>
    <w:rsid w:val="00256328"/>
    <w:rsid w:val="00312826"/>
    <w:rsid w:val="00362F56"/>
    <w:rsid w:val="004479D0"/>
    <w:rsid w:val="00461078"/>
    <w:rsid w:val="00616664"/>
    <w:rsid w:val="00661489"/>
    <w:rsid w:val="00740498"/>
    <w:rsid w:val="009066E7"/>
    <w:rsid w:val="0099033E"/>
    <w:rsid w:val="00A67905"/>
    <w:rsid w:val="00AB1E2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96480">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920</Words>
  <Characters>5433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10</cp:revision>
  <dcterms:created xsi:type="dcterms:W3CDTF">2022-01-27T08:47:00Z</dcterms:created>
  <dcterms:modified xsi:type="dcterms:W3CDTF">2024-09-30T05:17:00Z</dcterms:modified>
</cp:coreProperties>
</file>