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Nařízení obce Dnešice</w:t>
      </w:r>
      <w:r>
        <w:rPr>
          <w:b/>
          <w:bCs/>
          <w:sz w:val="32"/>
          <w:szCs w:val="32"/>
        </w:rPr>
      </w:r>
    </w:p>
    <w:p>
      <w:pPr>
        <w:pBdr/>
        <w:spacing/>
        <w:ind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Bdr/>
        <w:spacing/>
        <w:ind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kterým se zrušuje </w:t>
      </w:r>
      <w:r>
        <w:rPr>
          <w:b/>
          <w:bCs/>
          <w:sz w:val="32"/>
          <w:szCs w:val="32"/>
        </w:rPr>
        <w:t xml:space="preserve">Nařízení č. 4/1995 (</w:t>
      </w:r>
      <w:r>
        <w:rPr>
          <w:b/>
          <w:bCs/>
          <w:sz w:val="32"/>
          <w:szCs w:val="32"/>
        </w:rPr>
        <w:t xml:space="preserve">obecně závazná vyhláška</w:t>
      </w:r>
      <w:r>
        <w:rPr>
          <w:b/>
          <w:bCs/>
          <w:sz w:val="32"/>
          <w:szCs w:val="32"/>
        </w:rPr>
        <w:t xml:space="preserve">)</w:t>
      </w:r>
      <w:r>
        <w:rPr>
          <w:b/>
          <w:bCs/>
          <w:sz w:val="32"/>
          <w:szCs w:val="32"/>
        </w:rPr>
      </w:r>
    </w:p>
    <w:p>
      <w:pPr>
        <w:pBdr/>
        <w:spacing/>
        <w:ind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použití koeficientu pro výpočet daně z nemovitostí obce Dnešice</w:t>
      </w:r>
      <w:r>
        <w:rPr>
          <w:b/>
          <w:bCs/>
          <w:sz w:val="32"/>
          <w:szCs w:val="32"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/>
      </w:pPr>
    </w:p>
    <w:p>
      <w:pPr>
        <w:pBdr/>
        <w:spacing/>
        <w:ind/>
        <w:rPr/>
      </w:pPr>
    </w:p>
    <w:p>
      <w:pPr>
        <w:pBdr/>
        <w:spacing/>
        <w:ind/>
        <w:jc w:val="both"/>
        <w:rPr/>
      </w:pPr>
      <w:r>
        <w:t xml:space="preserve">Rada obce se na své schůzi dne 29.10.2025 usnesením č. 665/2025 </w:t>
      </w:r>
      <w:r>
        <w:t xml:space="preserve">usnesla</w:t>
      </w:r>
      <w:r>
        <w:t xml:space="preserve"> vydat na základě § 102 odst. 2 písm. d) zákona </w:t>
      </w:r>
      <w:r>
        <w:t xml:space="preserve">č. 128/2000 Sb., o obcích (obecní zřízení), toto nařízení:</w:t>
      </w:r>
    </w:p>
    <w:p>
      <w:pPr>
        <w:keepNext w:val="true"/>
        <w:pBdr/>
        <w:spacing/>
        <w:ind/>
        <w:jc w:val="center"/>
        <w:outlineLvl w:val="1"/>
        <w:rPr/>
      </w:pPr>
    </w:p>
    <w:p>
      <w:pPr>
        <w:pBdr/>
        <w:spacing/>
        <w:ind/>
        <w:rPr/>
      </w:pPr>
    </w:p>
    <w:p>
      <w:pPr>
        <w:keepNext w:val="true"/>
        <w:pBdr/>
        <w:spacing/>
        <w:ind/>
        <w:jc w:val="center"/>
        <w:outlineLvl w:val="1"/>
        <w:rPr/>
      </w:pPr>
    </w:p>
    <w:p>
      <w:pPr>
        <w:keepNext w:val="true"/>
        <w:pBdr/>
        <w:spacing/>
        <w:ind/>
        <w:jc w:val="center"/>
        <w:outlineLvl w:val="1"/>
        <w:rPr/>
      </w:pPr>
      <w:r>
        <w:t xml:space="preserve">Čl. 1</w:t>
      </w:r>
    </w:p>
    <w:p>
      <w:pPr>
        <w:pBdr/>
        <w:spacing/>
        <w:ind w:firstLine="708"/>
        <w:jc w:val="center"/>
        <w:rPr/>
      </w:pPr>
    </w:p>
    <w:p>
      <w:pPr>
        <w:pBdr/>
        <w:spacing w:before="120"/>
        <w:ind/>
        <w:jc w:val="both"/>
        <w:rPr/>
      </w:pPr>
      <w:r>
        <w:rPr>
          <w:b/>
          <w:bCs/>
        </w:rPr>
        <w:t xml:space="preserve">Zrušuje se</w:t>
      </w:r>
      <w:r>
        <w:t xml:space="preserve"> </w:t>
      </w:r>
      <w:r>
        <w:rPr>
          <w:b/>
          <w:bCs/>
        </w:rPr>
        <w:t xml:space="preserve">Nařízení č. 4/</w:t>
      </w:r>
      <w:r>
        <w:rPr>
          <w:b/>
          <w:bCs/>
        </w:rPr>
        <w:t xml:space="preserve">19</w:t>
      </w:r>
      <w:r>
        <w:rPr>
          <w:b/>
          <w:bCs/>
        </w:rPr>
        <w:t xml:space="preserve">95 (</w:t>
      </w:r>
      <w:r>
        <w:rPr>
          <w:b/>
          <w:bCs/>
        </w:rPr>
        <w:t xml:space="preserve">obecně závazná vyhlášk</w:t>
      </w:r>
      <w:r>
        <w:rPr>
          <w:b/>
          <w:bCs/>
        </w:rPr>
        <w:t xml:space="preserve">a)</w:t>
      </w:r>
      <w:r>
        <w:rPr>
          <w:b/>
          <w:bCs/>
        </w:rPr>
        <w:t xml:space="preserve"> o použití koeficientu pro výpočet daně z nemovitostí obce Dnešice ze dne 21.6.1995.</w:t>
      </w:r>
    </w:p>
    <w:p>
      <w:pPr>
        <w:pBdr/>
        <w:tabs>
          <w:tab w:val="left" w:leader="none" w:pos="540"/>
        </w:tabs>
        <w:spacing w:before="120"/>
        <w:ind/>
        <w:jc w:val="center"/>
        <w:rPr/>
      </w:pPr>
    </w:p>
    <w:p>
      <w:pPr>
        <w:pBdr/>
        <w:tabs>
          <w:tab w:val="left" w:leader="none" w:pos="540"/>
        </w:tabs>
        <w:spacing w:before="120"/>
        <w:ind/>
        <w:jc w:val="center"/>
        <w:rPr/>
      </w:pPr>
    </w:p>
    <w:p>
      <w:pPr>
        <w:pBdr/>
        <w:tabs>
          <w:tab w:val="left" w:leader="none" w:pos="540"/>
        </w:tabs>
        <w:spacing w:before="120"/>
        <w:ind/>
        <w:jc w:val="center"/>
        <w:rPr/>
      </w:pPr>
      <w:r>
        <w:t xml:space="preserve">Čl. 2</w:t>
      </w:r>
    </w:p>
    <w:p>
      <w:pPr>
        <w:pBdr/>
        <w:tabs>
          <w:tab w:val="left" w:leader="none" w:pos="540"/>
        </w:tabs>
        <w:spacing/>
        <w:ind/>
        <w:jc w:val="center"/>
        <w:rPr/>
      </w:pPr>
      <w:r>
        <w:t xml:space="preserve">Účinnost</w:t>
      </w:r>
    </w:p>
    <w:p>
      <w:pPr>
        <w:pBdr/>
        <w:tabs>
          <w:tab w:val="left" w:leader="none" w:pos="540"/>
        </w:tabs>
        <w:spacing/>
        <w:ind/>
        <w:jc w:val="center"/>
        <w:rPr/>
      </w:pPr>
    </w:p>
    <w:p>
      <w:pPr>
        <w:pBdr/>
        <w:spacing w:line="276" w:lineRule="auto"/>
        <w:ind/>
        <w:jc w:val="center"/>
        <w:rPr>
          <w:rFonts w:eastAsiaTheme="minorHAnsi"/>
          <w:lang w:eastAsia="en-US"/>
        </w:rPr>
      </w:pPr>
      <w:r>
        <w:t xml:space="preserve">Toto nařízení nabývá účinnosti </w:t>
      </w:r>
      <w:r>
        <w:rPr>
          <w:rFonts w:eastAsiaTheme="minorHAnsi"/>
          <w:lang w:eastAsia="en-US"/>
        </w:rPr>
        <w:t xml:space="preserve">počátkem patnáctého dne následujícího po dni jejího vyhlášení. </w:t>
      </w:r>
      <w:r>
        <w:rPr>
          <w:rFonts w:eastAsiaTheme="minorHAnsi"/>
          <w:lang w:eastAsia="en-US"/>
        </w:rPr>
      </w:r>
    </w:p>
    <w:p>
      <w:pPr>
        <w:pBdr/>
        <w:spacing/>
        <w:ind/>
        <w:jc w:val="both"/>
        <w:rPr/>
      </w:pPr>
    </w:p>
    <w:p>
      <w:pPr>
        <w:pBdr/>
        <w:tabs>
          <w:tab w:val="left" w:leader="none" w:pos="540"/>
        </w:tabs>
        <w:spacing/>
        <w:ind/>
        <w:jc w:val="center"/>
        <w:rPr/>
      </w:pPr>
    </w:p>
    <w:p>
      <w:pPr>
        <w:pBdr/>
        <w:tabs>
          <w:tab w:val="left" w:leader="none" w:pos="540"/>
        </w:tabs>
        <w:spacing/>
        <w:ind/>
        <w:jc w:val="center"/>
        <w:rPr/>
      </w:pPr>
    </w:p>
    <w:p>
      <w:pPr>
        <w:pBdr/>
        <w:tabs>
          <w:tab w:val="left" w:leader="none" w:pos="540"/>
        </w:tabs>
        <w:spacing/>
        <w:ind/>
        <w:jc w:val="center"/>
        <w:rPr/>
      </w:pPr>
    </w:p>
    <w:p>
      <w:pPr>
        <w:pBdr/>
        <w:tabs>
          <w:tab w:val="left" w:leader="none" w:pos="540"/>
        </w:tabs>
        <w:spacing/>
        <w:ind/>
        <w:jc w:val="center"/>
        <w:rPr/>
      </w:pPr>
    </w:p>
    <w:p>
      <w:pPr>
        <w:pBdr/>
        <w:tabs>
          <w:tab w:val="left" w:leader="none" w:pos="540"/>
        </w:tabs>
        <w:spacing/>
        <w:ind/>
        <w:jc w:val="center"/>
        <w:rPr/>
      </w:pPr>
    </w:p>
    <w:p>
      <w:pPr>
        <w:pBdr/>
        <w:tabs>
          <w:tab w:val="left" w:leader="none" w:pos="993"/>
          <w:tab w:val="left" w:leader="none" w:pos="6946"/>
        </w:tabs>
        <w:spacing/>
        <w:ind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</w:r>
    </w:p>
    <w:p>
      <w:pPr>
        <w:pBdr/>
        <w:tabs>
          <w:tab w:val="left" w:leader="none" w:pos="284"/>
          <w:tab w:val="left" w:leader="none" w:pos="6120"/>
        </w:tabs>
        <w:spacing/>
        <w:ind/>
        <w:jc w:val="both"/>
        <w:rPr/>
      </w:pPr>
      <w:r>
        <w:tab/>
        <w:t xml:space="preserve">……………………. </w:t>
      </w:r>
      <w:r>
        <w:tab/>
        <w:t xml:space="preserve">……………………….</w:t>
      </w:r>
    </w:p>
    <w:p>
      <w:pPr>
        <w:pBdr/>
        <w:tabs>
          <w:tab w:val="left" w:leader="none" w:pos="567"/>
          <w:tab w:val="left" w:leader="none" w:pos="6237"/>
        </w:tabs>
        <w:spacing/>
        <w:ind/>
        <w:jc w:val="both"/>
        <w:rPr/>
      </w:pPr>
      <w:r>
        <w:tab/>
      </w:r>
      <w:r>
        <w:t xml:space="preserve">Karol Polák</w:t>
      </w:r>
      <w:r>
        <w:t xml:space="preserve"> </w:t>
      </w:r>
      <w:r>
        <w:tab/>
        <w:t xml:space="preserve">Ing. Marcela Čurhová</w:t>
      </w:r>
    </w:p>
    <w:p>
      <w:pPr>
        <w:pBdr/>
        <w:tabs>
          <w:tab w:val="left" w:leader="none" w:pos="709"/>
          <w:tab w:val="left" w:leader="none" w:pos="6946"/>
        </w:tabs>
        <w:spacing/>
        <w:ind/>
        <w:jc w:val="both"/>
        <w:rPr/>
      </w:pPr>
      <w:r>
        <w:t xml:space="preserve"> </w:t>
      </w:r>
      <w:r>
        <w:t xml:space="preserve">       </w:t>
      </w:r>
      <w:r>
        <w:t xml:space="preserve">místostarosta</w:t>
      </w:r>
      <w:r>
        <w:tab/>
        <w:t xml:space="preserve">starost</w:t>
      </w:r>
      <w:r>
        <w:t xml:space="preserve">k</w:t>
      </w:r>
      <w:r>
        <w:t xml:space="preserve">a</w:t>
      </w:r>
    </w:p>
    <w:p>
      <w:pPr>
        <w:pBdr/>
        <w:spacing/>
        <w:ind/>
        <w:rPr/>
      </w:pPr>
    </w:p>
    <w:p>
      <w:pPr>
        <w:pBdr/>
        <w:spacing/>
        <w:ind/>
        <w:rPr/>
      </w:pP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ec9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cc3e6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3e6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6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6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6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cs-CZ"/>
      <w14:ligatures w14:val="none"/>
    </w:rPr>
  </w:style>
  <w:style w:type="paragraph" w:styleId="665">
    <w:name w:val="Heading 2"/>
    <w:basedOn w:val="664"/>
    <w:next w:val="664"/>
    <w:link w:val="669"/>
    <w:qFormat/>
    <w:pPr>
      <w:keepNext w:val="true"/>
      <w:pBdr/>
      <w:spacing/>
      <w:ind/>
      <w:jc w:val="both"/>
      <w:outlineLvl w:val="1"/>
    </w:p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character" w:styleId="669" w:customStyle="1">
    <w:name w:val="Nadpis 2 Char"/>
    <w:basedOn w:val="666"/>
    <w:link w:val="665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cs-CZ"/>
      <w14:ligatures w14:val="none"/>
    </w:rPr>
  </w:style>
  <w:style w:type="paragraph" w:styleId="670">
    <w:name w:val="Body Text"/>
    <w:basedOn w:val="664"/>
    <w:link w:val="671"/>
    <w:pPr>
      <w:pBdr/>
      <w:spacing/>
      <w:ind/>
      <w:jc w:val="both"/>
    </w:pPr>
  </w:style>
  <w:style w:type="character" w:styleId="671" w:customStyle="1">
    <w:name w:val="Základní text Char"/>
    <w:basedOn w:val="666"/>
    <w:link w:val="670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cs-CZ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Dnešice</dc:creator>
  <cp:keywords/>
  <dc:description/>
  <cp:revision>10</cp:revision>
  <dcterms:created xsi:type="dcterms:W3CDTF">2023-07-28T10:07:00Z</dcterms:created>
  <dcterms:modified xsi:type="dcterms:W3CDTF">2025-11-03T13:10:48Z</dcterms:modified>
</cp:coreProperties>
</file>