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before="240" w:lineRule="auto"/>
        <w:rPr/>
      </w:pPr>
      <w:r w:rsidDel="00000000" w:rsidR="00000000" w:rsidRPr="00000000">
        <w:rPr>
          <w:rtl w:val="0"/>
        </w:rPr>
        <w:t xml:space="preserve">Obec Tehov</w:t>
        <w:br w:type="textWrapping"/>
        <w:t xml:space="preserve">Zastupitelstvo obce Tehov</w:t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3"/>
        </w:numPr>
        <w:ind w:left="0" w:firstLine="0"/>
        <w:rPr/>
      </w:pPr>
      <w:r w:rsidDel="00000000" w:rsidR="00000000" w:rsidRPr="00000000">
        <w:rPr>
          <w:rtl w:val="0"/>
        </w:rPr>
        <w:t xml:space="preserve">Obecně závazná vyhláška obce Tehov 1/2024</w:t>
        <w:br w:type="textWrapping"/>
        <w:t xml:space="preserve">o stanovení koeficientů daně z nemovitých věcí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2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Zastupitelstvo obce Tehov se na svém zasedání dne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září 2024 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:rsidR="00000000" w:rsidDel="00000000" w:rsidP="00000000" w:rsidRDefault="00000000" w:rsidRPr="00000000" w14:paraId="00000004">
      <w:pPr>
        <w:pStyle w:val="Heading2"/>
        <w:numPr>
          <w:ilvl w:val="1"/>
          <w:numId w:val="3"/>
        </w:numPr>
        <w:ind w:left="0" w:firstLine="0"/>
        <w:rPr/>
      </w:pPr>
      <w:r w:rsidDel="00000000" w:rsidR="00000000" w:rsidRPr="00000000">
        <w:rPr>
          <w:rtl w:val="0"/>
        </w:rPr>
        <w:t xml:space="preserve">Čl. 1</w:t>
        <w:br w:type="textWrapping"/>
      </w:r>
      <w:r w:rsidDel="00000000" w:rsidR="00000000" w:rsidRPr="00000000">
        <w:rPr>
          <w:rtl w:val="0"/>
        </w:rPr>
        <w:t xml:space="preserve">Úvodní ustanovení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Obec Tehov touto vyhláškou stanovuje: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místní koeficient pro obec,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místní koeficient pro jednotlivou skupinu nemovitých věcí.</w:t>
      </w:r>
    </w:p>
    <w:p w:rsidR="00000000" w:rsidDel="00000000" w:rsidP="00000000" w:rsidRDefault="00000000" w:rsidRPr="00000000" w14:paraId="00000008">
      <w:pPr>
        <w:pStyle w:val="Heading2"/>
        <w:numPr>
          <w:ilvl w:val="1"/>
          <w:numId w:val="3"/>
        </w:numPr>
        <w:ind w:left="0" w:firstLine="0"/>
        <w:rPr/>
      </w:pPr>
      <w:r w:rsidDel="00000000" w:rsidR="00000000" w:rsidRPr="00000000">
        <w:rPr>
          <w:rtl w:val="0"/>
        </w:rPr>
        <w:t xml:space="preserve">Čl. 2</w:t>
        <w:br w:type="textWrapping"/>
        <w:t xml:space="preserve">Místní koeficient pro obec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Obec Tehov stanovuje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místní koeficient pro obec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ve výši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Místní koeficient pro obec se vztahuje na všechny nemovité věci na území celé obce Tehov s výjimkou pozemků zařazených do skupiny vybraných zemědělských pozemků, trvalých travních porostů nebo nevyužitelných ostatních ploch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Pokud se na nemovitou věc vztahuje vedle místního koeficientu pro obec také jiný místní koeficient, místní koeficient pro obec se na ni nepoužije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pStyle w:val="Heading2"/>
        <w:numPr>
          <w:ilvl w:val="1"/>
          <w:numId w:val="3"/>
        </w:numPr>
        <w:ind w:left="0" w:firstLine="0"/>
        <w:rPr/>
      </w:pPr>
      <w:r w:rsidDel="00000000" w:rsidR="00000000" w:rsidRPr="00000000">
        <w:rPr>
          <w:rtl w:val="0"/>
        </w:rPr>
        <w:t xml:space="preserve">Čl. 3</w:t>
        <w:br w:type="textWrapping"/>
      </w:r>
      <w:r w:rsidDel="00000000" w:rsidR="00000000" w:rsidRPr="00000000">
        <w:rPr>
          <w:rtl w:val="0"/>
        </w:rPr>
        <w:t xml:space="preserve">Místní koeficient pro jednotlivou skupinu nemovitých věcí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Obec Tehov stanovuje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místní koeficient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 jednotlivou skupinu staveb a jednotek dle § 10a odst. 1 zákona o dani z nemovitých věcí, a 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rekreační budovy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ve výši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Místní koeficient pro jednotlivou skupinu nemovitých věcí se vztahuje na všechny nemovité věci dané skupiny nemovitých věcí na území celé obce Tehov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pStyle w:val="Heading2"/>
        <w:numPr>
          <w:ilvl w:val="1"/>
          <w:numId w:val="3"/>
        </w:numPr>
        <w:ind w:left="0" w:firstLine="0"/>
        <w:rPr/>
      </w:pPr>
      <w:r w:rsidDel="00000000" w:rsidR="00000000" w:rsidRPr="00000000">
        <w:rPr>
          <w:rtl w:val="0"/>
        </w:rPr>
        <w:t xml:space="preserve">Čl. 4</w:t>
        <w:br w:type="textWrapping"/>
        <w:t xml:space="preserve">Zrušovací ustanovení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Zrušuje se obecně závazná vyhláška č. 1/2011, o stanovení místního koeficientu pro výpočet daně z nemovitosti, ze dne 26. září 2011.</w:t>
      </w:r>
    </w:p>
    <w:p w:rsidR="00000000" w:rsidDel="00000000" w:rsidP="00000000" w:rsidRDefault="00000000" w:rsidRPr="00000000" w14:paraId="00000011">
      <w:pPr>
        <w:pStyle w:val="Heading2"/>
        <w:numPr>
          <w:ilvl w:val="1"/>
          <w:numId w:val="3"/>
        </w:numPr>
        <w:ind w:left="0" w:firstLine="0"/>
        <w:rPr/>
      </w:pPr>
      <w:r w:rsidDel="00000000" w:rsidR="00000000" w:rsidRPr="00000000">
        <w:rPr>
          <w:rtl w:val="0"/>
        </w:rPr>
        <w:t xml:space="preserve">Čl. 5</w:t>
        <w:br w:type="textWrapping"/>
        <w:t xml:space="preserve">Účinnost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vyhláška nabývá účinnosti dnem 1. ledna 2025.</w:t>
      </w:r>
    </w:p>
    <w:tbl>
      <w:tblPr>
        <w:tblStyle w:val="Table1"/>
        <w:tblW w:w="9641.0" w:type="dxa"/>
        <w:jc w:val="left"/>
        <w:tblInd w:w="-55.0" w:type="dxa"/>
        <w:tblLayout w:type="fixed"/>
        <w:tblLook w:val="0000"/>
      </w:tblPr>
      <w:tblGrid>
        <w:gridCol w:w="4820"/>
        <w:gridCol w:w="4821"/>
        <w:tblGridChange w:id="0">
          <w:tblGrid>
            <w:gridCol w:w="4820"/>
            <w:gridCol w:w="4821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Ing. arch. David Hlouch v. r.</w:t>
              <w:br w:type="textWrapping"/>
              <w:t xml:space="preserve"> starosta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RNDr. Kateřina Ruszová, Ph.D. v. r.</w:t>
              <w:br w:type="textWrapping"/>
              <w:t xml:space="preserve"> místostarostka 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134" w:top="1134" w:left="1134" w:right="1134" w:header="4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iberation Serif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12ab odst. 1 a 6 zákona o dani z nemovitých věcí</w:t>
      </w:r>
    </w:p>
  </w:footnote>
  <w:footnote w:id="1"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12 odst. 5 zákona o dani z nemovitých věcí</w:t>
      </w:r>
    </w:p>
  </w:footnote>
  <w:footnote w:id="2"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12ab odst. 4 zákona o dani z nemovitých věcí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38" w:before="238" w:lineRule="auto"/>
      <w:ind w:left="0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120" w:before="360" w:line="276" w:lineRule="auto"/>
      <w:ind w:left="0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