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sz w:val="32"/>
          <w:szCs w:val="32"/>
        </w:rPr>
        <w:t>Město Sobotka</w:t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eastAsia="Tahoma" w:cs="Tahoma" w:ascii="Calibri" w:hAnsi="Calibri"/>
          <w:b/>
          <w:bCs/>
          <w:sz w:val="28"/>
          <w:szCs w:val="28"/>
          <w:lang w:eastAsia="zxx" w:bidi="zxx"/>
        </w:rPr>
        <w:t>Zastupitelstvo města Sobotka</w:t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/>
        <w:drawing>
          <wp:inline distT="0" distB="0" distL="0" distR="0">
            <wp:extent cx="714375" cy="873125"/>
            <wp:effectExtent l="0" t="0" r="0" b="0"/>
            <wp:docPr id="1" name="Obrázek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501" t="-2862" r="-3501" b="-2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 w:before="0" w:after="0"/>
        <w:ind w:hanging="0" w:start="225" w:end="0"/>
        <w:jc w:val="center"/>
        <w:rPr>
          <w:rFonts w:ascii="Calibri" w:hAnsi="Calibri"/>
        </w:rPr>
      </w:pPr>
      <w:r>
        <w:rPr>
          <w:rFonts w:eastAsia="Tahoma" w:cs="Tahoma" w:ascii="Calibri" w:hAnsi="Calibri"/>
          <w:b/>
          <w:sz w:val="28"/>
          <w:szCs w:val="28"/>
          <w:lang w:eastAsia="zxx" w:bidi="zxx"/>
        </w:rPr>
        <w:t>Obecně závazná vyhláška č. 4/2023</w:t>
      </w:r>
    </w:p>
    <w:p>
      <w:pPr>
        <w:pStyle w:val="BodyText"/>
        <w:spacing w:lineRule="auto" w:line="276" w:before="0" w:after="0"/>
        <w:ind w:hanging="0" w:start="214" w:end="0"/>
        <w:jc w:val="center"/>
        <w:rPr>
          <w:rFonts w:ascii="Calibri" w:hAnsi="Calibri"/>
        </w:rPr>
      </w:pPr>
      <w:r>
        <w:rPr>
          <w:rFonts w:eastAsia="Tahoma" w:cs="Tahoma" w:ascii="Calibri" w:hAnsi="Calibri"/>
          <w:b/>
          <w:bCs/>
          <w:sz w:val="28"/>
          <w:szCs w:val="28"/>
          <w:lang w:eastAsia="zxx" w:bidi="zxx"/>
        </w:rPr>
        <w:t>o místním poplatku za odkládání komunálního odpadu z nemovité věci</w:t>
      </w:r>
    </w:p>
    <w:p>
      <w:pPr>
        <w:pStyle w:val="BodyText"/>
        <w:spacing w:lineRule="auto" w:line="276" w:before="0" w:after="0"/>
        <w:ind w:hanging="0" w:start="214" w:end="0"/>
        <w:jc w:val="center"/>
        <w:rPr>
          <w:rFonts w:ascii="Calibri" w:hAnsi="Calibri" w:eastAsia="Tahoma" w:cs="Times New Roman"/>
          <w:sz w:val="28"/>
          <w:szCs w:val="28"/>
          <w:lang w:eastAsia="zxx" w:bidi="zxx"/>
        </w:rPr>
      </w:pPr>
      <w:r>
        <w:rPr>
          <w:rFonts w:eastAsia="Tahoma" w:cs="Times New Roman" w:ascii="Calibri" w:hAnsi="Calibri"/>
          <w:sz w:val="28"/>
          <w:szCs w:val="28"/>
          <w:lang w:eastAsia="zxx" w:bidi="zxx"/>
        </w:rPr>
      </w:r>
    </w:p>
    <w:p>
      <w:pPr>
        <w:pStyle w:val="BodyText"/>
        <w:spacing w:lineRule="auto" w:line="276" w:before="0" w:after="0"/>
        <w:ind w:hanging="0" w:start="214" w:end="0"/>
        <w:jc w:val="center"/>
        <w:rPr>
          <w:rFonts w:ascii="Calibri" w:hAnsi="Calibri" w:eastAsia="Tahoma" w:cs="Times New Roman"/>
          <w:sz w:val="28"/>
          <w:szCs w:val="28"/>
          <w:lang w:eastAsia="zxx" w:bidi="zxx"/>
        </w:rPr>
      </w:pPr>
      <w:r>
        <w:rPr>
          <w:rFonts w:eastAsia="Tahoma" w:cs="Times New Roman" w:ascii="Calibri" w:hAnsi="Calibri"/>
          <w:sz w:val="28"/>
          <w:szCs w:val="28"/>
          <w:lang w:eastAsia="zxx" w:bidi="zxx"/>
        </w:rPr>
      </w:r>
    </w:p>
    <w:p>
      <w:pPr>
        <w:sectPr>
          <w:footerReference w:type="default" r:id="rId4"/>
          <w:type w:val="nextPage"/>
          <w:pgSz w:w="11906" w:h="16838"/>
          <w:pgMar w:left="1134" w:right="1134" w:gutter="0" w:header="0" w:top="1134" w:footer="850" w:bottom="136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sz w:val="20"/>
          <w:szCs w:val="20"/>
          <w:lang w:eastAsia="zxx" w:bidi="zxx"/>
        </w:rPr>
        <w:t>Zastupitelstvo města Sobotky se na svém zasedání dne 14</w:t>
      </w:r>
      <w:r>
        <w:rPr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t>. 12. 2023 usneslo vydat na základě § 14 zákona č. 565/1990 Sb., o místních poplatcích, ve znění pozdějších předpisů (dále jen „zákon o místních poplatcích“), a v souladu s § 10 písm. d) a § 84 odst. 2 písm. h) zákona č. 128/2000 Sb., o obcích (obecní zřízení), ve znění pozdějších předpisů, tuto obecně závaznou vyhlášku (dále jen „vyhláška“).</w:t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jc w:val="both"/>
        <w:rPr>
          <w:rFonts w:ascii="Calibri" w:hAnsi="Calibri" w:eastAsia="Tahoma" w:cs="Tahoma"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eastAsia="Tahoma" w:cs="Tahoma" w:ascii="Calibri" w:hAnsi="Calibri"/>
          <w:b w:val="false"/>
          <w:bCs w:val="false"/>
          <w:color w:val="auto"/>
          <w:kern w:val="2"/>
          <w:sz w:val="20"/>
          <w:szCs w:val="20"/>
          <w:lang w:val="cs-CZ" w:eastAsia="zxx" w:bidi="zxx"/>
        </w:rPr>
        <w:t>Čl. 1</w:t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  <w:t>Úvodní ustanovení</w:t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t>(1) Město Sobotka touto vyhláškou zavádí místní poplatek za odkládání komunálního odpadu z nemovité věci (dále jen „poplatek“).</w:t>
      </w:r>
    </w:p>
    <w:p>
      <w:pPr>
        <w:pStyle w:val="Normal"/>
        <w:tabs>
          <w:tab w:val="clear" w:pos="720"/>
          <w:tab w:val="left" w:pos="516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t>(2) Poplatkovým obdobím poplatku je kalendářní rok</w:t>
      </w:r>
      <w:r>
        <w:rPr>
          <w:rStyle w:val="FootnoteReference"/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footnoteReference w:id="2"/>
      </w:r>
      <w:r>
        <w:rPr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t>.</w:t>
      </w:r>
    </w:p>
    <w:p>
      <w:pPr>
        <w:pStyle w:val="Normal"/>
        <w:tabs>
          <w:tab w:val="clear" w:pos="720"/>
          <w:tab w:val="left" w:pos="516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t>(3) Správcem poplatku je Městský úřad Sobotka</w:t>
      </w:r>
      <w:r>
        <w:rPr>
          <w:rStyle w:val="FootnoteReference"/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footnoteReference w:id="3"/>
      </w:r>
      <w:r>
        <w:rPr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t>.</w:t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  <w:sz w:val="20"/>
          <w:szCs w:val="20"/>
          <w:shd w:fill="FFFF00" w:val="clear"/>
        </w:rPr>
      </w:pPr>
      <w:r>
        <w:rPr>
          <w:rFonts w:ascii="Calibri" w:hAnsi="Calibri"/>
          <w:sz w:val="20"/>
          <w:szCs w:val="20"/>
          <w:shd w:fill="FFFF00" w:val="clear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eastAsia="Tahoma" w:cs="Tahoma" w:ascii="Calibri" w:hAnsi="Calibri"/>
          <w:b w:val="false"/>
          <w:bCs w:val="false"/>
          <w:color w:val="auto"/>
          <w:kern w:val="2"/>
          <w:sz w:val="20"/>
          <w:szCs w:val="20"/>
          <w:lang w:val="cs-CZ" w:eastAsia="zxx" w:bidi="zxx"/>
        </w:rPr>
        <w:t>Čl. 2</w:t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  <w:t>Předmět poplatku, poplatník a plátce poplatku</w:t>
      </w:r>
    </w:p>
    <w:p>
      <w:pPr>
        <w:pStyle w:val="Normal"/>
        <w:tabs>
          <w:tab w:val="clear" w:pos="720"/>
          <w:tab w:val="left" w:pos="4125" w:leader="none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t>(1) Předmětem poplatku je odkládání směsného komunálního odpadu z jednotlivé nemovité věci zahrnující byt, rodinný dům nebo stavbu pro rodinnou rekreaci, která se nachází na území města Sobotka</w:t>
      </w:r>
      <w:r>
        <w:rPr>
          <w:rStyle w:val="FootnoteReference"/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footnoteReference w:id="4"/>
      </w:r>
      <w:r>
        <w:rPr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t>.</w:t>
      </w:r>
    </w:p>
    <w:p>
      <w:pPr>
        <w:pStyle w:val="Normal"/>
        <w:tabs>
          <w:tab w:val="clear" w:pos="720"/>
          <w:tab w:val="left" w:pos="4125" w:leader="none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t>(2) Poplatníkem poplatku je</w:t>
      </w:r>
      <w:r>
        <w:rPr>
          <w:rStyle w:val="FootnoteReference"/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footnoteReference w:id="5"/>
      </w:r>
      <w:r>
        <w:rPr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t>:</w:t>
      </w:r>
    </w:p>
    <w:p>
      <w:pPr>
        <w:pStyle w:val="Normal"/>
        <w:widowControl w:val="false"/>
        <w:tabs>
          <w:tab w:val="clear" w:pos="720"/>
          <w:tab w:val="left" w:pos="4125" w:leader="none"/>
          <w:tab w:val="left" w:pos="5100" w:leader="none"/>
        </w:tabs>
        <w:suppressAutoHyphens w:val="true"/>
        <w:bidi w:val="0"/>
        <w:spacing w:lineRule="auto" w:line="276" w:before="0" w:after="0"/>
        <w:ind w:hanging="227" w:start="227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t xml:space="preserve">a) fyzická osoba, která má v nemovité věci bydliště, </w:t>
      </w:r>
    </w:p>
    <w:p>
      <w:pPr>
        <w:pStyle w:val="Normal"/>
        <w:widowControl w:val="false"/>
        <w:tabs>
          <w:tab w:val="clear" w:pos="720"/>
          <w:tab w:val="left" w:pos="4125" w:leader="none"/>
          <w:tab w:val="left" w:pos="5100" w:leader="none"/>
        </w:tabs>
        <w:suppressAutoHyphens w:val="true"/>
        <w:bidi w:val="0"/>
        <w:spacing w:lineRule="auto" w:line="276" w:before="0" w:after="0"/>
        <w:ind w:hanging="227" w:start="227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t>b) nebo vlastník nemovité věci, ve které nemá bydliště žádná fyzická osoba.</w:t>
      </w:r>
    </w:p>
    <w:p>
      <w:pPr>
        <w:pStyle w:val="Normal"/>
        <w:widowControl w:val="false"/>
        <w:tabs>
          <w:tab w:val="clear" w:pos="720"/>
          <w:tab w:val="left" w:pos="4125" w:leader="none"/>
          <w:tab w:val="left" w:pos="5100" w:leader="none"/>
        </w:tabs>
        <w:suppressAutoHyphens w:val="true"/>
        <w:bidi w:val="0"/>
        <w:spacing w:lineRule="auto" w:line="276" w:before="0" w:after="0"/>
        <w:ind w:firstLine="284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t>(3) Plátcem poplatku je</w:t>
      </w:r>
      <w:r>
        <w:rPr>
          <w:rStyle w:val="FootnoteReference"/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footnoteReference w:id="6"/>
      </w:r>
      <w:r>
        <w:rPr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t>:</w:t>
      </w:r>
    </w:p>
    <w:p>
      <w:pPr>
        <w:pStyle w:val="Normal"/>
        <w:widowControl w:val="false"/>
        <w:tabs>
          <w:tab w:val="clear" w:pos="720"/>
          <w:tab w:val="left" w:pos="4125" w:leader="none"/>
          <w:tab w:val="left" w:pos="5100" w:leader="none"/>
        </w:tabs>
        <w:suppressAutoHyphens w:val="true"/>
        <w:bidi w:val="0"/>
        <w:spacing w:lineRule="auto" w:line="276" w:before="0" w:after="0"/>
        <w:ind w:hanging="227" w:start="227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t>a) společenství vlastníků jednotek, pokud pro dům vzniklo,</w:t>
      </w:r>
    </w:p>
    <w:p>
      <w:pPr>
        <w:pStyle w:val="Normal"/>
        <w:widowControl w:val="false"/>
        <w:tabs>
          <w:tab w:val="clear" w:pos="720"/>
          <w:tab w:val="left" w:pos="4125" w:leader="none"/>
          <w:tab w:val="left" w:pos="5100" w:leader="none"/>
        </w:tabs>
        <w:suppressAutoHyphens w:val="true"/>
        <w:bidi w:val="0"/>
        <w:spacing w:lineRule="auto" w:line="276" w:before="0" w:after="0"/>
        <w:ind w:hanging="227" w:start="227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t>b) nebo vlastník nemovité věci v ostatních případech.</w:t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t>(4) Plátce poplatku je povinen vybrat poplatek od poplatníka</w:t>
      </w:r>
      <w:r>
        <w:rPr>
          <w:rStyle w:val="FootnoteReference"/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footnoteReference w:id="7"/>
      </w:r>
      <w:r>
        <w:rPr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t xml:space="preserve">. </w:t>
      </w:r>
    </w:p>
    <w:p>
      <w:pPr>
        <w:pStyle w:val="Normal"/>
        <w:tabs>
          <w:tab w:val="clear" w:pos="720"/>
          <w:tab w:val="left" w:pos="1575" w:leader="none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t>(5) Spoluvlastníci nemovité věci zahrnující byt, rodinný dům nebo stavbu pro rodinnou rekreaci jsou povinni plnit poplatkovou povinnost společně a nerozdílně</w:t>
      </w:r>
      <w:r>
        <w:rPr>
          <w:rStyle w:val="FootnoteReference"/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footnoteReference w:id="8"/>
      </w:r>
      <w:r>
        <w:rPr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t>.</w:t>
      </w:r>
    </w:p>
    <w:p>
      <w:pPr>
        <w:pStyle w:val="Normal"/>
        <w:tabs>
          <w:tab w:val="clear" w:pos="720"/>
          <w:tab w:val="left" w:pos="1575" w:leader="none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eastAsia="Tahoma" w:cs="Tahoma" w:ascii="Calibri" w:hAnsi="Calibri"/>
          <w:b w:val="false"/>
          <w:bCs w:val="false"/>
          <w:color w:val="auto"/>
          <w:kern w:val="2"/>
          <w:sz w:val="20"/>
          <w:szCs w:val="20"/>
          <w:lang w:val="cs-CZ" w:eastAsia="zxx" w:bidi="zxx"/>
        </w:rPr>
        <w:t>Čl. 3</w:t>
      </w:r>
    </w:p>
    <w:p>
      <w:pPr>
        <w:pStyle w:val="Normal"/>
        <w:widowControl w:val="false"/>
        <w:tabs>
          <w:tab w:val="clear" w:pos="720"/>
          <w:tab w:val="left" w:pos="5100" w:leader="none"/>
        </w:tabs>
        <w:suppressAutoHyphens w:val="true"/>
        <w:overflowPunct w:val="true"/>
        <w:bidi w:val="0"/>
        <w:spacing w:lineRule="auto" w:line="276" w:before="0" w:after="0"/>
        <w:ind w:hanging="0" w:start="0" w:end="0"/>
        <w:jc w:val="center"/>
        <w:rPr>
          <w:rFonts w:ascii="Calibri" w:hAnsi="Calibri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  <w:t>Ohlašovací povinnost</w:t>
      </w:r>
    </w:p>
    <w:p>
      <w:pPr>
        <w:pStyle w:val="Normal"/>
        <w:widowControl w:val="false"/>
        <w:tabs>
          <w:tab w:val="clear" w:pos="720"/>
          <w:tab w:val="left" w:pos="5100" w:leader="none"/>
        </w:tabs>
        <w:suppressAutoHyphens w:val="true"/>
        <w:overflowPunct w:val="true"/>
        <w:bidi w:val="0"/>
        <w:spacing w:lineRule="auto" w:line="276" w:before="0" w:after="0"/>
        <w:ind w:hanging="0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color w:val="auto"/>
          <w:kern w:val="2"/>
          <w:sz w:val="20"/>
          <w:szCs w:val="20"/>
          <w:lang w:val="cs-CZ" w:eastAsia="zxx" w:bidi="zxx"/>
        </w:rPr>
        <w:t>(1) Plátce poplatku je povinen podat správci poplatku ohlášení nejpozději do</w:t>
      </w:r>
      <w:r>
        <w:rPr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  <w:t xml:space="preserve"> 15 dnů ode dne, kdy nabyl postavení plátce poplatku; údaje uváděné v ohlášení upravuje zákon</w:t>
      </w:r>
      <w:r>
        <w:rPr>
          <w:rStyle w:val="FootnoteReference"/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  <w:footnoteReference w:id="9"/>
      </w:r>
      <w:r>
        <w:rPr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  <w:t>.</w:t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  <w:t>(2) Dojde-li ke změně údajů uvedených v ohlášení, je plátce povinen tuto změnu oznámit do 15 dnů ode dne, kdy nastala</w:t>
      </w:r>
      <w:r>
        <w:rPr>
          <w:rStyle w:val="FootnoteReference"/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  <w:footnoteReference w:id="10"/>
      </w:r>
      <w:r>
        <w:rPr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  <w:t>.</w:t>
      </w:r>
    </w:p>
    <w:p>
      <w:pPr>
        <w:pStyle w:val="Normal"/>
        <w:widowControl w:val="false"/>
        <w:tabs>
          <w:tab w:val="clear" w:pos="720"/>
          <w:tab w:val="left" w:pos="5100" w:leader="none"/>
        </w:tabs>
        <w:suppressAutoHyphens w:val="true"/>
        <w:overflowPunct w:val="true"/>
        <w:bidi w:val="0"/>
        <w:spacing w:lineRule="auto" w:line="276" w:before="0" w:after="0"/>
        <w:ind w:hanging="0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  <w:t>(3) Není-li plátce, plní ohlašovací povinnost poplatník</w:t>
      </w:r>
      <w:r>
        <w:rPr>
          <w:rStyle w:val="FootnoteReference"/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  <w:footnoteReference w:id="11"/>
      </w:r>
      <w:r>
        <w:rPr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  <w:t>.</w:t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 w:eastAsia="Tahoma" w:cs="Tahoma"/>
          <w:color w:val="auto"/>
          <w:kern w:val="2"/>
          <w:sz w:val="20"/>
          <w:szCs w:val="20"/>
          <w:shd w:fill="auto" w:val="clear"/>
          <w:lang w:val="cs-CZ" w:eastAsia="zxx" w:bidi="zxx"/>
        </w:rPr>
      </w:pPr>
      <w:r>
        <w:rPr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eastAsia="Tahoma" w:cs="Tahoma" w:ascii="Calibri" w:hAnsi="Calibri"/>
          <w:b w:val="false"/>
          <w:bCs w:val="false"/>
          <w:color w:val="auto"/>
          <w:kern w:val="2"/>
          <w:sz w:val="20"/>
          <w:szCs w:val="20"/>
          <w:lang w:val="cs-CZ" w:eastAsia="zxx" w:bidi="zxx"/>
        </w:rPr>
        <w:t>Čl. 4</w:t>
      </w:r>
    </w:p>
    <w:p>
      <w:pPr>
        <w:pStyle w:val="Normal"/>
        <w:widowControl w:val="false"/>
        <w:tabs>
          <w:tab w:val="clear" w:pos="720"/>
          <w:tab w:val="left" w:pos="5100" w:leader="none"/>
        </w:tabs>
        <w:suppressAutoHyphens w:val="true"/>
        <w:overflowPunct w:val="true"/>
        <w:bidi w:val="0"/>
        <w:spacing w:lineRule="auto" w:line="276" w:before="0" w:after="0"/>
        <w:ind w:hanging="0" w:start="0" w:end="0"/>
        <w:jc w:val="center"/>
        <w:rPr>
          <w:rFonts w:ascii="Calibri" w:hAnsi="Calibri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  <w:t>Základ poplatku</w:t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  <w:t>(1) Základem dílčího poplatku je kapacita soustřeďovacích prostředků pro nemovitou věc na odpad za kalendářní měsíc v litrech připadající na poplatníka</w:t>
      </w:r>
      <w:r>
        <w:rPr>
          <w:rStyle w:val="FootnoteReference"/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  <w:footnoteReference w:id="12"/>
      </w:r>
      <w:r>
        <w:rPr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  <w:t>.</w:t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  <w:t>(2) Objednanou kapacitou soustřeďovacích prostředků pro nemovitou věc za kalendářní měsíc připadající na poplatníka je:</w:t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hanging="227" w:start="227" w:end="0"/>
        <w:jc w:val="both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 xml:space="preserve">a) podíl objednané kapacity soustřeďovacích prostředků pro tuto nemovitou věc na kalendářní měsíc a počtu fyzických osob, které v této nemovité věci mají bydliště na konci kalendářního měsíce, </w:t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hanging="227" w:start="227" w:end="0"/>
        <w:jc w:val="both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b) nebo kapacita soustřeďovacích prostředků pro tuto nemovitou věc na kalendář měsíc v případě, že v nemovité věci nemá bydliště žádná fyzická osoba</w:t>
      </w:r>
      <w:r>
        <w:rPr>
          <w:rStyle w:val="FootnoteReference"/>
          <w:rFonts w:ascii="Calibri" w:hAnsi="Calibri"/>
          <w:sz w:val="20"/>
          <w:szCs w:val="20"/>
        </w:rPr>
        <w:footnoteReference w:id="13"/>
      </w:r>
      <w:r>
        <w:rPr>
          <w:rFonts w:ascii="Calibri" w:hAnsi="Calibri"/>
          <w:sz w:val="20"/>
          <w:szCs w:val="20"/>
        </w:rPr>
        <w:t>.</w:t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  <w:t>(3) Minimální základ dílčího poplatku činí 50 l.</w:t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eastAsia="Tahoma" w:cs="Tahoma" w:ascii="Calibri" w:hAnsi="Calibri"/>
          <w:b w:val="false"/>
          <w:bCs w:val="false"/>
          <w:color w:val="auto"/>
          <w:kern w:val="2"/>
          <w:sz w:val="20"/>
          <w:szCs w:val="20"/>
          <w:lang w:val="cs-CZ" w:eastAsia="zxx" w:bidi="zxx"/>
        </w:rPr>
        <w:t>Čl. 5</w:t>
      </w:r>
    </w:p>
    <w:p>
      <w:pPr>
        <w:pStyle w:val="Normal"/>
        <w:widowControl w:val="false"/>
        <w:tabs>
          <w:tab w:val="clear" w:pos="720"/>
          <w:tab w:val="left" w:pos="5100" w:leader="none"/>
        </w:tabs>
        <w:suppressAutoHyphens w:val="true"/>
        <w:overflowPunct w:val="true"/>
        <w:bidi w:val="0"/>
        <w:spacing w:lineRule="auto" w:line="276" w:before="0" w:after="0"/>
        <w:ind w:hanging="0" w:start="0" w:end="0"/>
        <w:jc w:val="center"/>
        <w:rPr>
          <w:rFonts w:ascii="Calibri" w:hAnsi="Calibri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  <w:t>Sazba poplatku</w:t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b w:val="false"/>
          <w:bCs w:val="false"/>
          <w:color w:val="000000"/>
          <w:kern w:val="2"/>
          <w:sz w:val="20"/>
          <w:szCs w:val="20"/>
          <w:shd w:fill="auto" w:val="clear"/>
          <w:lang w:val="cs-CZ" w:eastAsia="zxx" w:bidi="zxx"/>
        </w:rPr>
        <w:t>Sazba poplatku činí 0,</w:t>
      </w:r>
      <w:r>
        <w:rPr>
          <w:rFonts w:eastAsia="Tahoma" w:cs="Tahoma" w:ascii="Calibri" w:hAnsi="Calibri"/>
          <w:b w:val="false"/>
          <w:bCs w:val="false"/>
          <w:color w:val="000000"/>
          <w:kern w:val="2"/>
          <w:sz w:val="20"/>
          <w:szCs w:val="20"/>
          <w:shd w:fill="auto" w:val="clear"/>
          <w:lang w:val="cs-CZ" w:eastAsia="zxx" w:bidi="zxx"/>
        </w:rPr>
        <w:t>7</w:t>
      </w:r>
      <w:r>
        <w:rPr>
          <w:rFonts w:eastAsia="Tahoma" w:cs="Tahoma" w:ascii="Calibri" w:hAnsi="Calibri"/>
          <w:b w:val="false"/>
          <w:bCs w:val="false"/>
          <w:color w:val="000000"/>
          <w:kern w:val="2"/>
          <w:sz w:val="20"/>
          <w:szCs w:val="20"/>
          <w:shd w:fill="auto" w:val="clear"/>
          <w:lang w:val="cs-CZ" w:eastAsia="zxx" w:bidi="zxx"/>
        </w:rPr>
        <w:t>0 Kč za litr.</w:t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eastAsia="Tahoma" w:cs="Tahoma" w:ascii="Calibri" w:hAnsi="Calibri"/>
          <w:b w:val="false"/>
          <w:bCs w:val="false"/>
          <w:color w:val="auto"/>
          <w:kern w:val="2"/>
          <w:sz w:val="20"/>
          <w:szCs w:val="20"/>
          <w:lang w:val="cs-CZ" w:eastAsia="zxx" w:bidi="zxx"/>
        </w:rPr>
        <w:t>Čl. 6</w:t>
      </w:r>
    </w:p>
    <w:p>
      <w:pPr>
        <w:pStyle w:val="Normal"/>
        <w:widowControl w:val="false"/>
        <w:tabs>
          <w:tab w:val="clear" w:pos="720"/>
          <w:tab w:val="left" w:pos="5100" w:leader="none"/>
        </w:tabs>
        <w:suppressAutoHyphens w:val="true"/>
        <w:overflowPunct w:val="true"/>
        <w:bidi w:val="0"/>
        <w:spacing w:lineRule="auto" w:line="276" w:before="0" w:after="0"/>
        <w:ind w:hanging="0" w:start="0" w:end="0"/>
        <w:jc w:val="center"/>
        <w:rPr>
          <w:rFonts w:ascii="Calibri" w:hAnsi="Calibri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  <w:t>Výpočet poplatku</w:t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  <w:t>(1) Poplatek se vypočte jako součet dílčích poplatků za jednotlivé kalendářní měsíce, na jejichž konci</w:t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hanging="227" w:start="227" w:end="0"/>
        <w:jc w:val="both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 xml:space="preserve">a) měl poplatník v nemovité věci bydliště, </w:t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hanging="227" w:start="227" w:end="0"/>
        <w:jc w:val="both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b) nebo neměla v nemovité věci bydliště žádná fyzická osoba v případě, že poplatníkem je vlastník této nemovité věci</w:t>
      </w:r>
      <w:r>
        <w:rPr>
          <w:rStyle w:val="FootnoteReference"/>
          <w:rFonts w:ascii="Calibri" w:hAnsi="Calibri"/>
          <w:sz w:val="20"/>
          <w:szCs w:val="20"/>
        </w:rPr>
        <w:footnoteReference w:id="14"/>
      </w:r>
      <w:r>
        <w:rPr>
          <w:rFonts w:ascii="Calibri" w:hAnsi="Calibri"/>
          <w:sz w:val="20"/>
          <w:szCs w:val="20"/>
        </w:rPr>
        <w:t>.</w:t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b w:val="false"/>
          <w:bCs w:val="false"/>
          <w:color w:val="000000"/>
          <w:kern w:val="2"/>
          <w:sz w:val="20"/>
          <w:szCs w:val="20"/>
          <w:shd w:fill="auto" w:val="clear"/>
          <w:lang w:val="cs-CZ" w:eastAsia="zxx" w:bidi="zxx"/>
        </w:rPr>
        <w:t>(2) Dílčí poplatek za kalendářní měsíc se vypočte jako součin základu dílčího poplatku zaokrouhleného na celé litry nahoru a sazby pro tento základ</w:t>
      </w:r>
      <w:r>
        <w:rPr>
          <w:rStyle w:val="FootnoteReference"/>
          <w:rFonts w:eastAsia="Tahoma" w:cs="Tahoma" w:ascii="Calibri" w:hAnsi="Calibri"/>
          <w:b w:val="false"/>
          <w:bCs w:val="false"/>
          <w:color w:val="000000"/>
          <w:kern w:val="2"/>
          <w:sz w:val="20"/>
          <w:szCs w:val="20"/>
          <w:shd w:fill="auto" w:val="clear"/>
          <w:lang w:val="cs-CZ" w:eastAsia="zxx" w:bidi="zxx"/>
        </w:rPr>
        <w:footnoteReference w:id="15"/>
      </w:r>
      <w:r>
        <w:rPr>
          <w:rFonts w:eastAsia="Tahoma" w:cs="Tahoma" w:ascii="Calibri" w:hAnsi="Calibri"/>
          <w:b w:val="false"/>
          <w:bCs w:val="false"/>
          <w:color w:val="000000"/>
          <w:kern w:val="2"/>
          <w:sz w:val="20"/>
          <w:szCs w:val="20"/>
          <w:shd w:fill="auto" w:val="clear"/>
          <w:lang w:val="cs-CZ" w:eastAsia="zxx" w:bidi="zxx"/>
        </w:rPr>
        <w:t>.</w:t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 w:eastAsia="Tahoma" w:cs="Tahoma"/>
          <w:b/>
          <w:bCs/>
          <w:color w:val="auto"/>
          <w:kern w:val="2"/>
          <w:sz w:val="20"/>
          <w:szCs w:val="20"/>
          <w:lang w:val="cs-CZ" w:eastAsia="zxx" w:bidi="zxx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eastAsia="Tahoma" w:cs="Tahoma" w:ascii="Calibri" w:hAnsi="Calibri"/>
          <w:b w:val="false"/>
          <w:bCs w:val="false"/>
          <w:color w:val="auto"/>
          <w:kern w:val="2"/>
          <w:sz w:val="20"/>
          <w:szCs w:val="20"/>
          <w:lang w:val="cs-CZ" w:eastAsia="zxx" w:bidi="zxx"/>
        </w:rPr>
        <w:t>Čl. 7</w:t>
      </w:r>
    </w:p>
    <w:p>
      <w:pPr>
        <w:pStyle w:val="Normal"/>
        <w:widowControl w:val="false"/>
        <w:tabs>
          <w:tab w:val="clear" w:pos="720"/>
          <w:tab w:val="left" w:pos="5100" w:leader="none"/>
        </w:tabs>
        <w:suppressAutoHyphens w:val="true"/>
        <w:overflowPunct w:val="true"/>
        <w:bidi w:val="0"/>
        <w:spacing w:lineRule="auto" w:line="276" w:before="0" w:after="0"/>
        <w:ind w:hanging="0" w:start="0" w:end="0"/>
        <w:jc w:val="center"/>
        <w:rPr>
          <w:rFonts w:ascii="Calibri" w:hAnsi="Calibri"/>
        </w:rPr>
      </w:pPr>
      <w:r>
        <w:rPr>
          <w:rFonts w:eastAsia="Tahoma" w:cs="Tahoma" w:ascii="Calibri" w:hAnsi="Calibri"/>
          <w:b/>
          <w:bCs/>
          <w:color w:val="auto"/>
          <w:kern w:val="2"/>
          <w:sz w:val="20"/>
          <w:szCs w:val="20"/>
          <w:lang w:val="cs-CZ" w:eastAsia="zxx" w:bidi="zxx"/>
        </w:rPr>
        <w:t>Splatnost poplatku</w:t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  <w:t xml:space="preserve">(1) Plátce poplatku </w:t>
      </w:r>
      <w:r>
        <w:rPr>
          <w:rFonts w:eastAsia="Tahoma" w:cs="Tahoma" w:ascii="Calibri" w:hAnsi="Calibri"/>
          <w:strike w:val="false"/>
          <w:dstrike w:val="false"/>
          <w:color w:val="000000"/>
          <w:kern w:val="2"/>
          <w:sz w:val="20"/>
          <w:szCs w:val="20"/>
          <w:shd w:fill="auto" w:val="clear"/>
          <w:lang w:val="cs-CZ" w:eastAsia="zxx" w:bidi="zxx"/>
        </w:rPr>
        <w:t>odvede vybraný p</w:t>
      </w:r>
      <w:r>
        <w:rPr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  <w:t>oplatek  správci poplatku nejpozději do 30. června příslušného kalendářního roku.</w:t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  <w:t>(2) Vznikne-li poplatková povinnost během kalendářního roku po termínu splatnosti, odvede plátce poplatku poplatek nejpozději do 31. prosince příslušného kalendářního roku.</w:t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  <w:t>(3) Není-li plátce poplatku, zaplatí poplatek ve lhůtě podle odst. 1 poplatník</w:t>
      </w:r>
      <w:r>
        <w:rPr>
          <w:rStyle w:val="FootnoteReference"/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  <w:footnoteReference w:id="16"/>
      </w:r>
      <w:r>
        <w:rPr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  <w:t>.</w:t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 w:eastAsia="Tahoma" w:cs="Tahoma"/>
          <w:color w:val="auto"/>
          <w:kern w:val="2"/>
          <w:sz w:val="20"/>
          <w:szCs w:val="20"/>
          <w:shd w:fill="auto" w:val="clear"/>
          <w:lang w:val="cs-CZ" w:eastAsia="zxx" w:bidi="zxx"/>
        </w:rPr>
      </w:pPr>
      <w:r>
        <w:rPr>
          <w:rFonts w:eastAsia="Tahoma" w:cs="Tahoma" w:ascii="Calibri" w:hAnsi="Calibri"/>
          <w:color w:val="000000"/>
          <w:kern w:val="2"/>
          <w:sz w:val="20"/>
          <w:szCs w:val="20"/>
          <w:shd w:fill="auto" w:val="clear"/>
          <w:lang w:val="cs-CZ" w:eastAsia="zxx" w:bidi="zxx"/>
        </w:rPr>
      </w:r>
    </w:p>
    <w:p>
      <w:pPr>
        <w:pStyle w:val="Normal"/>
        <w:tabs>
          <w:tab w:val="clear" w:pos="720"/>
          <w:tab w:val="left" w:pos="4605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eastAsia="Tahoma" w:cs="Tahoma" w:ascii="Calibri" w:hAnsi="Calibri"/>
          <w:b w:val="false"/>
          <w:bCs w:val="false"/>
          <w:color w:val="auto"/>
          <w:kern w:val="2"/>
          <w:sz w:val="20"/>
          <w:szCs w:val="20"/>
          <w:lang w:val="cs-CZ" w:eastAsia="zxx" w:bidi="zxx"/>
        </w:rPr>
        <w:t>Čl. 8</w:t>
      </w:r>
    </w:p>
    <w:p>
      <w:pPr>
        <w:pStyle w:val="Normal"/>
        <w:widowControl w:val="false"/>
        <w:tabs>
          <w:tab w:val="clear" w:pos="720"/>
          <w:tab w:val="left" w:pos="5100" w:leader="none"/>
        </w:tabs>
        <w:suppressAutoHyphens w:val="true"/>
        <w:overflowPunct w:val="true"/>
        <w:bidi w:val="0"/>
        <w:spacing w:lineRule="auto" w:line="276" w:before="0" w:after="0"/>
        <w:ind w:hanging="0" w:start="0" w:end="0"/>
        <w:jc w:val="center"/>
        <w:rPr>
          <w:rFonts w:ascii="Calibri" w:hAnsi="Calibri"/>
        </w:rPr>
      </w:pPr>
      <w:r>
        <w:rPr>
          <w:rFonts w:eastAsia="Tahoma" w:cs="Tahoma" w:ascii="Calibri" w:hAnsi="Calibri"/>
          <w:b/>
          <w:bCs/>
          <w:color w:val="000000"/>
          <w:kern w:val="2"/>
          <w:sz w:val="20"/>
          <w:szCs w:val="20"/>
          <w:shd w:fill="auto" w:val="clear"/>
          <w:lang w:val="cs-CZ" w:eastAsia="zxx" w:bidi="zxx"/>
        </w:rPr>
        <w:t xml:space="preserve">Přechodná  a zrušovací ustanovení </w:t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bCs/>
          <w:color w:val="000000"/>
          <w:kern w:val="2"/>
          <w:sz w:val="20"/>
          <w:szCs w:val="20"/>
          <w:shd w:fill="auto" w:val="clear"/>
          <w:lang w:val="cs-CZ" w:eastAsia="zxx" w:bidi="zxx"/>
        </w:rPr>
        <w:t>(1) Poplatkové povinnosti vzniklé před nabytím účinnosti této vyhlášky se posuzují podle dosavadních právních předpisů.</w:t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/>
        </w:rPr>
      </w:pPr>
      <w:r>
        <w:rPr>
          <w:rFonts w:eastAsia="Tahoma" w:cs="Tahoma" w:ascii="Calibri" w:hAnsi="Calibri"/>
          <w:bCs/>
          <w:color w:val="000000"/>
          <w:kern w:val="2"/>
          <w:sz w:val="20"/>
          <w:szCs w:val="20"/>
          <w:shd w:fill="auto" w:val="clear"/>
          <w:lang w:val="cs-CZ" w:eastAsia="zxx" w:bidi="zxx"/>
        </w:rPr>
        <w:t>(2) Zrušuje se obecně závazná vyhláška č. 3/2021, o místním poplatku za odkládání komunálního odpadu z nemovité věci, ze dne 16. 12. 2021.</w:t>
      </w:r>
    </w:p>
    <w:p>
      <w:pPr>
        <w:pStyle w:val="Normal"/>
        <w:tabs>
          <w:tab w:val="clear" w:pos="720"/>
          <w:tab w:val="left" w:pos="5100" w:leader="none"/>
        </w:tabs>
        <w:spacing w:lineRule="auto" w:line="276" w:before="0" w:after="0"/>
        <w:ind w:firstLine="284" w:start="0" w:end="0"/>
        <w:jc w:val="both"/>
        <w:rPr>
          <w:rFonts w:ascii="Calibri" w:hAnsi="Calibri" w:eastAsia="Tahoma" w:cs="Tahoma"/>
          <w:bCs/>
          <w:color w:val="000000"/>
          <w:kern w:val="2"/>
          <w:shd w:fill="auto" w:val="clear"/>
          <w:lang w:val="cs-CZ" w:eastAsia="zxx" w:bidi="zxx"/>
        </w:rPr>
      </w:pPr>
      <w:r>
        <w:rPr>
          <w:rFonts w:eastAsia="Tahoma" w:cs="Tahoma" w:ascii="Calibri" w:hAnsi="Calibri"/>
          <w:bCs/>
          <w:color w:val="000000"/>
          <w:kern w:val="2"/>
          <w:shd w:fill="auto" w:val="clear"/>
          <w:lang w:val="cs-CZ" w:eastAsia="zxx" w:bidi="zxx"/>
        </w:rPr>
      </w:r>
    </w:p>
    <w:p>
      <w:pPr>
        <w:pStyle w:val="BodyText"/>
        <w:spacing w:lineRule="auto" w:line="276" w:before="0" w:after="0"/>
        <w:ind w:hanging="25"/>
        <w:jc w:val="center"/>
        <w:rPr>
          <w:rFonts w:ascii="Calibri" w:hAnsi="Calibri"/>
        </w:rPr>
      </w:pPr>
      <w:r>
        <w:rPr>
          <w:rFonts w:ascii="Calibri" w:hAnsi="Calibri"/>
          <w:sz w:val="20"/>
          <w:szCs w:val="20"/>
          <w:shd w:fill="auto" w:val="clear"/>
        </w:rPr>
        <w:t>Čl. 9</w:t>
      </w:r>
    </w:p>
    <w:p>
      <w:pPr>
        <w:pStyle w:val="BodyText"/>
        <w:spacing w:lineRule="auto" w:line="276" w:before="0" w:after="0"/>
        <w:ind w:hanging="25"/>
        <w:jc w:val="center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  <w:shd w:fill="auto" w:val="clear"/>
        </w:rPr>
        <w:t>Účinnost</w:t>
      </w:r>
    </w:p>
    <w:p>
      <w:pPr>
        <w:pStyle w:val="BodyText"/>
        <w:spacing w:lineRule="auto" w:line="276" w:before="0" w:after="0"/>
        <w:ind w:firstLine="283"/>
        <w:rPr>
          <w:rFonts w:ascii="Calibri" w:hAnsi="Calibri"/>
        </w:rPr>
      </w:pPr>
      <w:r>
        <w:rPr>
          <w:rFonts w:ascii="Calibri" w:hAnsi="Calibri"/>
          <w:sz w:val="20"/>
          <w:szCs w:val="20"/>
          <w:shd w:fill="auto" w:val="clear"/>
        </w:rPr>
        <w:t>Tato obecně závazná vyhláška nabývá účinnosti dnem 1. 1. 2024.</w:t>
      </w:r>
    </w:p>
    <w:p>
      <w:pPr>
        <w:pStyle w:val="BodyText"/>
        <w:spacing w:lineRule="auto" w:line="276" w:before="0" w:after="0"/>
        <w:rPr>
          <w:rFonts w:eastAsia="Tahoma"/>
          <w:lang w:bidi="zxx"/>
        </w:rPr>
      </w:pPr>
      <w:r>
        <w:rPr>
          <w:rFonts w:eastAsia="Tahoma"/>
          <w:lang w:bidi="zxx"/>
        </w:rPr>
      </w:r>
    </w:p>
    <w:p>
      <w:pPr>
        <w:pStyle w:val="BodyText"/>
        <w:spacing w:lineRule="auto" w:line="276" w:before="0" w:after="0"/>
        <w:rPr>
          <w:rFonts w:eastAsia="Tahoma"/>
          <w:lang w:bidi="zxx"/>
        </w:rPr>
      </w:pPr>
      <w:r>
        <w:rPr>
          <w:rFonts w:eastAsia="Tahoma"/>
          <w:lang w:bidi="zxx"/>
        </w:rPr>
      </w:r>
    </w:p>
    <w:p>
      <w:pPr>
        <w:pStyle w:val="BodyText"/>
        <w:spacing w:lineRule="auto" w:line="276" w:before="0" w:after="0"/>
        <w:rPr>
          <w:rFonts w:eastAsia="Tahoma"/>
          <w:lang w:bidi="zxx"/>
        </w:rPr>
      </w:pPr>
      <w:r>
        <w:rPr>
          <w:rFonts w:eastAsia="Tahoma"/>
          <w:lang w:bidi="zxx"/>
        </w:rPr>
      </w:r>
    </w:p>
    <w:p>
      <w:pPr>
        <w:pStyle w:val="BodyText"/>
        <w:spacing w:lineRule="auto" w:line="276" w:before="0" w:after="0"/>
        <w:rPr>
          <w:rFonts w:eastAsia="Tahoma"/>
          <w:lang w:bidi="zxx"/>
        </w:rPr>
      </w:pPr>
      <w:r>
        <w:rPr>
          <w:rFonts w:eastAsia="Tahoma"/>
          <w:lang w:bidi="zxx"/>
        </w:rPr>
      </w:r>
    </w:p>
    <w:p>
      <w:pPr>
        <w:pStyle w:val="BodyText"/>
        <w:spacing w:lineRule="auto" w:line="276" w:before="0" w:after="0"/>
        <w:rPr>
          <w:rFonts w:ascii="Calibri" w:hAnsi="Calibri"/>
          <w:sz w:val="20"/>
          <w:szCs w:val="20"/>
        </w:rPr>
      </w:pPr>
      <w:r>
        <w:rPr>
          <w:rFonts w:eastAsia="Tahoma" w:ascii="Calibri" w:hAnsi="Calibri"/>
          <w:sz w:val="20"/>
          <w:szCs w:val="20"/>
          <w:lang w:bidi="zxx"/>
        </w:rPr>
        <w:t>Ing. Lubor Jenček v.r.</w:t>
        <w:tab/>
        <w:t xml:space="preserve">     </w:t>
        <w:tab/>
        <w:t xml:space="preserve">       Petr Buchal</w:t>
      </w:r>
      <w:r>
        <w:rPr>
          <w:rFonts w:ascii="Calibri" w:hAnsi="Calibri"/>
          <w:sz w:val="20"/>
          <w:szCs w:val="20"/>
          <w:lang w:bidi="zxx"/>
        </w:rPr>
        <w:t xml:space="preserve"> v.r.</w:t>
      </w:r>
    </w:p>
    <w:p>
      <w:pPr>
        <w:pStyle w:val="BodyText"/>
        <w:spacing w:lineRule="auto" w:line="276" w:before="0" w:after="0"/>
        <w:ind w:hanging="25" w:end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lang w:bidi="zxx"/>
        </w:rPr>
        <w:t xml:space="preserve">           </w:t>
      </w:r>
      <w:r>
        <w:rPr>
          <w:rFonts w:eastAsia="Tahoma" w:ascii="Calibri" w:hAnsi="Calibri"/>
          <w:sz w:val="20"/>
          <w:szCs w:val="20"/>
          <w:lang w:bidi="zxx"/>
        </w:rPr>
        <w:t>starosta</w:t>
        <w:tab/>
        <w:tab/>
        <w:t xml:space="preserve">                        místostarosta</w:t>
      </w:r>
    </w:p>
    <w:p>
      <w:pPr>
        <w:pStyle w:val="BodyText"/>
        <w:spacing w:lineRule="auto" w:line="276" w:before="0" w:after="0"/>
        <w:ind w:hanging="25"/>
        <w:rPr>
          <w:rFonts w:ascii="Calibri" w:hAnsi="Calibri" w:eastAsia="Tahoma" w:cs="Tahoma"/>
          <w:bCs/>
          <w:color w:val="000000"/>
          <w:kern w:val="2"/>
          <w:shd w:fill="auto" w:val="clear"/>
          <w:lang w:val="cs-CZ" w:eastAsia="zxx" w:bidi="zxx"/>
        </w:rPr>
      </w:pPr>
      <w:r>
        <w:rPr>
          <w:rFonts w:eastAsia="Tahoma" w:cs="Tahoma" w:ascii="Calibri" w:hAnsi="Calibri"/>
          <w:bCs/>
          <w:color w:val="000000"/>
          <w:kern w:val="2"/>
          <w:shd w:fill="auto" w:val="clear"/>
          <w:lang w:val="cs-CZ" w:eastAsia="zxx" w:bidi="zxx"/>
        </w:rPr>
      </w:r>
    </w:p>
    <w:sectPr>
      <w:footnotePr>
        <w:numFmt w:val="decimal"/>
      </w:footnotePr>
      <w:type w:val="continuous"/>
      <w:pgSz w:w="11906" w:h="16838"/>
      <w:pgMar w:left="1134" w:right="1134" w:gutter="0" w:header="0" w:top="1134" w:footer="850" w:bottom="1364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Courier New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suppressLineNumbers/>
        <w:suppressAutoHyphens w:val="true"/>
        <w:overflowPunct w:val="true"/>
        <w:bidi w:val="0"/>
        <w:spacing w:before="0" w:after="0"/>
        <w:ind w:hanging="0" w:start="0" w:end="0"/>
        <w:jc w:val="start"/>
        <w:rPr>
          <w:rFonts w:ascii="Times New Roman" w:hAnsi="Times New Roman"/>
        </w:rPr>
      </w:pPr>
      <w:r>
        <w:rPr>
          <w:rStyle w:val="Znakypropoznmkupodarou"/>
        </w:rPr>
        <w:footnoteRef/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§ 10o odst. 1 zákona o místních poplatcích</w:t>
      </w:r>
    </w:p>
  </w:footnote>
  <w:footnote w:id="3">
    <w:p>
      <w:pPr>
        <w:pStyle w:val="BodyTextIndent"/>
        <w:widowControl w:val="false"/>
        <w:suppressAutoHyphens w:val="true"/>
        <w:overflowPunct w:val="true"/>
        <w:bidi w:val="0"/>
        <w:spacing w:lineRule="atLeast" w:line="0" w:before="0" w:after="0"/>
        <w:ind w:hanging="0" w:start="0" w:end="0"/>
        <w:jc w:val="both"/>
        <w:rPr>
          <w:rFonts w:ascii="Calibri" w:hAnsi="Calibri"/>
          <w:sz w:val="16"/>
          <w:szCs w:val="16"/>
        </w:rPr>
      </w:pPr>
      <w:r>
        <w:rPr>
          <w:rStyle w:val="Znakypropoznmkupodarou"/>
        </w:rPr>
        <w:footnoteRef/>
      </w:r>
      <w:r>
        <w:rPr>
          <w:rFonts w:ascii="Calibri" w:hAnsi="Calibri"/>
          <w:i/>
          <w:sz w:val="16"/>
          <w:szCs w:val="16"/>
        </w:rPr>
        <w:t xml:space="preserve">  </w:t>
      </w:r>
      <w:r>
        <w:rPr>
          <w:i/>
          <w:sz w:val="18"/>
          <w:szCs w:val="18"/>
        </w:rPr>
        <w:t xml:space="preserve"> </w:t>
      </w:r>
      <w:r>
        <w:rPr>
          <w:i w:val="false"/>
          <w:iCs w:val="false"/>
          <w:sz w:val="18"/>
          <w:szCs w:val="18"/>
        </w:rPr>
        <w:t>§ 15 odst. 1 zákona o místních poplatcích</w:t>
      </w:r>
    </w:p>
  </w:footnote>
  <w:footnote w:id="4">
    <w:p>
      <w:pPr>
        <w:pStyle w:val="BodyTextIndent"/>
        <w:widowControl w:val="false"/>
        <w:suppressAutoHyphens w:val="true"/>
        <w:overflowPunct w:val="true"/>
        <w:bidi w:val="0"/>
        <w:spacing w:lineRule="atLeast" w:line="0" w:before="0" w:after="0"/>
        <w:ind w:hanging="0" w:start="0" w:end="0"/>
        <w:jc w:val="both"/>
        <w:rPr>
          <w:rFonts w:ascii="Calibri" w:hAnsi="Calibri"/>
          <w:sz w:val="16"/>
          <w:szCs w:val="16"/>
        </w:rPr>
      </w:pPr>
      <w:r>
        <w:rPr>
          <w:rStyle w:val="Znakypropoznmkupodarou"/>
        </w:rPr>
        <w:footnoteRef/>
      </w:r>
      <w:r>
        <w:rPr>
          <w:rFonts w:ascii="Calibri" w:hAnsi="Calibri"/>
          <w:i/>
          <w:sz w:val="16"/>
          <w:szCs w:val="16"/>
        </w:rPr>
        <w:t xml:space="preserve">   </w:t>
      </w:r>
      <w:r>
        <w:rPr>
          <w:i w:val="false"/>
          <w:iCs w:val="false"/>
          <w:sz w:val="18"/>
          <w:szCs w:val="18"/>
        </w:rPr>
        <w:t>§ 10j zákona o místních poplatcích</w:t>
      </w:r>
    </w:p>
  </w:footnote>
  <w:footnote w:id="5">
    <w:p>
      <w:pPr>
        <w:pStyle w:val="BodyTextIndent"/>
        <w:widowControl w:val="false"/>
        <w:suppressAutoHyphens w:val="true"/>
        <w:overflowPunct w:val="true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16"/>
          <w:szCs w:val="16"/>
        </w:rPr>
      </w:pPr>
      <w:r>
        <w:rPr>
          <w:rStyle w:val="Znakypropoznmkupodarou"/>
        </w:rPr>
        <w:footnoteRef/>
      </w:r>
      <w:r>
        <w:rPr>
          <w:rFonts w:ascii="Calibri" w:hAnsi="Calibri"/>
          <w:i/>
          <w:sz w:val="16"/>
          <w:szCs w:val="16"/>
        </w:rPr>
        <w:t xml:space="preserve"> </w:t>
      </w:r>
      <w:r>
        <w:rPr>
          <w:rFonts w:ascii="Arial" w:hAnsi="Arial"/>
          <w:i w:val="false"/>
          <w:iCs w:val="false"/>
          <w:sz w:val="18"/>
          <w:szCs w:val="18"/>
        </w:rPr>
        <w:t xml:space="preserve">  </w:t>
      </w:r>
      <w:r>
        <w:rPr>
          <w:rFonts w:ascii="Arial" w:hAnsi="Arial"/>
          <w:i w:val="false"/>
          <w:iCs w:val="false"/>
          <w:sz w:val="18"/>
          <w:szCs w:val="18"/>
        </w:rPr>
        <w:t xml:space="preserve">§ </w:t>
      </w:r>
      <w:r>
        <w:rPr>
          <w:i w:val="false"/>
          <w:iCs w:val="false"/>
          <w:sz w:val="18"/>
          <w:szCs w:val="18"/>
        </w:rPr>
        <w:t>10i zákona o místních poplatcích</w:t>
      </w:r>
    </w:p>
  </w:footnote>
  <w:footnote w:id="6">
    <w:p>
      <w:pPr>
        <w:pStyle w:val="BodyTextIndent"/>
        <w:widowControl w:val="false"/>
        <w:suppressAutoHyphens w:val="true"/>
        <w:overflowPunct w:val="true"/>
        <w:bidi w:val="0"/>
        <w:spacing w:lineRule="atLeast" w:line="0" w:before="0" w:after="0"/>
        <w:ind w:hanging="0" w:start="0" w:end="0"/>
        <w:jc w:val="both"/>
        <w:rPr>
          <w:rFonts w:ascii="Calibri" w:hAnsi="Calibri"/>
          <w:sz w:val="16"/>
          <w:szCs w:val="16"/>
        </w:rPr>
      </w:pPr>
      <w:r>
        <w:rPr>
          <w:rStyle w:val="Znakypropoznmkupodarou"/>
        </w:rPr>
        <w:footnoteRef/>
      </w:r>
      <w:r>
        <w:rPr>
          <w:rFonts w:ascii="Calibri" w:hAnsi="Calibri"/>
          <w:i/>
          <w:sz w:val="16"/>
          <w:szCs w:val="16"/>
        </w:rPr>
        <w:t xml:space="preserve"> </w:t>
      </w:r>
      <w:r>
        <w:rPr>
          <w:rFonts w:ascii="Arial" w:hAnsi="Arial"/>
          <w:i w:val="false"/>
          <w:iCs w:val="false"/>
          <w:sz w:val="18"/>
          <w:szCs w:val="18"/>
        </w:rPr>
        <w:t xml:space="preserve">  </w:t>
      </w:r>
      <w:r>
        <w:rPr>
          <w:rFonts w:ascii="Arial" w:hAnsi="Arial"/>
          <w:i w:val="false"/>
          <w:iCs w:val="false"/>
          <w:sz w:val="18"/>
          <w:szCs w:val="18"/>
        </w:rPr>
        <w:t xml:space="preserve">§ </w:t>
      </w:r>
      <w:r>
        <w:rPr>
          <w:i w:val="false"/>
          <w:iCs w:val="false"/>
          <w:sz w:val="18"/>
          <w:szCs w:val="18"/>
        </w:rPr>
        <w:t>10n odst. 1 zákona o místních poplatcích</w:t>
      </w:r>
    </w:p>
  </w:footnote>
  <w:footnote w:id="7">
    <w:p>
      <w:pPr>
        <w:pStyle w:val="BodyTextIndent"/>
        <w:widowControl w:val="false"/>
        <w:suppressAutoHyphens w:val="true"/>
        <w:overflowPunct w:val="true"/>
        <w:bidi w:val="0"/>
        <w:spacing w:lineRule="atLeast" w:line="0" w:before="0" w:after="60"/>
        <w:ind w:hanging="0" w:start="0" w:end="0"/>
        <w:jc w:val="both"/>
        <w:rPr>
          <w:rFonts w:ascii="Calibri" w:hAnsi="Calibri"/>
          <w:sz w:val="16"/>
          <w:szCs w:val="16"/>
        </w:rPr>
      </w:pPr>
      <w:r>
        <w:rPr>
          <w:rStyle w:val="Znakypropoznmkupodarou"/>
        </w:rPr>
        <w:footnoteRef/>
      </w:r>
      <w:r>
        <w:rPr>
          <w:rFonts w:ascii="Calibri" w:hAnsi="Calibri"/>
          <w:i/>
          <w:sz w:val="16"/>
          <w:szCs w:val="16"/>
        </w:rPr>
        <w:t xml:space="preserve">  </w:t>
      </w:r>
      <w:r>
        <w:rPr>
          <w:i w:val="false"/>
          <w:iCs w:val="false"/>
          <w:sz w:val="18"/>
          <w:szCs w:val="18"/>
        </w:rPr>
        <w:t xml:space="preserve"> </w:t>
      </w:r>
      <w:r>
        <w:rPr>
          <w:i w:val="false"/>
          <w:iCs w:val="false"/>
          <w:sz w:val="18"/>
          <w:szCs w:val="18"/>
        </w:rPr>
        <w:t>§ 10n odst. 2 zákona o místních poplatcích</w:t>
      </w:r>
    </w:p>
  </w:footnote>
  <w:footnote w:id="8">
    <w:p>
      <w:pPr>
        <w:pStyle w:val="BodyTextIndent"/>
        <w:widowControl w:val="false"/>
        <w:suppressAutoHyphens w:val="true"/>
        <w:overflowPunct w:val="true"/>
        <w:bidi w:val="0"/>
        <w:spacing w:lineRule="atLeast" w:line="0" w:before="0" w:after="0"/>
        <w:ind w:hanging="0" w:start="0" w:end="0"/>
        <w:jc w:val="both"/>
        <w:rPr>
          <w:rFonts w:ascii="Calibri" w:hAnsi="Calibri"/>
          <w:sz w:val="16"/>
          <w:szCs w:val="16"/>
        </w:rPr>
      </w:pPr>
      <w:r>
        <w:rPr>
          <w:rStyle w:val="Znakypropoznmkupodarou"/>
        </w:rPr>
        <w:footnoteRef/>
      </w:r>
      <w:r>
        <w:rPr>
          <w:rFonts w:ascii="Calibri" w:hAnsi="Calibri"/>
          <w:i/>
          <w:sz w:val="16"/>
          <w:szCs w:val="16"/>
        </w:rPr>
        <w:t xml:space="preserve"> </w:t>
      </w:r>
      <w:r>
        <w:rPr>
          <w:rFonts w:ascii="Arial" w:hAnsi="Arial"/>
          <w:i w:val="false"/>
          <w:iCs w:val="false"/>
          <w:sz w:val="18"/>
          <w:szCs w:val="18"/>
        </w:rPr>
        <w:t xml:space="preserve">  </w:t>
      </w:r>
      <w:r>
        <w:rPr>
          <w:i w:val="false"/>
          <w:iCs w:val="false"/>
          <w:sz w:val="18"/>
          <w:szCs w:val="18"/>
        </w:rPr>
        <w:t>§ 10p zákona o místních poplatcích</w:t>
      </w:r>
    </w:p>
  </w:footnote>
  <w:footnote w:id="9">
    <w:p>
      <w:pPr>
        <w:pStyle w:val="FootnoteText"/>
        <w:widowControl w:val="false"/>
        <w:suppressLineNumbers/>
        <w:suppressAutoHyphens w:val="true"/>
        <w:overflowPunct w:val="true"/>
        <w:bidi w:val="0"/>
        <w:spacing w:before="0" w:after="0"/>
        <w:ind w:hanging="170" w:start="170" w:end="0"/>
        <w:jc w:val="start"/>
        <w:rPr>
          <w:rFonts w:ascii="Times New Roman" w:hAnsi="Times New Roman"/>
        </w:rPr>
      </w:pPr>
      <w:r>
        <w:rPr>
          <w:rStyle w:val="Znakypropoznmkupodarou"/>
        </w:rPr>
        <w:footnoteRef/>
      </w:r>
      <w:r>
        <w:rPr>
          <w:sz w:val="18"/>
          <w:szCs w:val="18"/>
        </w:rPr>
        <w:tab/>
        <w:t>§ 14a odst. 1 a 2 zákona o místních poplatcích; v ohlášení                                                   plátce uvede zejména své identifikační údaje a skutečnosti rozhodné pro stanovení poplatku</w:t>
      </w:r>
    </w:p>
  </w:footnote>
  <w:footnote w:id="10">
    <w:p>
      <w:pPr>
        <w:pStyle w:val="BodyTextIndent"/>
        <w:widowControl w:val="false"/>
        <w:suppressAutoHyphens w:val="true"/>
        <w:overflowPunct w:val="true"/>
        <w:bidi w:val="0"/>
        <w:spacing w:lineRule="auto" w:line="264" w:before="0" w:after="0"/>
        <w:ind w:hanging="0" w:start="0" w:end="0"/>
        <w:jc w:val="both"/>
        <w:rPr>
          <w:rFonts w:ascii="Calibri" w:hAnsi="Calibri"/>
          <w:sz w:val="16"/>
          <w:szCs w:val="16"/>
        </w:rPr>
      </w:pPr>
      <w:r>
        <w:rPr>
          <w:rStyle w:val="Znakypropoznmkupodarou"/>
        </w:rPr>
        <w:footnoteRef/>
      </w:r>
      <w:r>
        <w:rPr>
          <w:rFonts w:ascii="Calibri" w:hAnsi="Calibri"/>
          <w:i/>
          <w:sz w:val="16"/>
          <w:szCs w:val="16"/>
        </w:rPr>
        <w:t xml:space="preserve">  </w:t>
      </w:r>
      <w:r>
        <w:rPr>
          <w:i/>
          <w:sz w:val="18"/>
          <w:szCs w:val="18"/>
        </w:rPr>
        <w:t xml:space="preserve">  </w:t>
      </w:r>
      <w:r>
        <w:rPr>
          <w:i w:val="false"/>
          <w:iCs w:val="false"/>
          <w:sz w:val="18"/>
          <w:szCs w:val="18"/>
        </w:rPr>
        <w:t>§ 14a odst. 4 zákona o místních poplatcích</w:t>
      </w:r>
    </w:p>
  </w:footnote>
  <w:footnote w:id="11">
    <w:p>
      <w:pPr>
        <w:pStyle w:val="FootnoteText"/>
        <w:widowControl w:val="false"/>
        <w:suppressLineNumbers/>
        <w:suppressAutoHyphens w:val="true"/>
        <w:overflowPunct w:val="true"/>
        <w:bidi w:val="0"/>
        <w:spacing w:before="0" w:after="0"/>
        <w:ind w:hanging="170" w:start="170" w:end="0"/>
        <w:jc w:val="start"/>
        <w:rPr>
          <w:rFonts w:ascii="Times New Roman" w:hAnsi="Times New Roman"/>
        </w:rPr>
      </w:pPr>
      <w:r>
        <w:rPr>
          <w:rStyle w:val="Znakypropoznmkupodarou"/>
        </w:rPr>
        <w:footnoteRef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>Absencí plátce je míněna situace, kdy je osoba poplatníka   a plátce totožná (např. vlastník nemovité věci, v níž nemá nikdo bydliště) a jedná tudíž pouze v postavení poplatníka.</w:t>
      </w:r>
    </w:p>
  </w:footnote>
  <w:footnote w:id="12">
    <w:p>
      <w:pPr>
        <w:pStyle w:val="FootnoteText"/>
        <w:widowControl w:val="false"/>
        <w:suppressLineNumbers/>
        <w:suppressAutoHyphens w:val="true"/>
        <w:overflowPunct w:val="true"/>
        <w:bidi w:val="0"/>
        <w:spacing w:before="0" w:after="0"/>
        <w:ind w:hanging="0" w:start="0" w:end="0"/>
        <w:jc w:val="start"/>
        <w:rPr>
          <w:rFonts w:ascii="Times New Roman" w:hAnsi="Times New Roman"/>
        </w:rPr>
      </w:pPr>
      <w:r>
        <w:rPr>
          <w:rStyle w:val="Znakypropoznmkupodarou"/>
        </w:rPr>
        <w:footnoteRef/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§ 10k odst. 1 zákona o místních poplatcích</w:t>
      </w:r>
    </w:p>
  </w:footnote>
  <w:footnote w:id="13">
    <w:p>
      <w:pPr>
        <w:pStyle w:val="FootnoteText"/>
        <w:rPr>
          <w:rFonts w:ascii="Times New Roman" w:hAnsi="Times New Roman"/>
        </w:rPr>
      </w:pPr>
      <w:r>
        <w:rPr>
          <w:rStyle w:val="Znakypropoznmkupodarou"/>
        </w:rPr>
        <w:footnoteRef/>
      </w:r>
      <w:r>
        <w:rPr>
          <w:sz w:val="18"/>
          <w:szCs w:val="18"/>
        </w:rPr>
        <w:tab/>
        <w:t>§ 10k odst. 3 zákona o místních poplatcích</w:t>
      </w:r>
    </w:p>
  </w:footnote>
  <w:footnote w:id="14">
    <w:p>
      <w:pPr>
        <w:pStyle w:val="FootnoteText"/>
        <w:rPr>
          <w:rFonts w:ascii="Times New Roman" w:hAnsi="Times New Roman"/>
        </w:rPr>
      </w:pPr>
      <w:r>
        <w:rPr>
          <w:rStyle w:val="Znakypropoznmkupodarou"/>
        </w:rPr>
        <w:footnoteRef/>
      </w:r>
      <w:r>
        <w:rPr>
          <w:sz w:val="18"/>
          <w:szCs w:val="18"/>
        </w:rPr>
        <w:tab/>
        <w:t>§ 10m odst. 1 zákona o místních poplatcích</w:t>
      </w:r>
    </w:p>
  </w:footnote>
  <w:footnote w:id="15">
    <w:p>
      <w:pPr>
        <w:pStyle w:val="FootnoteText"/>
        <w:rPr>
          <w:rFonts w:ascii="Times New Roman" w:hAnsi="Times New Roman"/>
        </w:rPr>
      </w:pPr>
      <w:r>
        <w:rPr>
          <w:rStyle w:val="Znakypropoznmkupodarou"/>
        </w:rPr>
        <w:footnoteRef/>
      </w:r>
      <w:r>
        <w:rPr>
          <w:sz w:val="18"/>
          <w:szCs w:val="18"/>
        </w:rPr>
        <w:tab/>
        <w:t>§ 10m odst. 2 zákona o místních poplatcích</w:t>
      </w:r>
    </w:p>
  </w:footnote>
  <w:footnote w:id="16">
    <w:p>
      <w:pPr>
        <w:pStyle w:val="FootnoteText"/>
        <w:rPr>
          <w:rFonts w:ascii="Times New Roman" w:hAnsi="Times New Roman"/>
        </w:rPr>
      </w:pPr>
      <w:r>
        <w:rPr>
          <w:rStyle w:val="Znakypropoznmkupodarou"/>
        </w:rPr>
        <w:footnoteRef/>
      </w:r>
      <w:r>
        <w:rPr>
          <w:sz w:val="18"/>
          <w:szCs w:val="18"/>
        </w:rP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Lucida Sans Unicode" w:cs="Mangal;Cambria Math"/>
      <w:color w:val="auto"/>
      <w:kern w:val="2"/>
      <w:sz w:val="24"/>
      <w:szCs w:val="24"/>
      <w:lang w:val="cs-CZ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Arial" w:hAnsi="Arial" w:cs="Arial"/>
      <w:sz w:val="22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">
    <w:name w:val="Standardní písmo odstavce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Strong">
    <w:name w:val="Strong"/>
    <w:qFormat/>
    <w:rPr>
      <w:b/>
      <w:bCs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character" w:styleId="Znakapoznpodarou">
    <w:name w:val="Značka pozn. pod čarou"/>
    <w:qFormat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WW-Znakyprovysvtlivky">
    <w:name w:val="WW-Znaky pro vysvětlivky"/>
    <w:qFormat/>
    <w:rPr/>
  </w:style>
  <w:style w:type="character" w:styleId="Odkaznavysvtlivky">
    <w:name w:val="Odkaz na vysvětlivky"/>
    <w:qFormat/>
    <w:rPr>
      <w:vertAlign w:val="superscript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LineNumber">
    <w:name w:val="Line Number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;Cambria Math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;Cambria Math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;Cambria Math"/>
    </w:rPr>
  </w:style>
  <w:style w:type="paragraph" w:styleId="Titulek">
    <w:name w:val="Titulek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ormlnIMP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paragraph" w:styleId="Import3">
    <w:name w:val="Import 3"/>
    <w:basedOn w:val="Normal"/>
    <w:qFormat/>
    <w:pPr>
      <w:tabs>
        <w:tab w:val="left" w:pos="720" w:leader="none"/>
        <w:tab w:val="left" w:pos="1584" w:leader="none"/>
        <w:tab w:val="left" w:pos="2448" w:leader="none"/>
        <w:tab w:val="left" w:pos="3312" w:leader="none"/>
        <w:tab w:val="left" w:pos="4176" w:leader="none"/>
        <w:tab w:val="left" w:pos="5040" w:leader="none"/>
        <w:tab w:val="left" w:pos="5904" w:leader="none"/>
        <w:tab w:val="left" w:pos="6768" w:leader="none"/>
        <w:tab w:val="left" w:pos="7632" w:leader="none"/>
        <w:tab w:val="left" w:pos="8496" w:leader="none"/>
        <w:tab w:val="left" w:pos="9360" w:leader="none"/>
        <w:tab w:val="left" w:pos="10224" w:leader="none"/>
        <w:tab w:val="left" w:pos="11088" w:leader="none"/>
        <w:tab w:val="left" w:pos="11952" w:leader="none"/>
        <w:tab w:val="left" w:pos="12816" w:leader="none"/>
        <w:tab w:val="left" w:pos="13680" w:leader="none"/>
        <w:tab w:val="left" w:pos="14544" w:leader="none"/>
        <w:tab w:val="left" w:pos="15408" w:leader="none"/>
        <w:tab w:val="left" w:pos="16272" w:leader="none"/>
        <w:tab w:val="left" w:pos="17136" w:leader="none"/>
        <w:tab w:val="left" w:pos="18000" w:leader="none"/>
        <w:tab w:val="left" w:pos="18864" w:leader="none"/>
      </w:tabs>
      <w:suppressAutoHyphens w:val="false"/>
      <w:spacing w:lineRule="auto" w:line="288"/>
    </w:pPr>
    <w:rPr>
      <w:rFonts w:ascii="Courier New" w:hAnsi="Courier New" w:eastAsia="Times New Roman" w:cs="Courier New"/>
    </w:rPr>
  </w:style>
  <w:style w:type="paragraph" w:styleId="Import1">
    <w:name w:val="Import 1"/>
    <w:basedOn w:val="Normal"/>
    <w:qFormat/>
    <w:pPr>
      <w:suppressAutoHyphens w:val="false"/>
      <w:spacing w:lineRule="auto" w:line="288"/>
    </w:pPr>
    <w:rPr>
      <w:rFonts w:eastAsia="Times New Roman"/>
    </w:rPr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EndnoteText">
    <w:name w:val="Endnote Text"/>
    <w:basedOn w:val="Normal"/>
    <w:pPr>
      <w:suppressLineNumbers/>
      <w:ind w:hanging="339" w:start="339"/>
    </w:pPr>
    <w:rPr>
      <w:sz w:val="20"/>
      <w:szCs w:val="20"/>
    </w:rPr>
  </w:style>
  <w:style w:type="paragraph" w:styleId="BodyTextIndent">
    <w:name w:val="Body Text Indent"/>
    <w:basedOn w:val="Normal"/>
    <w:pPr>
      <w:spacing w:before="0" w:after="120"/>
      <w:ind w:hanging="0" w:start="283"/>
    </w:pPr>
    <w:rPr>
      <w:sz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commons.wikimedia.org/wiki/File:Sobotka_CoA_CZ.jpg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18589</TotalTime>
  <Application>LibreOffice/7.6.1.2$Windows_X86_64 LibreOffice_project/f5defcebd022c5bc36bbb79be232cb6926d8f674</Application>
  <AppVersion>15.0000</AppVersion>
  <Pages>2</Pages>
  <Words>760</Words>
  <Characters>4208</Characters>
  <CharactersWithSpaces>5031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2019-12-09T14:02:00Z</dcterms:created>
  <dc:creator>JANSOVÁ Hana, Mgr.</dc:creator>
  <dc:description/>
  <dc:language>cs-CZ</dc:language>
  <cp:lastModifiedBy/>
  <dcterms:modified xsi:type="dcterms:W3CDTF">2023-12-15T10:09:01Z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