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BADD2" w14:textId="77777777" w:rsidR="001A75FA" w:rsidRDefault="001A75FA" w:rsidP="001A75FA">
      <w:pPr>
        <w:suppressAutoHyphens w:val="0"/>
        <w:spacing w:line="276" w:lineRule="auto"/>
        <w:ind w:left="360"/>
        <w:jc w:val="both"/>
      </w:pPr>
    </w:p>
    <w:p w14:paraId="45E87DB0" w14:textId="77777777" w:rsidR="003B1440" w:rsidRDefault="003B1440" w:rsidP="001A75FA">
      <w:pPr>
        <w:suppressAutoHyphens w:val="0"/>
        <w:spacing w:line="276" w:lineRule="auto"/>
        <w:ind w:left="360"/>
        <w:jc w:val="both"/>
      </w:pPr>
    </w:p>
    <w:p w14:paraId="0C72D205" w14:textId="2BEFBF64" w:rsidR="0060314F" w:rsidRDefault="001F15F5" w:rsidP="0060314F">
      <w:pPr>
        <w:spacing w:after="45"/>
        <w:jc w:val="center"/>
        <w:rPr>
          <w:b/>
        </w:rPr>
      </w:pPr>
      <w:r w:rsidRPr="000746FA">
        <w:rPr>
          <w:b/>
        </w:rPr>
        <w:t>PŘÍLOHA č. 1</w:t>
      </w:r>
    </w:p>
    <w:p w14:paraId="17FD5C9A" w14:textId="51FB83DC" w:rsidR="001F15F5" w:rsidRDefault="00475F61" w:rsidP="0060314F">
      <w:pPr>
        <w:spacing w:after="45"/>
        <w:jc w:val="center"/>
        <w:rPr>
          <w:b/>
        </w:rPr>
      </w:pPr>
      <w:r>
        <w:rPr>
          <w:b/>
        </w:rPr>
        <w:t xml:space="preserve">vyhlášky města Český Těšín o </w:t>
      </w:r>
      <w:r w:rsidR="005B740A" w:rsidRPr="005B740A">
        <w:rPr>
          <w:b/>
        </w:rPr>
        <w:t>zákazu bivakování a táboření na některých veřejných prostranstvích</w:t>
      </w:r>
    </w:p>
    <w:p w14:paraId="6DD643FA" w14:textId="77777777" w:rsidR="0012560B" w:rsidRPr="000746FA" w:rsidRDefault="0012560B" w:rsidP="0060314F">
      <w:pPr>
        <w:spacing w:after="45"/>
        <w:jc w:val="center"/>
        <w:rPr>
          <w:b/>
        </w:rPr>
      </w:pPr>
    </w:p>
    <w:p w14:paraId="4FFACB53" w14:textId="0C29E643" w:rsidR="001F15F5" w:rsidRPr="008F19A1" w:rsidRDefault="001F15F5" w:rsidP="0060314F">
      <w:pPr>
        <w:spacing w:after="360" w:line="360" w:lineRule="auto"/>
        <w:jc w:val="center"/>
        <w:rPr>
          <w:b/>
        </w:rPr>
      </w:pPr>
      <w:r w:rsidRPr="008F19A1">
        <w:rPr>
          <w:b/>
        </w:rPr>
        <w:t>Vymezení</w:t>
      </w:r>
      <w:r w:rsidR="0012560B" w:rsidRPr="008F19A1">
        <w:rPr>
          <w:b/>
        </w:rPr>
        <w:t xml:space="preserve"> </w:t>
      </w:r>
      <w:r w:rsidRPr="008F19A1">
        <w:rPr>
          <w:b/>
        </w:rPr>
        <w:t>veřejn</w:t>
      </w:r>
      <w:r w:rsidR="0012560B" w:rsidRPr="008F19A1">
        <w:rPr>
          <w:b/>
        </w:rPr>
        <w:t>ého</w:t>
      </w:r>
      <w:r w:rsidRPr="008F19A1">
        <w:rPr>
          <w:b/>
        </w:rPr>
        <w:t xml:space="preserve"> prostranství se </w:t>
      </w:r>
      <w:r w:rsidR="0012560B" w:rsidRPr="008F19A1">
        <w:rPr>
          <w:b/>
        </w:rPr>
        <w:t>zákazem</w:t>
      </w:r>
      <w:r w:rsidRPr="008F19A1">
        <w:rPr>
          <w:b/>
        </w:rPr>
        <w:t xml:space="preserve"> </w:t>
      </w:r>
      <w:r w:rsidR="005B740A" w:rsidRPr="005B740A">
        <w:rPr>
          <w:b/>
        </w:rPr>
        <w:t xml:space="preserve">bivakování a táboření </w:t>
      </w:r>
      <w:r w:rsidR="0012560B" w:rsidRPr="008F19A1">
        <w:rPr>
          <w:b/>
        </w:rPr>
        <w:t xml:space="preserve">dle článku 3 </w:t>
      </w:r>
      <w:r w:rsidR="005B740A">
        <w:rPr>
          <w:b/>
        </w:rPr>
        <w:br/>
      </w:r>
      <w:r w:rsidR="0012560B" w:rsidRPr="008F19A1">
        <w:rPr>
          <w:b/>
        </w:rPr>
        <w:t>této vyhlášky</w:t>
      </w:r>
      <w:r w:rsidR="008F19A1">
        <w:rPr>
          <w:b/>
        </w:rPr>
        <w:t>:</w:t>
      </w:r>
    </w:p>
    <w:p w14:paraId="215C444D" w14:textId="77777777" w:rsidR="00D834D9" w:rsidRDefault="00D834D9" w:rsidP="00D834D9">
      <w:pPr>
        <w:pStyle w:val="Odstavecseseznamem"/>
        <w:numPr>
          <w:ilvl w:val="0"/>
          <w:numId w:val="23"/>
        </w:numPr>
        <w:suppressAutoHyphens w:val="0"/>
        <w:spacing w:line="360" w:lineRule="auto"/>
        <w:contextualSpacing/>
        <w:jc w:val="both"/>
      </w:pPr>
      <w:r>
        <w:t xml:space="preserve">oblast městské památkové zóny Český Těšín a části města </w:t>
      </w:r>
      <w:r w:rsidRPr="00D834D9">
        <w:t xml:space="preserve">Kontešinec graficky znázorněna v příloze č. 2 (ohraničena vodním tokem řeky Olše a ulicemi Střelniční, Nádražní, Viaduktová </w:t>
      </w:r>
      <w:r>
        <w:t>a Karvinská),</w:t>
      </w:r>
    </w:p>
    <w:p w14:paraId="1E70B965" w14:textId="102C562D" w:rsidR="009103C7" w:rsidRPr="00370967" w:rsidRDefault="009103C7" w:rsidP="009103C7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veřejn</w:t>
      </w:r>
      <w:r w:rsidR="004D4D57">
        <w:t>á zeleň</w:t>
      </w:r>
      <w:r w:rsidRPr="00370967">
        <w:t xml:space="preserve"> (park Komenského sady, park u centrálního hřbitova, park Masarykovy sady, park Adama Sikory, park Hrabina),</w:t>
      </w:r>
    </w:p>
    <w:p w14:paraId="6585144E" w14:textId="525F3C69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1A75FA" w:rsidRPr="00370967">
        <w:t xml:space="preserve"> 100 metrů od škol a školských zařízení včetně mateřských školek, </w:t>
      </w:r>
    </w:p>
    <w:p w14:paraId="3D68F284" w14:textId="77777777" w:rsidR="001A75FA" w:rsidRPr="00370967" w:rsidRDefault="00A14032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 xml:space="preserve">veřejné prostranství </w:t>
      </w:r>
      <w:r w:rsidR="001A75FA" w:rsidRPr="00370967">
        <w:t>na dětských hřištích</w:t>
      </w:r>
      <w:r w:rsidRPr="00370967">
        <w:t>,</w:t>
      </w:r>
      <w:r w:rsidR="001A75FA" w:rsidRPr="00370967">
        <w:t xml:space="preserve"> otevřených sportovištích</w:t>
      </w:r>
      <w:r w:rsidR="008D42EE">
        <w:t xml:space="preserve"> </w:t>
      </w:r>
      <w:r w:rsidR="001A75FA" w:rsidRPr="00370967">
        <w:t>v okruhu 20 m</w:t>
      </w:r>
      <w:r w:rsidR="00E14498" w:rsidRPr="00370967">
        <w:t>etrů</w:t>
      </w:r>
      <w:r w:rsidR="001A75FA" w:rsidRPr="00370967">
        <w:t xml:space="preserve"> od nich, </w:t>
      </w:r>
    </w:p>
    <w:p w14:paraId="0D4F442E" w14:textId="1F679396" w:rsidR="009103C7" w:rsidRDefault="004D4D57" w:rsidP="008D42EE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1A75FA" w:rsidRPr="00370967">
        <w:t xml:space="preserve"> </w:t>
      </w:r>
      <w:r w:rsidR="009103C7" w:rsidRPr="00370967">
        <w:t>10</w:t>
      </w:r>
      <w:r w:rsidR="001A75FA" w:rsidRPr="00370967">
        <w:t>0 m</w:t>
      </w:r>
      <w:r w:rsidR="00E14498" w:rsidRPr="00370967">
        <w:t>etrů</w:t>
      </w:r>
      <w:r w:rsidR="001A75FA" w:rsidRPr="00370967">
        <w:t xml:space="preserve"> od objektů, v nichž se nachází </w:t>
      </w:r>
      <w:r w:rsidR="009103C7" w:rsidRPr="00370967">
        <w:t xml:space="preserve">nemocnice, </w:t>
      </w:r>
      <w:r w:rsidR="001A75FA" w:rsidRPr="00370967">
        <w:t>zdravotnické zařízení či zařízení sociální péče včetně domovů pro seniory,</w:t>
      </w:r>
    </w:p>
    <w:p w14:paraId="13C51436" w14:textId="44FA7D81" w:rsidR="003B1440" w:rsidRPr="00370967" w:rsidRDefault="003B1440" w:rsidP="008D42EE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 xml:space="preserve">v okruhu 100 metrů od budovy Těšínského divadla Český Těšín, </w:t>
      </w:r>
    </w:p>
    <w:p w14:paraId="34F75CF9" w14:textId="4D11245D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E14498" w:rsidRPr="00370967">
        <w:t xml:space="preserve"> </w:t>
      </w:r>
      <w:r w:rsidR="00CB1AD9">
        <w:t>10</w:t>
      </w:r>
      <w:r w:rsidR="00E14498" w:rsidRPr="00370967">
        <w:t xml:space="preserve">0 metrů </w:t>
      </w:r>
      <w:r w:rsidR="001A75FA" w:rsidRPr="00370967">
        <w:t>od kostelů</w:t>
      </w:r>
      <w:r w:rsidR="003F453D">
        <w:t xml:space="preserve"> </w:t>
      </w:r>
      <w:r w:rsidR="001A75FA" w:rsidRPr="00370967">
        <w:t>a veřejných pohřebišť</w:t>
      </w:r>
      <w:r w:rsidR="009103C7" w:rsidRPr="00370967">
        <w:rPr>
          <w:rStyle w:val="Znakapoznpodarou"/>
        </w:rPr>
        <w:footnoteReference w:id="1"/>
      </w:r>
      <w:r w:rsidR="001A75FA" w:rsidRPr="00370967">
        <w:t xml:space="preserve">, </w:t>
      </w:r>
    </w:p>
    <w:p w14:paraId="10B68225" w14:textId="7C64A2B1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E14498" w:rsidRPr="00370967">
        <w:t xml:space="preserve"> </w:t>
      </w:r>
      <w:r w:rsidR="001A75FA" w:rsidRPr="00370967">
        <w:t>100</w:t>
      </w:r>
      <w:r w:rsidR="00E14498" w:rsidRPr="00370967">
        <w:t xml:space="preserve"> metrů</w:t>
      </w:r>
      <w:r w:rsidR="001A75FA" w:rsidRPr="00370967">
        <w:t xml:space="preserve"> od budovy vlakového nádraží</w:t>
      </w:r>
      <w:r w:rsidR="002B36D8">
        <w:t xml:space="preserve"> a budovy Centrálního dopravního terminálu</w:t>
      </w:r>
      <w:r w:rsidR="001A75FA" w:rsidRPr="00370967">
        <w:t>,</w:t>
      </w:r>
    </w:p>
    <w:p w14:paraId="44AB7612" w14:textId="0293AED2" w:rsidR="001A75FA" w:rsidRPr="00370967" w:rsidRDefault="001A75FA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na zastávkách městské autobusové dopravy a v okruhu 50 m</w:t>
      </w:r>
      <w:r w:rsidR="00E14498" w:rsidRPr="00370967">
        <w:t>etrů</w:t>
      </w:r>
      <w:r w:rsidRPr="00370967">
        <w:t xml:space="preserve"> od </w:t>
      </w:r>
      <w:r w:rsidR="004D4D57">
        <w:t>nich</w:t>
      </w:r>
      <w:r w:rsidRPr="00370967">
        <w:t>,</w:t>
      </w:r>
    </w:p>
    <w:p w14:paraId="00DD65F6" w14:textId="04FDD91D" w:rsidR="001A75FA" w:rsidRPr="00370967" w:rsidRDefault="001A75FA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na zastávkách</w:t>
      </w:r>
      <w:r w:rsidR="00760488">
        <w:t xml:space="preserve"> veřejné</w:t>
      </w:r>
      <w:r w:rsidRPr="00370967">
        <w:t xml:space="preserve"> linkové osobní dopravy a v okruhu 50 m</w:t>
      </w:r>
      <w:r w:rsidR="00E14498" w:rsidRPr="00370967">
        <w:t>etrů</w:t>
      </w:r>
      <w:r w:rsidRPr="00370967">
        <w:t xml:space="preserve"> od nich</w:t>
      </w:r>
      <w:r w:rsidR="00EE79F4">
        <w:t>.</w:t>
      </w:r>
    </w:p>
    <w:p w14:paraId="131C9320" w14:textId="74E49E04" w:rsidR="00D834D9" w:rsidRDefault="00D834D9" w:rsidP="00D834D9">
      <w:pPr>
        <w:spacing w:line="360" w:lineRule="auto"/>
        <w:contextualSpacing/>
        <w:jc w:val="both"/>
      </w:pPr>
    </w:p>
    <w:p w14:paraId="018EEB94" w14:textId="62F0446F" w:rsidR="00D834D9" w:rsidRDefault="00D834D9" w:rsidP="00D834D9">
      <w:pPr>
        <w:spacing w:line="360" w:lineRule="auto"/>
        <w:contextualSpacing/>
        <w:jc w:val="both"/>
      </w:pPr>
    </w:p>
    <w:p w14:paraId="367E54F5" w14:textId="278DF8E6" w:rsidR="00D834D9" w:rsidRDefault="00D834D9" w:rsidP="00D834D9">
      <w:pPr>
        <w:spacing w:line="360" w:lineRule="auto"/>
        <w:contextualSpacing/>
        <w:jc w:val="both"/>
      </w:pPr>
    </w:p>
    <w:p w14:paraId="0C924462" w14:textId="62561940" w:rsidR="00D834D9" w:rsidRDefault="00D834D9" w:rsidP="00D834D9">
      <w:pPr>
        <w:spacing w:line="360" w:lineRule="auto"/>
        <w:contextualSpacing/>
        <w:jc w:val="both"/>
      </w:pPr>
    </w:p>
    <w:p w14:paraId="1C138831" w14:textId="345C6E68" w:rsidR="00D834D9" w:rsidRDefault="00D834D9" w:rsidP="00D834D9">
      <w:pPr>
        <w:spacing w:line="360" w:lineRule="auto"/>
        <w:contextualSpacing/>
        <w:jc w:val="both"/>
      </w:pPr>
    </w:p>
    <w:p w14:paraId="590464DF" w14:textId="189E97BB" w:rsidR="00D834D9" w:rsidRDefault="00D834D9" w:rsidP="00D834D9">
      <w:pPr>
        <w:spacing w:line="360" w:lineRule="auto"/>
        <w:contextualSpacing/>
        <w:jc w:val="both"/>
      </w:pPr>
    </w:p>
    <w:p w14:paraId="172F96CF" w14:textId="17B94DAE" w:rsidR="00D834D9" w:rsidRDefault="00D834D9" w:rsidP="00D834D9">
      <w:pPr>
        <w:spacing w:line="360" w:lineRule="auto"/>
        <w:contextualSpacing/>
        <w:jc w:val="both"/>
      </w:pPr>
    </w:p>
    <w:p w14:paraId="3AE5D4D1" w14:textId="1E223024" w:rsidR="00D834D9" w:rsidRDefault="00D834D9" w:rsidP="00D834D9">
      <w:pPr>
        <w:spacing w:line="360" w:lineRule="auto"/>
        <w:contextualSpacing/>
        <w:jc w:val="both"/>
      </w:pPr>
    </w:p>
    <w:p w14:paraId="209DA33B" w14:textId="5A8BD337" w:rsidR="00D834D9" w:rsidRDefault="00D834D9" w:rsidP="00D834D9">
      <w:pPr>
        <w:spacing w:line="360" w:lineRule="auto"/>
        <w:contextualSpacing/>
        <w:jc w:val="both"/>
      </w:pPr>
    </w:p>
    <w:p w14:paraId="4132DB71" w14:textId="57195E8F" w:rsidR="00D834D9" w:rsidRDefault="00D834D9" w:rsidP="00D834D9">
      <w:pPr>
        <w:spacing w:line="360" w:lineRule="auto"/>
        <w:contextualSpacing/>
        <w:jc w:val="both"/>
      </w:pPr>
    </w:p>
    <w:p w14:paraId="157920B4" w14:textId="77777777" w:rsidR="0060314F" w:rsidRDefault="0060314F" w:rsidP="00D834D9">
      <w:pPr>
        <w:spacing w:line="360" w:lineRule="auto"/>
        <w:contextualSpacing/>
        <w:jc w:val="both"/>
      </w:pPr>
    </w:p>
    <w:sectPr w:rsidR="0060314F"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91900" w14:textId="77777777" w:rsidR="00202DB3" w:rsidRDefault="00202DB3">
      <w:r>
        <w:separator/>
      </w:r>
    </w:p>
  </w:endnote>
  <w:endnote w:type="continuationSeparator" w:id="0">
    <w:p w14:paraId="4FFFBDF7" w14:textId="77777777" w:rsidR="00202DB3" w:rsidRDefault="0020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704A" w14:textId="77777777" w:rsidR="00202DB3" w:rsidRDefault="00202DB3">
      <w:pPr>
        <w:rPr>
          <w:sz w:val="12"/>
        </w:rPr>
      </w:pPr>
      <w:r>
        <w:separator/>
      </w:r>
    </w:p>
  </w:footnote>
  <w:footnote w:type="continuationSeparator" w:id="0">
    <w:p w14:paraId="49E02F97" w14:textId="77777777" w:rsidR="00202DB3" w:rsidRDefault="00202DB3">
      <w:pPr>
        <w:rPr>
          <w:sz w:val="12"/>
        </w:rPr>
      </w:pPr>
      <w:r>
        <w:continuationSeparator/>
      </w:r>
    </w:p>
  </w:footnote>
  <w:footnote w:id="1">
    <w:p w14:paraId="158A742D" w14:textId="77777777" w:rsidR="009103C7" w:rsidRDefault="009103C7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256/2001 Sb., o pohřebnictví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5064"/>
    <w:multiLevelType w:val="hybridMultilevel"/>
    <w:tmpl w:val="8466AFCE"/>
    <w:lvl w:ilvl="0" w:tplc="FAC6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0C6"/>
    <w:multiLevelType w:val="multilevel"/>
    <w:tmpl w:val="4F20D6C4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b w:val="0"/>
        <w:bCs w:val="0"/>
      </w:rPr>
    </w:lvl>
  </w:abstractNum>
  <w:abstractNum w:abstractNumId="2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2997"/>
    <w:multiLevelType w:val="hybridMultilevel"/>
    <w:tmpl w:val="6F160DE0"/>
    <w:lvl w:ilvl="0" w:tplc="C49E9C36">
      <w:start w:val="1"/>
      <w:numFmt w:val="decimal"/>
      <w:lvlText w:val="%1)"/>
      <w:lvlJc w:val="left"/>
      <w:pPr>
        <w:ind w:left="435" w:hanging="43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4A85"/>
    <w:multiLevelType w:val="hybridMultilevel"/>
    <w:tmpl w:val="64DCD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AEFC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B27FE"/>
    <w:multiLevelType w:val="hybridMultilevel"/>
    <w:tmpl w:val="BC2EB2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04B1"/>
    <w:multiLevelType w:val="hybridMultilevel"/>
    <w:tmpl w:val="14B494AE"/>
    <w:lvl w:ilvl="0" w:tplc="7E9CA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397"/>
    <w:multiLevelType w:val="multilevel"/>
    <w:tmpl w:val="4FA0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C0F82"/>
    <w:multiLevelType w:val="hybridMultilevel"/>
    <w:tmpl w:val="AF1C62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33BE"/>
    <w:multiLevelType w:val="hybridMultilevel"/>
    <w:tmpl w:val="9CD89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D33"/>
    <w:multiLevelType w:val="hybridMultilevel"/>
    <w:tmpl w:val="7284C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511B"/>
    <w:multiLevelType w:val="hybridMultilevel"/>
    <w:tmpl w:val="B0E27646"/>
    <w:lvl w:ilvl="0" w:tplc="D01677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6979"/>
    <w:multiLevelType w:val="hybridMultilevel"/>
    <w:tmpl w:val="5F8E629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65A5"/>
    <w:multiLevelType w:val="hybridMultilevel"/>
    <w:tmpl w:val="FDFC5B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E4D18"/>
    <w:multiLevelType w:val="multilevel"/>
    <w:tmpl w:val="BC3E3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58882246"/>
    <w:multiLevelType w:val="hybridMultilevel"/>
    <w:tmpl w:val="13D41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E1738"/>
    <w:multiLevelType w:val="hybridMultilevel"/>
    <w:tmpl w:val="ADF87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3E3E"/>
    <w:multiLevelType w:val="multilevel"/>
    <w:tmpl w:val="272ABE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5F0D361C"/>
    <w:multiLevelType w:val="hybridMultilevel"/>
    <w:tmpl w:val="CE400B72"/>
    <w:lvl w:ilvl="0" w:tplc="8D02071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D69AB"/>
    <w:multiLevelType w:val="hybridMultilevel"/>
    <w:tmpl w:val="2DBCDA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29"/>
    <w:multiLevelType w:val="hybridMultilevel"/>
    <w:tmpl w:val="C83AF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D7D"/>
    <w:multiLevelType w:val="multilevel"/>
    <w:tmpl w:val="387A1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78C03A6"/>
    <w:multiLevelType w:val="hybridMultilevel"/>
    <w:tmpl w:val="F33CDF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84A"/>
    <w:multiLevelType w:val="hybridMultilevel"/>
    <w:tmpl w:val="5FE41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4B8"/>
    <w:multiLevelType w:val="hybridMultilevel"/>
    <w:tmpl w:val="66D2FE0E"/>
    <w:lvl w:ilvl="0" w:tplc="BE86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BA7"/>
    <w:multiLevelType w:val="hybridMultilevel"/>
    <w:tmpl w:val="5DEC9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2401">
    <w:abstractNumId w:val="25"/>
  </w:num>
  <w:num w:numId="2" w16cid:durableId="708459785">
    <w:abstractNumId w:val="21"/>
  </w:num>
  <w:num w:numId="3" w16cid:durableId="1260985756">
    <w:abstractNumId w:val="1"/>
  </w:num>
  <w:num w:numId="4" w16cid:durableId="1548640087">
    <w:abstractNumId w:val="17"/>
  </w:num>
  <w:num w:numId="5" w16cid:durableId="1517159887">
    <w:abstractNumId w:val="8"/>
  </w:num>
  <w:num w:numId="6" w16cid:durableId="180095916">
    <w:abstractNumId w:val="15"/>
  </w:num>
  <w:num w:numId="7" w16cid:durableId="124735908">
    <w:abstractNumId w:val="26"/>
  </w:num>
  <w:num w:numId="8" w16cid:durableId="559022518">
    <w:abstractNumId w:val="9"/>
  </w:num>
  <w:num w:numId="9" w16cid:durableId="2132702195">
    <w:abstractNumId w:val="18"/>
  </w:num>
  <w:num w:numId="10" w16cid:durableId="572274871">
    <w:abstractNumId w:val="19"/>
  </w:num>
  <w:num w:numId="11" w16cid:durableId="1450315499">
    <w:abstractNumId w:val="3"/>
  </w:num>
  <w:num w:numId="12" w16cid:durableId="1866403298">
    <w:abstractNumId w:val="29"/>
  </w:num>
  <w:num w:numId="13" w16cid:durableId="269512673">
    <w:abstractNumId w:val="11"/>
  </w:num>
  <w:num w:numId="14" w16cid:durableId="1422681464">
    <w:abstractNumId w:val="23"/>
  </w:num>
  <w:num w:numId="15" w16cid:durableId="1017392862">
    <w:abstractNumId w:val="5"/>
  </w:num>
  <w:num w:numId="16" w16cid:durableId="1321497469">
    <w:abstractNumId w:val="12"/>
  </w:num>
  <w:num w:numId="17" w16cid:durableId="408769786">
    <w:abstractNumId w:val="27"/>
  </w:num>
  <w:num w:numId="18" w16cid:durableId="309024109">
    <w:abstractNumId w:val="7"/>
  </w:num>
  <w:num w:numId="19" w16cid:durableId="1096439642">
    <w:abstractNumId w:val="20"/>
  </w:num>
  <w:num w:numId="20" w16cid:durableId="60911673">
    <w:abstractNumId w:val="24"/>
  </w:num>
  <w:num w:numId="21" w16cid:durableId="1088845763">
    <w:abstractNumId w:val="13"/>
  </w:num>
  <w:num w:numId="22" w16cid:durableId="853416282">
    <w:abstractNumId w:val="28"/>
  </w:num>
  <w:num w:numId="23" w16cid:durableId="305940194">
    <w:abstractNumId w:val="0"/>
  </w:num>
  <w:num w:numId="24" w16cid:durableId="2024818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74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7615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2628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6530936">
    <w:abstractNumId w:val="14"/>
  </w:num>
  <w:num w:numId="29" w16cid:durableId="1282035551">
    <w:abstractNumId w:val="10"/>
  </w:num>
  <w:num w:numId="30" w16cid:durableId="683674004">
    <w:abstractNumId w:val="2"/>
  </w:num>
  <w:num w:numId="31" w16cid:durableId="1463036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87"/>
    <w:rsid w:val="0006667B"/>
    <w:rsid w:val="000B203C"/>
    <w:rsid w:val="001056ED"/>
    <w:rsid w:val="0012560B"/>
    <w:rsid w:val="001A75FA"/>
    <w:rsid w:val="001D0A03"/>
    <w:rsid w:val="001F15F5"/>
    <w:rsid w:val="001F3A73"/>
    <w:rsid w:val="001F77A6"/>
    <w:rsid w:val="00202DB3"/>
    <w:rsid w:val="002035B8"/>
    <w:rsid w:val="00220DF4"/>
    <w:rsid w:val="00240383"/>
    <w:rsid w:val="002B36D8"/>
    <w:rsid w:val="00313B45"/>
    <w:rsid w:val="00370967"/>
    <w:rsid w:val="003B1440"/>
    <w:rsid w:val="003F453D"/>
    <w:rsid w:val="00444BCE"/>
    <w:rsid w:val="00475F61"/>
    <w:rsid w:val="004B7A64"/>
    <w:rsid w:val="004B7C1A"/>
    <w:rsid w:val="004D4D57"/>
    <w:rsid w:val="00541803"/>
    <w:rsid w:val="00554A49"/>
    <w:rsid w:val="00556035"/>
    <w:rsid w:val="0057580C"/>
    <w:rsid w:val="005B740A"/>
    <w:rsid w:val="0060314F"/>
    <w:rsid w:val="0063407D"/>
    <w:rsid w:val="00674976"/>
    <w:rsid w:val="00695AE4"/>
    <w:rsid w:val="006A5AA9"/>
    <w:rsid w:val="006C1A39"/>
    <w:rsid w:val="006E3405"/>
    <w:rsid w:val="006F0D58"/>
    <w:rsid w:val="007532D9"/>
    <w:rsid w:val="00760488"/>
    <w:rsid w:val="007B2446"/>
    <w:rsid w:val="008109C7"/>
    <w:rsid w:val="008556EC"/>
    <w:rsid w:val="008B5763"/>
    <w:rsid w:val="008D42EE"/>
    <w:rsid w:val="008F19A1"/>
    <w:rsid w:val="009103C7"/>
    <w:rsid w:val="0093780C"/>
    <w:rsid w:val="009A0809"/>
    <w:rsid w:val="00A11CAE"/>
    <w:rsid w:val="00A14032"/>
    <w:rsid w:val="00AA7F22"/>
    <w:rsid w:val="00B365E2"/>
    <w:rsid w:val="00B72DBE"/>
    <w:rsid w:val="00C1060A"/>
    <w:rsid w:val="00C31029"/>
    <w:rsid w:val="00C36F1E"/>
    <w:rsid w:val="00CB1AD9"/>
    <w:rsid w:val="00CD3387"/>
    <w:rsid w:val="00CE2D86"/>
    <w:rsid w:val="00D030E9"/>
    <w:rsid w:val="00D738B4"/>
    <w:rsid w:val="00D834D9"/>
    <w:rsid w:val="00D94BFD"/>
    <w:rsid w:val="00DA38A8"/>
    <w:rsid w:val="00DB21BC"/>
    <w:rsid w:val="00E14498"/>
    <w:rsid w:val="00E85785"/>
    <w:rsid w:val="00E96BF9"/>
    <w:rsid w:val="00EB6741"/>
    <w:rsid w:val="00EE79F4"/>
    <w:rsid w:val="00F07849"/>
    <w:rsid w:val="00F109A9"/>
    <w:rsid w:val="00F8741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DA2"/>
  <w15:docId w15:val="{F06EEF72-9A0C-45E2-83A1-AC8C70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9789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12F60"/>
  </w:style>
  <w:style w:type="character" w:customStyle="1" w:styleId="Nadpis1Char">
    <w:name w:val="Nadpis 1 Char"/>
    <w:link w:val="Nadpis1"/>
    <w:qFormat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qFormat/>
    <w:rsid w:val="00A85B0C"/>
    <w:rPr>
      <w:sz w:val="24"/>
    </w:rPr>
  </w:style>
  <w:style w:type="character" w:customStyle="1" w:styleId="ZpatChar">
    <w:name w:val="Zápatí Char"/>
    <w:link w:val="Zpat"/>
    <w:qFormat/>
    <w:rsid w:val="00A85B0C"/>
    <w:rPr>
      <w:sz w:val="24"/>
    </w:rPr>
  </w:style>
  <w:style w:type="character" w:customStyle="1" w:styleId="Zkladntext3Char">
    <w:name w:val="Základní text 3 Char"/>
    <w:link w:val="Zkladntext3"/>
    <w:qFormat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8E48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484A"/>
  </w:style>
  <w:style w:type="character" w:customStyle="1" w:styleId="PedmtkomenteChar">
    <w:name w:val="Předmět komentáře Char"/>
    <w:link w:val="Pedmtkomente"/>
    <w:uiPriority w:val="99"/>
    <w:semiHidden/>
    <w:qFormat/>
    <w:rsid w:val="008E484A"/>
    <w:rPr>
      <w:b/>
      <w:bCs/>
    </w:rPr>
  </w:style>
  <w:style w:type="character" w:customStyle="1" w:styleId="ZhlavChar">
    <w:name w:val="Záhlaví Char"/>
    <w:link w:val="Zhlav"/>
    <w:uiPriority w:val="99"/>
    <w:qFormat/>
    <w:rsid w:val="00DD73BB"/>
    <w:rPr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b w:val="0"/>
      <w:bCs w:val="0"/>
    </w:rPr>
  </w:style>
  <w:style w:type="paragraph" w:customStyle="1" w:styleId="Nadpis">
    <w:name w:val="Nadpis"/>
    <w:basedOn w:val="Normln"/>
    <w:next w:val="Zkladntext"/>
    <w:qFormat/>
    <w:pPr>
      <w:overflowPunct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spacing w:before="100" w:after="100"/>
      <w:jc w:val="both"/>
    </w:pPr>
    <w:rPr>
      <w:szCs w:val="20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31">
    <w:name w:val="Základní text 31"/>
    <w:basedOn w:val="Normln"/>
    <w:qFormat/>
    <w:pPr>
      <w:overflowPunct w:val="0"/>
      <w:jc w:val="both"/>
      <w:textAlignment w:val="baseline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qFormat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qFormat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qFormat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qFormat/>
    <w:pPr>
      <w:overflowPunct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qFormat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5871C7"/>
    <w:pPr>
      <w:spacing w:before="60" w:after="160"/>
    </w:pPr>
  </w:style>
  <w:style w:type="paragraph" w:styleId="Normlnweb">
    <w:name w:val="Normal (Web)"/>
    <w:basedOn w:val="Normln"/>
    <w:qFormat/>
    <w:rsid w:val="00EE53F6"/>
    <w:pPr>
      <w:spacing w:beforeAutospacing="1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4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484A"/>
    <w:rPr>
      <w:b/>
      <w:bCs/>
    </w:rPr>
  </w:style>
  <w:style w:type="paragraph" w:styleId="Revize">
    <w:name w:val="Revision"/>
    <w:uiPriority w:val="99"/>
    <w:semiHidden/>
    <w:qFormat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qFormat/>
    <w:rsid w:val="00BD7222"/>
    <w:pPr>
      <w:widowControl w:val="0"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unhideWhenUsed/>
    <w:rsid w:val="001F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0BEB-B656-471E-A08C-6C061037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dc:description/>
  <cp:lastModifiedBy>Bonczeková Marie</cp:lastModifiedBy>
  <cp:revision>2</cp:revision>
  <cp:lastPrinted>2024-09-25T08:08:00Z</cp:lastPrinted>
  <dcterms:created xsi:type="dcterms:W3CDTF">2025-03-27T07:54:00Z</dcterms:created>
  <dcterms:modified xsi:type="dcterms:W3CDTF">2025-03-27T07:54:00Z</dcterms:modified>
  <dc:language>cs-CZ</dc:language>
</cp:coreProperties>
</file>