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D70AD" w14:textId="77777777" w:rsidR="00F72C86" w:rsidRDefault="00F72C86" w:rsidP="00E75B2A">
      <w:pPr>
        <w:pStyle w:val="JVS1"/>
        <w:spacing w:line="240" w:lineRule="auto"/>
      </w:pPr>
      <w:r>
        <w:t>Nařízení města č.</w:t>
      </w:r>
      <w:r w:rsidR="0077159F">
        <w:t xml:space="preserve"> </w:t>
      </w:r>
      <w:r w:rsidR="00A614C4">
        <w:t>2</w:t>
      </w:r>
      <w:r w:rsidR="0077159F">
        <w:t>/</w:t>
      </w:r>
      <w:r w:rsidR="007A4B2F">
        <w:t>2020</w:t>
      </w:r>
      <w:r w:rsidR="0077159F">
        <w:t>,</w:t>
      </w:r>
    </w:p>
    <w:p w14:paraId="39884F93" w14:textId="77777777" w:rsidR="00AC38CA" w:rsidRPr="00AC38CA" w:rsidRDefault="00AC38CA" w:rsidP="0021110A">
      <w:pPr>
        <w:spacing w:before="240" w:after="10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kterým se stanoví zákaz šíření reklamy na veřejně přístupných místech mimo provozovnu.</w:t>
      </w:r>
    </w:p>
    <w:p w14:paraId="3D61931E" w14:textId="77777777" w:rsidR="00C955FB" w:rsidRPr="00AB4460" w:rsidRDefault="00F72C86" w:rsidP="0021110A">
      <w:pPr>
        <w:spacing w:before="240" w:after="100"/>
        <w:jc w:val="both"/>
        <w:rPr>
          <w:sz w:val="22"/>
          <w:szCs w:val="22"/>
        </w:rPr>
      </w:pPr>
      <w:r w:rsidRPr="00F72C86">
        <w:rPr>
          <w:color w:val="000000"/>
          <w:sz w:val="22"/>
          <w:szCs w:val="22"/>
        </w:rPr>
        <w:t xml:space="preserve">Rada města se usnesla dne </w:t>
      </w:r>
      <w:r w:rsidR="00A614C4">
        <w:rPr>
          <w:color w:val="000000"/>
          <w:sz w:val="22"/>
          <w:szCs w:val="22"/>
        </w:rPr>
        <w:t>31.3.2020</w:t>
      </w:r>
      <w:r w:rsidRPr="00AB4460">
        <w:rPr>
          <w:sz w:val="22"/>
          <w:szCs w:val="22"/>
        </w:rPr>
        <w:t xml:space="preserve"> vydat podle § 11 odst. 1 a § 102 odst. 2 písm. d) zákona č. 128/2000 Sb., o obcích (obecní zřízení), ve znění pozdějších předpisů, a § 2 odst. 1 písm. </w:t>
      </w:r>
      <w:r w:rsidR="00C3421C" w:rsidRPr="00AB4460">
        <w:rPr>
          <w:sz w:val="22"/>
          <w:szCs w:val="22"/>
        </w:rPr>
        <w:t>d</w:t>
      </w:r>
      <w:r w:rsidRPr="00AB4460">
        <w:rPr>
          <w:sz w:val="22"/>
          <w:szCs w:val="22"/>
        </w:rPr>
        <w:t>) a odst. 5 zákona č. 40/1995 Sb., o regulaci reklamy a o změně a doplnění zákona č. 468/1991 Sb., o provozování rozhlasového a televizního vysílání, ve znění pozdějších předpisů, toto nařízení města:</w:t>
      </w:r>
    </w:p>
    <w:p w14:paraId="6355C222" w14:textId="77777777" w:rsidR="00751FD2" w:rsidRPr="00AB4460" w:rsidRDefault="00C955FB" w:rsidP="0021110A">
      <w:pPr>
        <w:pStyle w:val="Nadpis1"/>
        <w:spacing w:before="200"/>
        <w:jc w:val="center"/>
        <w:rPr>
          <w:rFonts w:ascii="Times New Roman" w:hAnsi="Times New Roman"/>
          <w:b w:val="0"/>
          <w:sz w:val="22"/>
          <w:szCs w:val="22"/>
        </w:rPr>
      </w:pPr>
      <w:r w:rsidRPr="00AB4460">
        <w:rPr>
          <w:rFonts w:ascii="Times New Roman" w:hAnsi="Times New Roman"/>
          <w:b w:val="0"/>
          <w:sz w:val="22"/>
          <w:szCs w:val="22"/>
        </w:rPr>
        <w:t>Čl</w:t>
      </w:r>
      <w:r w:rsidR="00F72C86" w:rsidRPr="00AB4460">
        <w:rPr>
          <w:rFonts w:ascii="Times New Roman" w:hAnsi="Times New Roman"/>
          <w:b w:val="0"/>
          <w:sz w:val="22"/>
          <w:szCs w:val="22"/>
        </w:rPr>
        <w:t>.</w:t>
      </w:r>
      <w:r w:rsidRPr="00AB4460">
        <w:rPr>
          <w:rFonts w:ascii="Times New Roman" w:hAnsi="Times New Roman"/>
          <w:b w:val="0"/>
          <w:sz w:val="22"/>
          <w:szCs w:val="22"/>
        </w:rPr>
        <w:t xml:space="preserve"> 1</w:t>
      </w:r>
    </w:p>
    <w:p w14:paraId="6C058331" w14:textId="77777777" w:rsidR="00C955FB" w:rsidRPr="00AB4460" w:rsidRDefault="008672E8" w:rsidP="00751FD2">
      <w:pPr>
        <w:pStyle w:val="Nadpis1"/>
        <w:spacing w:before="0" w:after="60"/>
        <w:jc w:val="center"/>
        <w:rPr>
          <w:rFonts w:ascii="Times New Roman" w:hAnsi="Times New Roman"/>
          <w:b w:val="0"/>
          <w:sz w:val="22"/>
          <w:szCs w:val="22"/>
        </w:rPr>
      </w:pPr>
      <w:r w:rsidRPr="00AB4460">
        <w:rPr>
          <w:rFonts w:ascii="Times New Roman" w:hAnsi="Times New Roman"/>
          <w:b w:val="0"/>
          <w:bCs/>
          <w:iCs/>
          <w:sz w:val="22"/>
          <w:szCs w:val="22"/>
        </w:rPr>
        <w:t>Předmět úpravy</w:t>
      </w:r>
    </w:p>
    <w:p w14:paraId="2A86DDC5" w14:textId="77777777" w:rsidR="008672E8" w:rsidRPr="00AB4460" w:rsidRDefault="008672E8" w:rsidP="003F7DFD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426" w:hanging="426"/>
        <w:jc w:val="both"/>
        <w:rPr>
          <w:sz w:val="22"/>
          <w:szCs w:val="22"/>
        </w:rPr>
      </w:pPr>
      <w:r w:rsidRPr="00AB4460">
        <w:rPr>
          <w:sz w:val="22"/>
          <w:szCs w:val="22"/>
        </w:rPr>
        <w:t>Toto nařízení města stanoví zákaz šíření reklamy</w:t>
      </w:r>
      <w:r w:rsidR="00E75B2A" w:rsidRPr="00AB4460">
        <w:rPr>
          <w:sz w:val="22"/>
          <w:szCs w:val="22"/>
          <w:vertAlign w:val="superscript"/>
        </w:rPr>
        <w:footnoteReference w:id="1"/>
      </w:r>
      <w:r w:rsidR="00E75B2A" w:rsidRPr="00AB4460">
        <w:rPr>
          <w:sz w:val="22"/>
          <w:szCs w:val="22"/>
          <w:vertAlign w:val="superscript"/>
        </w:rPr>
        <w:t>)</w:t>
      </w:r>
      <w:r w:rsidRPr="00AB4460">
        <w:rPr>
          <w:sz w:val="22"/>
          <w:szCs w:val="22"/>
        </w:rPr>
        <w:t xml:space="preserve"> </w:t>
      </w:r>
      <w:r w:rsidR="00A850FD" w:rsidRPr="00AB4460">
        <w:rPr>
          <w:sz w:val="22"/>
          <w:szCs w:val="22"/>
        </w:rPr>
        <w:t xml:space="preserve">komunikačními médii uvedenými v čl. 4 tohoto nařízení </w:t>
      </w:r>
      <w:r w:rsidRPr="00AB4460">
        <w:rPr>
          <w:sz w:val="22"/>
          <w:szCs w:val="22"/>
        </w:rPr>
        <w:t>na veřejně přístupných místech mimo provozovnu</w:t>
      </w:r>
      <w:r w:rsidRPr="00AB4460">
        <w:rPr>
          <w:sz w:val="22"/>
          <w:szCs w:val="22"/>
          <w:vertAlign w:val="superscript"/>
        </w:rPr>
        <w:footnoteReference w:id="2"/>
      </w:r>
      <w:r w:rsidR="00465AA7" w:rsidRPr="00AB4460">
        <w:rPr>
          <w:sz w:val="22"/>
          <w:szCs w:val="22"/>
          <w:vertAlign w:val="superscript"/>
        </w:rPr>
        <w:t>)</w:t>
      </w:r>
      <w:r w:rsidR="00465AA7" w:rsidRPr="00AB4460">
        <w:rPr>
          <w:sz w:val="22"/>
          <w:szCs w:val="22"/>
        </w:rPr>
        <w:t xml:space="preserve"> uvedených v čl. 2</w:t>
      </w:r>
      <w:r w:rsidR="00727298" w:rsidRPr="00AB4460">
        <w:rPr>
          <w:sz w:val="22"/>
          <w:szCs w:val="22"/>
        </w:rPr>
        <w:t xml:space="preserve"> tohoto nařízení</w:t>
      </w:r>
      <w:r w:rsidR="00465AA7" w:rsidRPr="00AB4460">
        <w:rPr>
          <w:sz w:val="22"/>
          <w:szCs w:val="22"/>
        </w:rPr>
        <w:t>.</w:t>
      </w:r>
    </w:p>
    <w:p w14:paraId="12F6A8DC" w14:textId="77777777" w:rsidR="009647CC" w:rsidRDefault="00C07A42" w:rsidP="009647CC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426" w:hanging="426"/>
        <w:jc w:val="both"/>
        <w:rPr>
          <w:sz w:val="22"/>
          <w:szCs w:val="22"/>
        </w:rPr>
      </w:pPr>
      <w:r w:rsidRPr="00AB4460">
        <w:rPr>
          <w:sz w:val="22"/>
          <w:szCs w:val="22"/>
        </w:rPr>
        <w:t xml:space="preserve">Veřejně přístupným místem mimo provozovnu (dále jen "veřejně přístupné místo") se pro účely tohoto nařízení rozumí </w:t>
      </w:r>
      <w:r w:rsidR="000F639A" w:rsidRPr="00AB4460">
        <w:rPr>
          <w:sz w:val="22"/>
          <w:szCs w:val="22"/>
        </w:rPr>
        <w:t>všechna náměstí, ulice, tržiště, chodníky, veřejná zeleň, parky a další prostory přístupné každému bez omezení, tedy sloužící obecnému užívání, a to bez ohledu na vlastnictví k tomuto prostoru.</w:t>
      </w:r>
    </w:p>
    <w:p w14:paraId="1BB8AEAE" w14:textId="77777777" w:rsidR="009647CC" w:rsidRPr="009647CC" w:rsidRDefault="009647CC" w:rsidP="009647CC">
      <w:pPr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426" w:hanging="426"/>
        <w:jc w:val="both"/>
        <w:rPr>
          <w:sz w:val="22"/>
          <w:szCs w:val="22"/>
        </w:rPr>
      </w:pPr>
      <w:r w:rsidRPr="009647CC">
        <w:rPr>
          <w:sz w:val="22"/>
          <w:szCs w:val="22"/>
        </w:rPr>
        <w:t>Pro účely tohoto nařízení se za reklamu nepovažují informační a navigační systémy primárně usnadňující veřejnosti orientaci a dostupnost cíle na území města.</w:t>
      </w:r>
    </w:p>
    <w:p w14:paraId="171209E0" w14:textId="77777777" w:rsidR="009647CC" w:rsidRDefault="009647CC" w:rsidP="009647CC">
      <w:pPr>
        <w:autoSpaceDE w:val="0"/>
        <w:autoSpaceDN w:val="0"/>
        <w:adjustRightInd w:val="0"/>
        <w:spacing w:before="100" w:after="100"/>
        <w:jc w:val="both"/>
        <w:rPr>
          <w:sz w:val="22"/>
          <w:szCs w:val="22"/>
        </w:rPr>
      </w:pPr>
    </w:p>
    <w:p w14:paraId="2A11A6DA" w14:textId="77777777" w:rsidR="00751FD2" w:rsidRPr="00AB4460" w:rsidRDefault="00670082" w:rsidP="00670082">
      <w:pPr>
        <w:pStyle w:val="Nadpis1"/>
        <w:tabs>
          <w:tab w:val="center" w:pos="4680"/>
          <w:tab w:val="left" w:pos="7689"/>
        </w:tabs>
        <w:spacing w:before="200"/>
        <w:rPr>
          <w:rFonts w:ascii="Times New Roman" w:hAnsi="Times New Roman"/>
          <w:b w:val="0"/>
          <w:sz w:val="22"/>
          <w:szCs w:val="22"/>
        </w:rPr>
      </w:pPr>
      <w:r w:rsidRPr="00AB4460">
        <w:rPr>
          <w:rFonts w:ascii="Times New Roman" w:hAnsi="Times New Roman"/>
          <w:b w:val="0"/>
          <w:sz w:val="22"/>
          <w:szCs w:val="22"/>
        </w:rPr>
        <w:tab/>
      </w:r>
      <w:r w:rsidR="00465AA7" w:rsidRPr="00AB4460">
        <w:rPr>
          <w:rFonts w:ascii="Times New Roman" w:hAnsi="Times New Roman"/>
          <w:b w:val="0"/>
          <w:sz w:val="22"/>
          <w:szCs w:val="22"/>
        </w:rPr>
        <w:t>Čl. 2</w:t>
      </w:r>
      <w:r w:rsidRPr="00AB4460">
        <w:rPr>
          <w:rFonts w:ascii="Times New Roman" w:hAnsi="Times New Roman"/>
          <w:b w:val="0"/>
          <w:sz w:val="22"/>
          <w:szCs w:val="22"/>
        </w:rPr>
        <w:tab/>
      </w:r>
    </w:p>
    <w:p w14:paraId="023AAFD2" w14:textId="77777777" w:rsidR="00465AA7" w:rsidRPr="00AB4460" w:rsidRDefault="00465AA7" w:rsidP="00751FD2">
      <w:pPr>
        <w:pStyle w:val="Nadpis1"/>
        <w:spacing w:before="0" w:after="60"/>
        <w:jc w:val="center"/>
        <w:rPr>
          <w:rFonts w:ascii="Times New Roman" w:hAnsi="Times New Roman"/>
          <w:b w:val="0"/>
          <w:bCs/>
          <w:iCs/>
          <w:sz w:val="22"/>
          <w:szCs w:val="22"/>
        </w:rPr>
      </w:pPr>
      <w:r w:rsidRPr="00AB4460">
        <w:rPr>
          <w:rFonts w:ascii="Times New Roman" w:hAnsi="Times New Roman"/>
          <w:b w:val="0"/>
          <w:bCs/>
          <w:iCs/>
          <w:sz w:val="22"/>
          <w:szCs w:val="22"/>
        </w:rPr>
        <w:t>Veřejně přístupná místa, na nichž je reklama zakázána</w:t>
      </w:r>
    </w:p>
    <w:p w14:paraId="2077CEBA" w14:textId="77777777" w:rsidR="00C926EA" w:rsidRPr="00AB4460" w:rsidRDefault="00C926EA" w:rsidP="0097417B">
      <w:pPr>
        <w:autoSpaceDE w:val="0"/>
        <w:autoSpaceDN w:val="0"/>
        <w:adjustRightInd w:val="0"/>
        <w:spacing w:before="100" w:after="100"/>
        <w:ind w:left="426"/>
        <w:jc w:val="both"/>
        <w:rPr>
          <w:sz w:val="22"/>
          <w:szCs w:val="22"/>
        </w:rPr>
      </w:pPr>
      <w:r w:rsidRPr="00AB4460">
        <w:rPr>
          <w:sz w:val="22"/>
          <w:szCs w:val="22"/>
        </w:rPr>
        <w:t>Reklama šířená komunikačními médii uvedenými v čl. 4 na veřejně přístupných místech mimo provozovnu jiným způsobem než prostřednictvím reklamního nebo propagačního zařízení zřízeného podle zvláštního právního předpisu</w:t>
      </w:r>
      <w:r w:rsidR="00C71E07" w:rsidRPr="00AB4460">
        <w:rPr>
          <w:sz w:val="22"/>
          <w:szCs w:val="22"/>
        </w:rPr>
        <w:t xml:space="preserve"> 5</w:t>
      </w:r>
      <w:r w:rsidRPr="00AB4460">
        <w:rPr>
          <w:sz w:val="22"/>
          <w:szCs w:val="22"/>
        </w:rPr>
        <w:t xml:space="preserve">) se zakazuje na území města </w:t>
      </w:r>
      <w:r w:rsidR="0097417B" w:rsidRPr="00AB4460">
        <w:rPr>
          <w:sz w:val="22"/>
          <w:szCs w:val="22"/>
        </w:rPr>
        <w:t>Ostrava</w:t>
      </w:r>
      <w:r w:rsidRPr="00AB4460">
        <w:rPr>
          <w:sz w:val="22"/>
          <w:szCs w:val="22"/>
        </w:rPr>
        <w:t xml:space="preserve"> ohraničeném těmito ulicemi a náměstími (včetně jich samých):</w:t>
      </w:r>
    </w:p>
    <w:p w14:paraId="2F427B55" w14:textId="77777777" w:rsidR="0097417B" w:rsidRPr="0097417B" w:rsidRDefault="0097417B" w:rsidP="0097417B">
      <w:pPr>
        <w:autoSpaceDE w:val="0"/>
        <w:autoSpaceDN w:val="0"/>
        <w:adjustRightInd w:val="0"/>
        <w:spacing w:before="100" w:after="100"/>
        <w:ind w:left="426"/>
        <w:jc w:val="both"/>
        <w:rPr>
          <w:color w:val="00B050"/>
          <w:sz w:val="22"/>
          <w:szCs w:val="22"/>
        </w:rPr>
      </w:pPr>
    </w:p>
    <w:p w14:paraId="24823A7B" w14:textId="77777777" w:rsidR="00C07A42" w:rsidRPr="0087061C" w:rsidRDefault="00C07A42" w:rsidP="003F7DFD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709" w:hanging="283"/>
        <w:jc w:val="both"/>
        <w:rPr>
          <w:sz w:val="22"/>
          <w:szCs w:val="22"/>
        </w:rPr>
      </w:pPr>
      <w:r w:rsidRPr="0087061C">
        <w:rPr>
          <w:sz w:val="22"/>
          <w:szCs w:val="22"/>
        </w:rPr>
        <w:t>památkov</w:t>
      </w:r>
      <w:r w:rsidR="00D36376" w:rsidRPr="0087061C">
        <w:rPr>
          <w:sz w:val="22"/>
          <w:szCs w:val="22"/>
        </w:rPr>
        <w:t>ých zón</w:t>
      </w:r>
      <w:r w:rsidRPr="0087061C">
        <w:rPr>
          <w:sz w:val="22"/>
          <w:szCs w:val="22"/>
        </w:rPr>
        <w:t xml:space="preserve"> Moravská Ostrava</w:t>
      </w:r>
      <w:r w:rsidRPr="0087061C">
        <w:rPr>
          <w:sz w:val="22"/>
          <w:szCs w:val="22"/>
          <w:vertAlign w:val="superscript"/>
        </w:rPr>
        <w:footnoteReference w:id="3"/>
      </w:r>
      <w:r w:rsidRPr="0087061C">
        <w:rPr>
          <w:sz w:val="22"/>
          <w:szCs w:val="22"/>
          <w:vertAlign w:val="superscript"/>
        </w:rPr>
        <w:t>)</w:t>
      </w:r>
      <w:r w:rsidR="00D36376" w:rsidRPr="0087061C">
        <w:rPr>
          <w:sz w:val="22"/>
          <w:szCs w:val="22"/>
        </w:rPr>
        <w:t xml:space="preserve">, Ostrava-Přívoz, </w:t>
      </w:r>
      <w:r w:rsidR="00D36376" w:rsidRPr="009B1439">
        <w:rPr>
          <w:sz w:val="22"/>
          <w:szCs w:val="22"/>
        </w:rPr>
        <w:t>Ostrava-Vítkovice</w:t>
      </w:r>
      <w:r w:rsidR="00D36376" w:rsidRPr="0087061C">
        <w:rPr>
          <w:sz w:val="22"/>
          <w:szCs w:val="22"/>
        </w:rPr>
        <w:t>, Ostrava-Poruba</w:t>
      </w:r>
      <w:r w:rsidR="00D36376" w:rsidRPr="0087061C">
        <w:rPr>
          <w:sz w:val="22"/>
          <w:szCs w:val="22"/>
          <w:vertAlign w:val="superscript"/>
        </w:rPr>
        <w:footnoteReference w:id="4"/>
      </w:r>
      <w:r w:rsidR="00D36376" w:rsidRPr="0087061C">
        <w:rPr>
          <w:sz w:val="22"/>
          <w:szCs w:val="22"/>
          <w:vertAlign w:val="superscript"/>
        </w:rPr>
        <w:t>)</w:t>
      </w:r>
      <w:r w:rsidR="00E75B2A" w:rsidRPr="0087061C">
        <w:rPr>
          <w:sz w:val="22"/>
          <w:szCs w:val="22"/>
        </w:rPr>
        <w:t>,</w:t>
      </w:r>
      <w:r w:rsidR="00D36376" w:rsidRPr="0087061C">
        <w:rPr>
          <w:sz w:val="22"/>
          <w:szCs w:val="22"/>
        </w:rPr>
        <w:t xml:space="preserve"> </w:t>
      </w:r>
    </w:p>
    <w:p w14:paraId="330A48EA" w14:textId="77777777" w:rsidR="00EF4AB3" w:rsidRPr="00AB4460" w:rsidRDefault="00D36376" w:rsidP="003F7DFD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709" w:hanging="283"/>
        <w:jc w:val="both"/>
        <w:rPr>
          <w:sz w:val="22"/>
          <w:szCs w:val="22"/>
        </w:rPr>
      </w:pPr>
      <w:r w:rsidRPr="00727298">
        <w:rPr>
          <w:sz w:val="22"/>
          <w:szCs w:val="22"/>
        </w:rPr>
        <w:t>ulic</w:t>
      </w:r>
      <w:r w:rsidR="008C43EB" w:rsidRPr="00D11564">
        <w:rPr>
          <w:sz w:val="22"/>
          <w:szCs w:val="22"/>
        </w:rPr>
        <w:t xml:space="preserve"> 1. československého armádního sboru,</w:t>
      </w:r>
      <w:r w:rsidRPr="00D11564">
        <w:rPr>
          <w:sz w:val="22"/>
          <w:szCs w:val="22"/>
        </w:rPr>
        <w:t xml:space="preserve"> </w:t>
      </w:r>
      <w:r w:rsidR="00E64D93" w:rsidRPr="00D11564">
        <w:rPr>
          <w:sz w:val="22"/>
          <w:szCs w:val="22"/>
        </w:rPr>
        <w:t xml:space="preserve">17. listopadu, </w:t>
      </w:r>
      <w:r w:rsidRPr="00D11564">
        <w:rPr>
          <w:sz w:val="22"/>
          <w:szCs w:val="22"/>
        </w:rPr>
        <w:t xml:space="preserve">28. </w:t>
      </w:r>
      <w:r w:rsidR="00E64D93" w:rsidRPr="00D11564">
        <w:rPr>
          <w:sz w:val="22"/>
          <w:szCs w:val="22"/>
        </w:rPr>
        <w:t>ř</w:t>
      </w:r>
      <w:r w:rsidR="008C43EB" w:rsidRPr="00D11564">
        <w:rPr>
          <w:sz w:val="22"/>
          <w:szCs w:val="22"/>
        </w:rPr>
        <w:t xml:space="preserve">íjna, </w:t>
      </w:r>
      <w:r w:rsidR="009B4225" w:rsidRPr="00D11564">
        <w:rPr>
          <w:sz w:val="22"/>
          <w:szCs w:val="22"/>
        </w:rPr>
        <w:t xml:space="preserve">30. dubna, </w:t>
      </w:r>
      <w:r w:rsidR="00D454DC" w:rsidRPr="00D11564">
        <w:rPr>
          <w:sz w:val="22"/>
          <w:szCs w:val="22"/>
        </w:rPr>
        <w:t xml:space="preserve">Aleše Hrdličky, </w:t>
      </w:r>
      <w:r w:rsidR="0044201C" w:rsidRPr="00031CDD">
        <w:rPr>
          <w:sz w:val="22"/>
          <w:szCs w:val="22"/>
        </w:rPr>
        <w:t>Aloise Gavlase,</w:t>
      </w:r>
      <w:r w:rsidR="0044201C" w:rsidRPr="00D11564">
        <w:rPr>
          <w:sz w:val="22"/>
          <w:szCs w:val="22"/>
        </w:rPr>
        <w:t xml:space="preserve"> </w:t>
      </w:r>
      <w:r w:rsidR="00BC3FFF" w:rsidRPr="00D11564">
        <w:rPr>
          <w:sz w:val="22"/>
          <w:szCs w:val="22"/>
        </w:rPr>
        <w:t xml:space="preserve">Bedřicha Nikodéma, </w:t>
      </w:r>
      <w:r w:rsidR="00EF7276" w:rsidRPr="00D11564">
        <w:rPr>
          <w:sz w:val="22"/>
          <w:szCs w:val="22"/>
        </w:rPr>
        <w:t xml:space="preserve">Bílovecká, </w:t>
      </w:r>
      <w:r w:rsidR="00970570" w:rsidRPr="00D11564">
        <w:rPr>
          <w:sz w:val="22"/>
          <w:szCs w:val="22"/>
        </w:rPr>
        <w:t>Bieblova</w:t>
      </w:r>
      <w:r w:rsidR="0044201C" w:rsidRPr="00D11564">
        <w:rPr>
          <w:sz w:val="22"/>
          <w:szCs w:val="22"/>
        </w:rPr>
        <w:t>, Bohumíra Četyny</w:t>
      </w:r>
      <w:r w:rsidR="00970570" w:rsidRPr="00D11564">
        <w:rPr>
          <w:sz w:val="22"/>
          <w:szCs w:val="22"/>
        </w:rPr>
        <w:t xml:space="preserve">, </w:t>
      </w:r>
      <w:r w:rsidR="00D11564">
        <w:rPr>
          <w:sz w:val="22"/>
          <w:szCs w:val="22"/>
        </w:rPr>
        <w:t xml:space="preserve">Bozděchova, </w:t>
      </w:r>
      <w:r w:rsidR="000643A9">
        <w:rPr>
          <w:sz w:val="22"/>
          <w:szCs w:val="22"/>
        </w:rPr>
        <w:t xml:space="preserve">Česká, </w:t>
      </w:r>
      <w:r w:rsidR="00AD700A" w:rsidRPr="00317D48">
        <w:rPr>
          <w:sz w:val="22"/>
          <w:szCs w:val="22"/>
        </w:rPr>
        <w:t>Čka</w:t>
      </w:r>
      <w:r w:rsidR="00AD700A" w:rsidRPr="001F1984">
        <w:rPr>
          <w:sz w:val="22"/>
          <w:szCs w:val="22"/>
        </w:rPr>
        <w:t>lo</w:t>
      </w:r>
      <w:r w:rsidR="00317D48" w:rsidRPr="001F1984">
        <w:rPr>
          <w:sz w:val="22"/>
          <w:szCs w:val="22"/>
        </w:rPr>
        <w:t>vo</w:t>
      </w:r>
      <w:r w:rsidR="00AD700A" w:rsidRPr="001F1984">
        <w:rPr>
          <w:sz w:val="22"/>
          <w:szCs w:val="22"/>
        </w:rPr>
        <w:t>v</w:t>
      </w:r>
      <w:r w:rsidR="00AD700A" w:rsidRPr="00317D48">
        <w:rPr>
          <w:sz w:val="22"/>
          <w:szCs w:val="22"/>
        </w:rPr>
        <w:t>a</w:t>
      </w:r>
      <w:r w:rsidR="00AD700A" w:rsidRPr="00D11564">
        <w:rPr>
          <w:sz w:val="22"/>
          <w:szCs w:val="22"/>
        </w:rPr>
        <w:t xml:space="preserve">, </w:t>
      </w:r>
      <w:r w:rsidR="0044201C" w:rsidRPr="00D11564">
        <w:rPr>
          <w:sz w:val="22"/>
          <w:szCs w:val="22"/>
        </w:rPr>
        <w:t xml:space="preserve">Čujkovova, </w:t>
      </w:r>
      <w:r w:rsidRPr="00D11564">
        <w:rPr>
          <w:sz w:val="22"/>
          <w:szCs w:val="22"/>
        </w:rPr>
        <w:t>Dr. Martínka,</w:t>
      </w:r>
      <w:r w:rsidR="00970570" w:rsidRPr="00D11564">
        <w:rPr>
          <w:sz w:val="22"/>
          <w:szCs w:val="22"/>
        </w:rPr>
        <w:t xml:space="preserve"> Daliborova, </w:t>
      </w:r>
      <w:r w:rsidR="00AD700A" w:rsidRPr="00D11564">
        <w:rPr>
          <w:sz w:val="22"/>
          <w:szCs w:val="22"/>
        </w:rPr>
        <w:t xml:space="preserve">Dětská, </w:t>
      </w:r>
      <w:r w:rsidR="00970570" w:rsidRPr="00D11564">
        <w:rPr>
          <w:sz w:val="22"/>
          <w:szCs w:val="22"/>
        </w:rPr>
        <w:t>Duhová,</w:t>
      </w:r>
      <w:r w:rsidRPr="00D11564">
        <w:rPr>
          <w:sz w:val="22"/>
          <w:szCs w:val="22"/>
        </w:rPr>
        <w:t xml:space="preserve"> </w:t>
      </w:r>
      <w:r w:rsidR="009B1439" w:rsidRPr="00D11564">
        <w:rPr>
          <w:sz w:val="22"/>
          <w:szCs w:val="22"/>
        </w:rPr>
        <w:t xml:space="preserve">Družební, </w:t>
      </w:r>
      <w:r w:rsidR="00714BE9" w:rsidRPr="00D11564">
        <w:rPr>
          <w:sz w:val="22"/>
          <w:szCs w:val="22"/>
        </w:rPr>
        <w:t xml:space="preserve">Dvouletky, </w:t>
      </w:r>
      <w:r w:rsidR="0044201C" w:rsidRPr="00D11564">
        <w:rPr>
          <w:sz w:val="22"/>
          <w:szCs w:val="22"/>
        </w:rPr>
        <w:t xml:space="preserve">Edisonova, </w:t>
      </w:r>
      <w:r w:rsidR="001A0262" w:rsidRPr="00D11564">
        <w:rPr>
          <w:sz w:val="22"/>
          <w:szCs w:val="22"/>
        </w:rPr>
        <w:t xml:space="preserve">Finanční, </w:t>
      </w:r>
      <w:r w:rsidR="00B1352D" w:rsidRPr="00D11564">
        <w:rPr>
          <w:sz w:val="22"/>
          <w:szCs w:val="22"/>
        </w:rPr>
        <w:t xml:space="preserve">Francouzská, </w:t>
      </w:r>
      <w:r w:rsidR="0044201C" w:rsidRPr="00D11564">
        <w:rPr>
          <w:sz w:val="22"/>
          <w:szCs w:val="22"/>
        </w:rPr>
        <w:t xml:space="preserve">Františka Formana, </w:t>
      </w:r>
      <w:r w:rsidR="00D11564">
        <w:rPr>
          <w:sz w:val="22"/>
          <w:szCs w:val="22"/>
        </w:rPr>
        <w:t xml:space="preserve">Frýdlantská, Gajdošova, </w:t>
      </w:r>
      <w:r w:rsidR="009B4225" w:rsidRPr="00D11564">
        <w:rPr>
          <w:sz w:val="22"/>
          <w:szCs w:val="22"/>
        </w:rPr>
        <w:t xml:space="preserve">Gorkého, </w:t>
      </w:r>
      <w:r w:rsidR="00534412" w:rsidRPr="00D11564">
        <w:rPr>
          <w:sz w:val="22"/>
          <w:szCs w:val="22"/>
        </w:rPr>
        <w:t xml:space="preserve">Hájkovická, </w:t>
      </w:r>
      <w:r w:rsidR="00714BE9" w:rsidRPr="00D11564">
        <w:rPr>
          <w:sz w:val="22"/>
          <w:szCs w:val="22"/>
        </w:rPr>
        <w:t xml:space="preserve">Heritesova, </w:t>
      </w:r>
      <w:r w:rsidRPr="00D11564">
        <w:rPr>
          <w:sz w:val="22"/>
          <w:szCs w:val="22"/>
        </w:rPr>
        <w:t>Horní</w:t>
      </w:r>
      <w:r w:rsidR="00B1352D" w:rsidRPr="00D11564">
        <w:rPr>
          <w:sz w:val="22"/>
          <w:szCs w:val="22"/>
        </w:rPr>
        <w:t>, Hlavní třída</w:t>
      </w:r>
      <w:r w:rsidRPr="00D11564">
        <w:rPr>
          <w:sz w:val="22"/>
          <w:szCs w:val="22"/>
        </w:rPr>
        <w:t xml:space="preserve">, </w:t>
      </w:r>
      <w:r w:rsidR="0044201C" w:rsidRPr="00D11564">
        <w:rPr>
          <w:sz w:val="22"/>
          <w:szCs w:val="22"/>
        </w:rPr>
        <w:t xml:space="preserve">Horymírova, Cholevova, </w:t>
      </w:r>
      <w:r w:rsidR="00D454DC" w:rsidRPr="00D11564">
        <w:rPr>
          <w:sz w:val="22"/>
          <w:szCs w:val="22"/>
        </w:rPr>
        <w:t xml:space="preserve">Jana Šoupala, </w:t>
      </w:r>
      <w:r w:rsidR="00D11564">
        <w:rPr>
          <w:sz w:val="22"/>
          <w:szCs w:val="22"/>
        </w:rPr>
        <w:t xml:space="preserve">Janovského, </w:t>
      </w:r>
      <w:r w:rsidR="0044201C" w:rsidRPr="00D11564">
        <w:rPr>
          <w:sz w:val="22"/>
          <w:szCs w:val="22"/>
        </w:rPr>
        <w:t xml:space="preserve">Jaromíra Matuška, </w:t>
      </w:r>
      <w:r w:rsidR="001A0262" w:rsidRPr="00D11564">
        <w:rPr>
          <w:sz w:val="22"/>
          <w:szCs w:val="22"/>
        </w:rPr>
        <w:t xml:space="preserve">Jaselská, </w:t>
      </w:r>
      <w:r w:rsidR="009B4225" w:rsidRPr="00D11564">
        <w:rPr>
          <w:sz w:val="22"/>
          <w:szCs w:val="22"/>
        </w:rPr>
        <w:t>Jičínská</w:t>
      </w:r>
      <w:r w:rsidR="0044201C" w:rsidRPr="00D11564">
        <w:rPr>
          <w:sz w:val="22"/>
          <w:szCs w:val="22"/>
        </w:rPr>
        <w:t>, Jiřího Herolda, Josefa Kotas</w:t>
      </w:r>
      <w:r w:rsidR="00714BE9" w:rsidRPr="00D11564">
        <w:rPr>
          <w:sz w:val="22"/>
          <w:szCs w:val="22"/>
        </w:rPr>
        <w:t xml:space="preserve">e, Jubilejní, Jugoslávská, </w:t>
      </w:r>
      <w:r w:rsidR="001501F8" w:rsidRPr="00D11564">
        <w:rPr>
          <w:sz w:val="22"/>
          <w:szCs w:val="22"/>
        </w:rPr>
        <w:t xml:space="preserve">Klostermannova, </w:t>
      </w:r>
      <w:r w:rsidR="00714BE9" w:rsidRPr="00D11564">
        <w:rPr>
          <w:sz w:val="22"/>
          <w:szCs w:val="22"/>
        </w:rPr>
        <w:t>Kpt. </w:t>
      </w:r>
      <w:r w:rsidR="0044201C" w:rsidRPr="00D11564">
        <w:rPr>
          <w:sz w:val="22"/>
          <w:szCs w:val="22"/>
        </w:rPr>
        <w:t xml:space="preserve">Vajdy, </w:t>
      </w:r>
      <w:r w:rsidR="009B4225" w:rsidRPr="00D11564">
        <w:rPr>
          <w:sz w:val="22"/>
          <w:szCs w:val="22"/>
        </w:rPr>
        <w:t xml:space="preserve">Kochanova, </w:t>
      </w:r>
      <w:r w:rsidR="0044201C" w:rsidRPr="00D11564">
        <w:rPr>
          <w:sz w:val="22"/>
          <w:szCs w:val="22"/>
        </w:rPr>
        <w:t>Kotlářova,</w:t>
      </w:r>
      <w:r w:rsidR="009B1439" w:rsidRPr="00D11564">
        <w:rPr>
          <w:sz w:val="22"/>
          <w:szCs w:val="22"/>
        </w:rPr>
        <w:t xml:space="preserve"> </w:t>
      </w:r>
      <w:r w:rsidR="00EF7276" w:rsidRPr="00D11564">
        <w:rPr>
          <w:sz w:val="22"/>
          <w:szCs w:val="22"/>
        </w:rPr>
        <w:t xml:space="preserve">Kozinova, </w:t>
      </w:r>
      <w:r w:rsidR="009B1439" w:rsidRPr="00D11564">
        <w:rPr>
          <w:sz w:val="22"/>
          <w:szCs w:val="22"/>
        </w:rPr>
        <w:t>Krásnopolská,</w:t>
      </w:r>
      <w:r w:rsidR="0044201C" w:rsidRPr="00D11564">
        <w:rPr>
          <w:sz w:val="22"/>
          <w:szCs w:val="22"/>
        </w:rPr>
        <w:t xml:space="preserve"> Krylovova, </w:t>
      </w:r>
      <w:r w:rsidR="00714BE9" w:rsidRPr="00D11564">
        <w:rPr>
          <w:sz w:val="22"/>
          <w:szCs w:val="22"/>
        </w:rPr>
        <w:t xml:space="preserve">Letecká, </w:t>
      </w:r>
      <w:r w:rsidR="0044201C" w:rsidRPr="00D11564">
        <w:rPr>
          <w:sz w:val="22"/>
          <w:szCs w:val="22"/>
        </w:rPr>
        <w:t>Lužická,</w:t>
      </w:r>
      <w:r w:rsidR="00AD70F6" w:rsidRPr="00D11564">
        <w:rPr>
          <w:sz w:val="22"/>
          <w:szCs w:val="22"/>
        </w:rPr>
        <w:t xml:space="preserve"> Ľudovíta Štúra,</w:t>
      </w:r>
      <w:r w:rsidR="0044201C" w:rsidRPr="00D11564">
        <w:rPr>
          <w:sz w:val="22"/>
          <w:szCs w:val="22"/>
        </w:rPr>
        <w:t xml:space="preserve"> </w:t>
      </w:r>
      <w:r w:rsidR="002E71A7" w:rsidRPr="00D11564">
        <w:rPr>
          <w:sz w:val="22"/>
          <w:szCs w:val="22"/>
        </w:rPr>
        <w:t xml:space="preserve">Maďarská, </w:t>
      </w:r>
      <w:r w:rsidR="00D454DC" w:rsidRPr="00D11564">
        <w:rPr>
          <w:sz w:val="22"/>
          <w:szCs w:val="22"/>
        </w:rPr>
        <w:t xml:space="preserve">Martinovská, </w:t>
      </w:r>
      <w:r w:rsidR="00970570" w:rsidRPr="00D11564">
        <w:rPr>
          <w:sz w:val="22"/>
          <w:szCs w:val="22"/>
        </w:rPr>
        <w:t xml:space="preserve">Mařátkova, </w:t>
      </w:r>
      <w:r w:rsidR="008C43EB" w:rsidRPr="00D11564">
        <w:rPr>
          <w:sz w:val="22"/>
          <w:szCs w:val="22"/>
        </w:rPr>
        <w:t>Miroslava Bajera</w:t>
      </w:r>
      <w:r w:rsidR="00970570" w:rsidRPr="00D11564">
        <w:rPr>
          <w:sz w:val="22"/>
          <w:szCs w:val="22"/>
        </w:rPr>
        <w:t xml:space="preserve">, Místecká, </w:t>
      </w:r>
      <w:r w:rsidR="002E71A7" w:rsidRPr="00D11564">
        <w:rPr>
          <w:sz w:val="22"/>
          <w:szCs w:val="22"/>
        </w:rPr>
        <w:t xml:space="preserve">Mjr. Nováka, </w:t>
      </w:r>
      <w:r w:rsidR="00714BE9" w:rsidRPr="00D11564">
        <w:rPr>
          <w:sz w:val="22"/>
          <w:szCs w:val="22"/>
        </w:rPr>
        <w:t xml:space="preserve">Mládeže, </w:t>
      </w:r>
      <w:r w:rsidR="002E71A7" w:rsidRPr="00D11564">
        <w:rPr>
          <w:sz w:val="22"/>
          <w:szCs w:val="22"/>
        </w:rPr>
        <w:t>Mongolská, Moravská</w:t>
      </w:r>
      <w:r w:rsidR="008C43EB" w:rsidRPr="00D11564">
        <w:rPr>
          <w:sz w:val="22"/>
          <w:szCs w:val="22"/>
        </w:rPr>
        <w:t xml:space="preserve">, </w:t>
      </w:r>
      <w:r w:rsidRPr="00D11564">
        <w:rPr>
          <w:sz w:val="22"/>
          <w:szCs w:val="22"/>
        </w:rPr>
        <w:t>Nádražní,</w:t>
      </w:r>
      <w:r w:rsidR="00AD700A" w:rsidRPr="00D11564">
        <w:rPr>
          <w:sz w:val="22"/>
          <w:szCs w:val="22"/>
        </w:rPr>
        <w:t xml:space="preserve"> Nálepkova,</w:t>
      </w:r>
      <w:r w:rsidR="00534412" w:rsidRPr="00D11564">
        <w:rPr>
          <w:sz w:val="22"/>
          <w:szCs w:val="22"/>
        </w:rPr>
        <w:t xml:space="preserve"> Nová Kolonie,</w:t>
      </w:r>
      <w:r w:rsidRPr="00D11564">
        <w:rPr>
          <w:sz w:val="22"/>
          <w:szCs w:val="22"/>
        </w:rPr>
        <w:t xml:space="preserve"> Opavská,</w:t>
      </w:r>
      <w:r w:rsidR="00B1352D" w:rsidRPr="00D11564">
        <w:rPr>
          <w:sz w:val="22"/>
          <w:szCs w:val="22"/>
        </w:rPr>
        <w:t xml:space="preserve"> </w:t>
      </w:r>
      <w:r w:rsidR="00954175" w:rsidRPr="00D11564">
        <w:rPr>
          <w:sz w:val="22"/>
          <w:szCs w:val="22"/>
        </w:rPr>
        <w:t>Patric</w:t>
      </w:r>
      <w:r w:rsidR="0044201C" w:rsidRPr="00D11564">
        <w:rPr>
          <w:sz w:val="22"/>
          <w:szCs w:val="22"/>
        </w:rPr>
        <w:t xml:space="preserve">e Lumumby, </w:t>
      </w:r>
      <w:r w:rsidR="00AD700A" w:rsidRPr="00D11564">
        <w:rPr>
          <w:sz w:val="22"/>
          <w:szCs w:val="22"/>
        </w:rPr>
        <w:t xml:space="preserve">Panelová, </w:t>
      </w:r>
      <w:r w:rsidR="00B1352D" w:rsidRPr="00D11564">
        <w:rPr>
          <w:sz w:val="22"/>
          <w:szCs w:val="22"/>
        </w:rPr>
        <w:t>Peterkova,</w:t>
      </w:r>
      <w:r w:rsidR="00DB4DE7" w:rsidRPr="00D11564">
        <w:rPr>
          <w:sz w:val="22"/>
          <w:szCs w:val="22"/>
        </w:rPr>
        <w:t xml:space="preserve"> P</w:t>
      </w:r>
      <w:r w:rsidR="0044201C" w:rsidRPr="00D11564">
        <w:rPr>
          <w:sz w:val="22"/>
          <w:szCs w:val="22"/>
        </w:rPr>
        <w:t xml:space="preserve">janovova, </w:t>
      </w:r>
      <w:r w:rsidR="009B4225" w:rsidRPr="00D11564">
        <w:rPr>
          <w:sz w:val="22"/>
          <w:szCs w:val="22"/>
        </w:rPr>
        <w:t xml:space="preserve">Plynární, </w:t>
      </w:r>
      <w:r w:rsidR="0044201C" w:rsidRPr="00D11564">
        <w:rPr>
          <w:sz w:val="22"/>
          <w:szCs w:val="22"/>
        </w:rPr>
        <w:t>P</w:t>
      </w:r>
      <w:r w:rsidR="00DB4DE7" w:rsidRPr="00D11564">
        <w:rPr>
          <w:sz w:val="22"/>
          <w:szCs w:val="22"/>
        </w:rPr>
        <w:t>lzeňská</w:t>
      </w:r>
      <w:r w:rsidR="0044201C" w:rsidRPr="00D11564">
        <w:rPr>
          <w:sz w:val="22"/>
          <w:szCs w:val="22"/>
        </w:rPr>
        <w:t xml:space="preserve">, </w:t>
      </w:r>
      <w:r w:rsidR="00D454DC" w:rsidRPr="00D11564">
        <w:rPr>
          <w:sz w:val="22"/>
          <w:szCs w:val="22"/>
        </w:rPr>
        <w:t>Podroužkova</w:t>
      </w:r>
      <w:r w:rsidR="00AD700A" w:rsidRPr="00D11564">
        <w:rPr>
          <w:sz w:val="22"/>
          <w:szCs w:val="22"/>
        </w:rPr>
        <w:t>, Porubská</w:t>
      </w:r>
      <w:r w:rsidR="00D454DC" w:rsidRPr="00D11564">
        <w:rPr>
          <w:sz w:val="22"/>
          <w:szCs w:val="22"/>
        </w:rPr>
        <w:t xml:space="preserve">, </w:t>
      </w:r>
      <w:r w:rsidR="0044201C" w:rsidRPr="00D11564">
        <w:rPr>
          <w:sz w:val="22"/>
          <w:szCs w:val="22"/>
        </w:rPr>
        <w:t xml:space="preserve">Provaznická, </w:t>
      </w:r>
      <w:r w:rsidR="001501F8" w:rsidRPr="00D11564">
        <w:rPr>
          <w:sz w:val="22"/>
          <w:szCs w:val="22"/>
        </w:rPr>
        <w:t xml:space="preserve">Prostorná, </w:t>
      </w:r>
      <w:r w:rsidR="0044201C" w:rsidRPr="00D11564">
        <w:rPr>
          <w:sz w:val="22"/>
          <w:szCs w:val="22"/>
        </w:rPr>
        <w:t>Předškolní</w:t>
      </w:r>
      <w:r w:rsidR="00534412" w:rsidRPr="00D11564">
        <w:rPr>
          <w:sz w:val="22"/>
          <w:szCs w:val="22"/>
        </w:rPr>
        <w:t>, Předvrší</w:t>
      </w:r>
      <w:r w:rsidR="00DB4DE7" w:rsidRPr="00D11564">
        <w:rPr>
          <w:sz w:val="22"/>
          <w:szCs w:val="22"/>
        </w:rPr>
        <w:t>,</w:t>
      </w:r>
      <w:r w:rsidRPr="00D11564">
        <w:rPr>
          <w:sz w:val="22"/>
          <w:szCs w:val="22"/>
        </w:rPr>
        <w:t xml:space="preserve"> </w:t>
      </w:r>
      <w:r w:rsidR="001A0262" w:rsidRPr="00D11564">
        <w:rPr>
          <w:sz w:val="22"/>
          <w:szCs w:val="22"/>
        </w:rPr>
        <w:t xml:space="preserve">Rabasova, </w:t>
      </w:r>
      <w:r w:rsidRPr="00D11564">
        <w:rPr>
          <w:sz w:val="22"/>
          <w:szCs w:val="22"/>
        </w:rPr>
        <w:t xml:space="preserve">Rodimcevova, </w:t>
      </w:r>
      <w:r w:rsidR="00D11564">
        <w:rPr>
          <w:sz w:val="22"/>
          <w:szCs w:val="22"/>
        </w:rPr>
        <w:t>Rodinná</w:t>
      </w:r>
      <w:r w:rsidR="00970570" w:rsidRPr="00D11564">
        <w:rPr>
          <w:sz w:val="22"/>
          <w:szCs w:val="22"/>
        </w:rPr>
        <w:t>,</w:t>
      </w:r>
      <w:r w:rsidR="00714BE9" w:rsidRPr="00D11564">
        <w:rPr>
          <w:sz w:val="22"/>
          <w:szCs w:val="22"/>
        </w:rPr>
        <w:t xml:space="preserve"> </w:t>
      </w:r>
      <w:r w:rsidR="00EF7276" w:rsidRPr="00D11564">
        <w:rPr>
          <w:sz w:val="22"/>
          <w:szCs w:val="22"/>
        </w:rPr>
        <w:lastRenderedPageBreak/>
        <w:t xml:space="preserve">Servisní, Sjízdná, </w:t>
      </w:r>
      <w:r w:rsidR="00534412" w:rsidRPr="00D11564">
        <w:rPr>
          <w:sz w:val="22"/>
          <w:szCs w:val="22"/>
        </w:rPr>
        <w:t xml:space="preserve">Sklopčická, </w:t>
      </w:r>
      <w:r w:rsidR="00714BE9" w:rsidRPr="00D11564">
        <w:rPr>
          <w:sz w:val="22"/>
          <w:szCs w:val="22"/>
        </w:rPr>
        <w:t>Slezská,</w:t>
      </w:r>
      <w:r w:rsidR="00970570" w:rsidRPr="00D11564">
        <w:rPr>
          <w:sz w:val="22"/>
          <w:szCs w:val="22"/>
        </w:rPr>
        <w:t xml:space="preserve"> </w:t>
      </w:r>
      <w:r w:rsidR="001A0262" w:rsidRPr="00D11564">
        <w:rPr>
          <w:sz w:val="22"/>
          <w:szCs w:val="22"/>
        </w:rPr>
        <w:t xml:space="preserve">Spartakovců, </w:t>
      </w:r>
      <w:r w:rsidR="00AD700A" w:rsidRPr="00D11564">
        <w:rPr>
          <w:sz w:val="22"/>
          <w:szCs w:val="22"/>
        </w:rPr>
        <w:t xml:space="preserve">Spojů, </w:t>
      </w:r>
      <w:r w:rsidR="00970570" w:rsidRPr="00D11564">
        <w:rPr>
          <w:sz w:val="22"/>
          <w:szCs w:val="22"/>
        </w:rPr>
        <w:t xml:space="preserve">Sokola Tůmy, </w:t>
      </w:r>
      <w:r w:rsidR="008C43EB" w:rsidRPr="00D11564">
        <w:rPr>
          <w:sz w:val="22"/>
          <w:szCs w:val="22"/>
        </w:rPr>
        <w:t xml:space="preserve">Sokolovská, </w:t>
      </w:r>
      <w:r w:rsidR="0044201C" w:rsidRPr="00D11564">
        <w:rPr>
          <w:sz w:val="22"/>
          <w:szCs w:val="22"/>
        </w:rPr>
        <w:t xml:space="preserve">Srbská, Staňkova, </w:t>
      </w:r>
      <w:r w:rsidR="00AD700A" w:rsidRPr="00D11564">
        <w:rPr>
          <w:sz w:val="22"/>
          <w:szCs w:val="22"/>
        </w:rPr>
        <w:t xml:space="preserve">Stavební, </w:t>
      </w:r>
      <w:r w:rsidR="001A0262" w:rsidRPr="00D11564">
        <w:rPr>
          <w:sz w:val="22"/>
          <w:szCs w:val="22"/>
        </w:rPr>
        <w:t xml:space="preserve">Studentská, </w:t>
      </w:r>
      <w:r w:rsidR="0044201C" w:rsidRPr="00D11564">
        <w:rPr>
          <w:sz w:val="22"/>
          <w:szCs w:val="22"/>
        </w:rPr>
        <w:t>Šeříková,</w:t>
      </w:r>
      <w:r w:rsidR="00AD700A" w:rsidRPr="00D11564">
        <w:rPr>
          <w:sz w:val="22"/>
          <w:szCs w:val="22"/>
        </w:rPr>
        <w:t xml:space="preserve"> Španielova,</w:t>
      </w:r>
      <w:r w:rsidR="0044201C" w:rsidRPr="00D11564">
        <w:rPr>
          <w:sz w:val="22"/>
          <w:szCs w:val="22"/>
        </w:rPr>
        <w:t xml:space="preserve"> </w:t>
      </w:r>
      <w:r w:rsidR="00F8094A" w:rsidRPr="00D11564">
        <w:rPr>
          <w:sz w:val="22"/>
          <w:szCs w:val="22"/>
        </w:rPr>
        <w:t xml:space="preserve">Tlapákova, </w:t>
      </w:r>
      <w:r w:rsidR="00EF7276" w:rsidRPr="00D11564">
        <w:rPr>
          <w:sz w:val="22"/>
          <w:szCs w:val="22"/>
        </w:rPr>
        <w:t xml:space="preserve">Třebovická, </w:t>
      </w:r>
      <w:r w:rsidR="00970570" w:rsidRPr="00D11564">
        <w:rPr>
          <w:sz w:val="22"/>
          <w:szCs w:val="22"/>
        </w:rPr>
        <w:t xml:space="preserve">Tovární, </w:t>
      </w:r>
      <w:r w:rsidR="002E71A7" w:rsidRPr="00D11564">
        <w:rPr>
          <w:sz w:val="22"/>
          <w:szCs w:val="22"/>
        </w:rPr>
        <w:t xml:space="preserve">Ukrajinská, </w:t>
      </w:r>
      <w:r w:rsidR="009B4225" w:rsidRPr="00D11564">
        <w:rPr>
          <w:sz w:val="22"/>
          <w:szCs w:val="22"/>
        </w:rPr>
        <w:t>U </w:t>
      </w:r>
      <w:r w:rsidR="00534412" w:rsidRPr="00D11564">
        <w:rPr>
          <w:sz w:val="22"/>
          <w:szCs w:val="22"/>
        </w:rPr>
        <w:t xml:space="preserve">Skály, </w:t>
      </w:r>
      <w:r w:rsidR="00856C3A" w:rsidRPr="00D11564">
        <w:rPr>
          <w:sz w:val="22"/>
          <w:szCs w:val="22"/>
        </w:rPr>
        <w:t>U </w:t>
      </w:r>
      <w:r w:rsidR="008C43EB" w:rsidRPr="00D11564">
        <w:rPr>
          <w:sz w:val="22"/>
          <w:szCs w:val="22"/>
        </w:rPr>
        <w:t xml:space="preserve">Soudu, </w:t>
      </w:r>
      <w:r w:rsidR="0044201C" w:rsidRPr="00D11564">
        <w:rPr>
          <w:sz w:val="22"/>
          <w:szCs w:val="22"/>
        </w:rPr>
        <w:t xml:space="preserve">U Studia, </w:t>
      </w:r>
      <w:r w:rsidR="00970570" w:rsidRPr="00D11564">
        <w:rPr>
          <w:sz w:val="22"/>
          <w:szCs w:val="22"/>
        </w:rPr>
        <w:t xml:space="preserve">Valchařská, </w:t>
      </w:r>
      <w:r w:rsidR="00714BE9" w:rsidRPr="00D11564">
        <w:rPr>
          <w:sz w:val="22"/>
          <w:szCs w:val="22"/>
        </w:rPr>
        <w:t xml:space="preserve">Velflíkova, </w:t>
      </w:r>
      <w:r w:rsidR="00970570" w:rsidRPr="00D11564">
        <w:rPr>
          <w:sz w:val="22"/>
          <w:szCs w:val="22"/>
        </w:rPr>
        <w:t>Vítkovická</w:t>
      </w:r>
      <w:r w:rsidR="0044201C" w:rsidRPr="00D11564">
        <w:rPr>
          <w:sz w:val="22"/>
          <w:szCs w:val="22"/>
        </w:rPr>
        <w:t xml:space="preserve">, </w:t>
      </w:r>
      <w:r w:rsidR="009B1439" w:rsidRPr="00D11564">
        <w:rPr>
          <w:sz w:val="22"/>
          <w:szCs w:val="22"/>
        </w:rPr>
        <w:t xml:space="preserve">Vrbka, </w:t>
      </w:r>
      <w:r w:rsidR="0044201C" w:rsidRPr="00D11564">
        <w:rPr>
          <w:sz w:val="22"/>
          <w:szCs w:val="22"/>
        </w:rPr>
        <w:t>Volgogradská</w:t>
      </w:r>
      <w:r w:rsidR="00970570" w:rsidRPr="00D11564">
        <w:rPr>
          <w:sz w:val="22"/>
          <w:szCs w:val="22"/>
        </w:rPr>
        <w:t xml:space="preserve">, </w:t>
      </w:r>
      <w:r w:rsidR="00856C3A" w:rsidRPr="00D11564">
        <w:rPr>
          <w:sz w:val="22"/>
          <w:szCs w:val="22"/>
        </w:rPr>
        <w:t xml:space="preserve">Výstavní, </w:t>
      </w:r>
      <w:r w:rsidR="00B1352D" w:rsidRPr="00D11564">
        <w:rPr>
          <w:sz w:val="22"/>
          <w:szCs w:val="22"/>
        </w:rPr>
        <w:t>Výškovická</w:t>
      </w:r>
      <w:r w:rsidR="00970570" w:rsidRPr="00D11564">
        <w:rPr>
          <w:sz w:val="22"/>
          <w:szCs w:val="22"/>
        </w:rPr>
        <w:t>, Wattova,</w:t>
      </w:r>
      <w:r w:rsidR="00714BE9" w:rsidRPr="00D11564">
        <w:rPr>
          <w:sz w:val="22"/>
          <w:szCs w:val="22"/>
        </w:rPr>
        <w:t xml:space="preserve"> </w:t>
      </w:r>
      <w:r w:rsidR="00534412" w:rsidRPr="00D11564">
        <w:rPr>
          <w:sz w:val="22"/>
          <w:szCs w:val="22"/>
        </w:rPr>
        <w:t xml:space="preserve">Zauliční, </w:t>
      </w:r>
      <w:r w:rsidR="00714BE9" w:rsidRPr="00D11564">
        <w:rPr>
          <w:sz w:val="22"/>
          <w:szCs w:val="22"/>
        </w:rPr>
        <w:t>Závodní,</w:t>
      </w:r>
      <w:r w:rsidR="00970570" w:rsidRPr="00D11564">
        <w:rPr>
          <w:sz w:val="22"/>
          <w:szCs w:val="22"/>
        </w:rPr>
        <w:t xml:space="preserve"> Zborovská, </w:t>
      </w:r>
      <w:r w:rsidR="00AD700A" w:rsidRPr="00D11564">
        <w:rPr>
          <w:sz w:val="22"/>
          <w:szCs w:val="22"/>
        </w:rPr>
        <w:t xml:space="preserve">Zednická, </w:t>
      </w:r>
      <w:r w:rsidR="00EF7276" w:rsidRPr="00D11564">
        <w:rPr>
          <w:sz w:val="22"/>
          <w:szCs w:val="22"/>
        </w:rPr>
        <w:t xml:space="preserve">Zemědělská, </w:t>
      </w:r>
      <w:r w:rsidR="00714BE9" w:rsidRPr="00D11564">
        <w:rPr>
          <w:sz w:val="22"/>
          <w:szCs w:val="22"/>
        </w:rPr>
        <w:t xml:space="preserve">Zlepšovatelů, </w:t>
      </w:r>
      <w:r w:rsidR="00AD700A" w:rsidRPr="00D11564">
        <w:rPr>
          <w:sz w:val="22"/>
          <w:szCs w:val="22"/>
        </w:rPr>
        <w:t>Železárenská</w:t>
      </w:r>
      <w:r w:rsidR="00B62C77">
        <w:rPr>
          <w:sz w:val="22"/>
          <w:szCs w:val="22"/>
        </w:rPr>
        <w:t>,</w:t>
      </w:r>
      <w:r w:rsidR="00B62C77" w:rsidRPr="00031CDD">
        <w:rPr>
          <w:sz w:val="22"/>
          <w:szCs w:val="22"/>
        </w:rPr>
        <w:t xml:space="preserve"> U Staré elektrárny, Ferdinanda Koláře, Keltičkova a Těšínská (v okolí Slezskoostravské radnice), Hladnovská a Michálkovická (v úseku od Okrajní po Holečkovu), Čs. Armády (v úseku od Fišerovy po Michalské náměstí), Těšínská (v úseku od Lihovarské po Dalimilovu</w:t>
      </w:r>
      <w:r w:rsidR="00DA1087">
        <w:rPr>
          <w:sz w:val="22"/>
          <w:szCs w:val="22"/>
        </w:rPr>
        <w:t xml:space="preserve"> a v úseku od Najmanské po přechod u zastávky MHD</w:t>
      </w:r>
      <w:r w:rsidR="00B62C77" w:rsidRPr="00031CDD">
        <w:rPr>
          <w:sz w:val="22"/>
          <w:szCs w:val="22"/>
        </w:rPr>
        <w:t>)</w:t>
      </w:r>
      <w:r w:rsidR="00DA1087">
        <w:rPr>
          <w:sz w:val="22"/>
          <w:szCs w:val="22"/>
        </w:rPr>
        <w:t>, Najmanská (úsek od Těšínské po Hřivnáčovu),</w:t>
      </w:r>
      <w:r w:rsidR="00AD700A" w:rsidRPr="003B07FC">
        <w:rPr>
          <w:sz w:val="22"/>
          <w:szCs w:val="22"/>
        </w:rPr>
        <w:t> </w:t>
      </w:r>
      <w:r w:rsidR="00B1352D" w:rsidRPr="003B07FC">
        <w:rPr>
          <w:sz w:val="22"/>
          <w:szCs w:val="22"/>
        </w:rPr>
        <w:t>nám</w:t>
      </w:r>
      <w:r w:rsidR="00AD700A" w:rsidRPr="003B07FC">
        <w:rPr>
          <w:sz w:val="22"/>
          <w:szCs w:val="22"/>
        </w:rPr>
        <w:t xml:space="preserve">ěstí </w:t>
      </w:r>
      <w:r w:rsidR="00E228A0" w:rsidRPr="003B07FC">
        <w:rPr>
          <w:sz w:val="22"/>
          <w:szCs w:val="22"/>
        </w:rPr>
        <w:t xml:space="preserve">Antonie Bejdové, </w:t>
      </w:r>
      <w:r w:rsidR="00AD700A" w:rsidRPr="003B07FC">
        <w:rPr>
          <w:sz w:val="22"/>
          <w:szCs w:val="22"/>
        </w:rPr>
        <w:t>Družby, Dr. </w:t>
      </w:r>
      <w:r w:rsidR="00E228A0" w:rsidRPr="003B07FC">
        <w:rPr>
          <w:sz w:val="22"/>
          <w:szCs w:val="22"/>
        </w:rPr>
        <w:t>Brauna, </w:t>
      </w:r>
      <w:r w:rsidR="008C43EB" w:rsidRPr="003B07FC">
        <w:rPr>
          <w:sz w:val="22"/>
          <w:szCs w:val="22"/>
        </w:rPr>
        <w:t>Jilemnického,</w:t>
      </w:r>
      <w:r w:rsidR="00AD700A" w:rsidRPr="003B07FC">
        <w:rPr>
          <w:sz w:val="22"/>
          <w:szCs w:val="22"/>
        </w:rPr>
        <w:t xml:space="preserve"> Liptaňské,</w:t>
      </w:r>
      <w:r w:rsidR="008C43EB" w:rsidRPr="003B07FC">
        <w:rPr>
          <w:sz w:val="22"/>
          <w:szCs w:val="22"/>
        </w:rPr>
        <w:t xml:space="preserve"> </w:t>
      </w:r>
      <w:r w:rsidR="00970570" w:rsidRPr="003B07FC">
        <w:rPr>
          <w:sz w:val="22"/>
          <w:szCs w:val="22"/>
        </w:rPr>
        <w:t xml:space="preserve">Mariánské, </w:t>
      </w:r>
      <w:r w:rsidR="00AD700A" w:rsidRPr="003B07FC">
        <w:rPr>
          <w:sz w:val="22"/>
          <w:szCs w:val="22"/>
        </w:rPr>
        <w:t xml:space="preserve">Nálepkovo, Nezvalovo, </w:t>
      </w:r>
      <w:r w:rsidR="00970570" w:rsidRPr="003B07FC">
        <w:rPr>
          <w:sz w:val="22"/>
          <w:szCs w:val="22"/>
        </w:rPr>
        <w:t xml:space="preserve">Republiky, </w:t>
      </w:r>
      <w:r w:rsidR="008E69ED" w:rsidRPr="003B07FC">
        <w:rPr>
          <w:sz w:val="22"/>
          <w:szCs w:val="22"/>
        </w:rPr>
        <w:t>Slovenského národního povstání</w:t>
      </w:r>
      <w:r w:rsidR="00B62C77" w:rsidRPr="003B07FC">
        <w:rPr>
          <w:sz w:val="22"/>
          <w:szCs w:val="22"/>
        </w:rPr>
        <w:t>,</w:t>
      </w:r>
      <w:r w:rsidR="008C43EB" w:rsidRPr="003B07FC">
        <w:rPr>
          <w:sz w:val="22"/>
          <w:szCs w:val="22"/>
        </w:rPr>
        <w:t> </w:t>
      </w:r>
      <w:r w:rsidR="00AD700A" w:rsidRPr="003B07FC">
        <w:rPr>
          <w:sz w:val="22"/>
          <w:szCs w:val="22"/>
        </w:rPr>
        <w:t> </w:t>
      </w:r>
      <w:r w:rsidR="00E228A0" w:rsidRPr="003B07FC">
        <w:rPr>
          <w:sz w:val="22"/>
          <w:szCs w:val="22"/>
        </w:rPr>
        <w:t>Václava Vacka</w:t>
      </w:r>
      <w:r w:rsidR="00A850FD" w:rsidRPr="003B07FC">
        <w:rPr>
          <w:sz w:val="22"/>
          <w:szCs w:val="22"/>
        </w:rPr>
        <w:t>,</w:t>
      </w:r>
      <w:r w:rsidR="00B62C77" w:rsidRPr="003B07FC">
        <w:rPr>
          <w:sz w:val="22"/>
          <w:szCs w:val="22"/>
        </w:rPr>
        <w:t xml:space="preserve"> </w:t>
      </w:r>
      <w:r w:rsidR="00B62C77" w:rsidRPr="00031CDD">
        <w:rPr>
          <w:sz w:val="22"/>
          <w:szCs w:val="22"/>
        </w:rPr>
        <w:t>J.Gagarina, Michalské náměstí, Hradní náměstí a bezprostřední okolí Slezskoostravského hradu</w:t>
      </w:r>
      <w:r w:rsidR="00A850FD" w:rsidRPr="003B07FC">
        <w:rPr>
          <w:sz w:val="22"/>
          <w:szCs w:val="22"/>
        </w:rPr>
        <w:t xml:space="preserve"> </w:t>
      </w:r>
      <w:r w:rsidR="00DA1087">
        <w:rPr>
          <w:sz w:val="22"/>
          <w:szCs w:val="22"/>
        </w:rPr>
        <w:t>a</w:t>
      </w:r>
      <w:r w:rsidR="00DA1087" w:rsidRPr="00AB4460">
        <w:rPr>
          <w:sz w:val="22"/>
          <w:szCs w:val="22"/>
        </w:rPr>
        <w:t xml:space="preserve"> ploch veřejné zeleně a parků Sad Boženy Němcové, Bezručův sad, Park Čs.letců, Sad Dr. Milady Horákové </w:t>
      </w:r>
      <w:r w:rsidR="00A850FD" w:rsidRPr="00AB4460">
        <w:rPr>
          <w:sz w:val="22"/>
          <w:szCs w:val="22"/>
        </w:rPr>
        <w:t>a to </w:t>
      </w:r>
      <w:r w:rsidR="008E69ED" w:rsidRPr="00AB4460">
        <w:rPr>
          <w:sz w:val="22"/>
          <w:szCs w:val="22"/>
        </w:rPr>
        <w:t xml:space="preserve">v rozsahu </w:t>
      </w:r>
      <w:r w:rsidR="009C0255" w:rsidRPr="00AB4460">
        <w:rPr>
          <w:sz w:val="22"/>
          <w:szCs w:val="22"/>
        </w:rPr>
        <w:t>specifikovaném v příloze č. </w:t>
      </w:r>
      <w:r w:rsidR="00B662EC" w:rsidRPr="00AB4460">
        <w:rPr>
          <w:sz w:val="22"/>
          <w:szCs w:val="22"/>
        </w:rPr>
        <w:t>1 tohoto nařízení.</w:t>
      </w:r>
    </w:p>
    <w:p w14:paraId="2C9C16BF" w14:textId="77777777" w:rsidR="00751FD2" w:rsidRDefault="00465AA7" w:rsidP="0021110A">
      <w:pPr>
        <w:pStyle w:val="Nadpis1"/>
        <w:spacing w:before="200"/>
        <w:jc w:val="center"/>
        <w:rPr>
          <w:rFonts w:ascii="Times New Roman" w:hAnsi="Times New Roman"/>
          <w:b w:val="0"/>
          <w:sz w:val="22"/>
          <w:szCs w:val="22"/>
        </w:rPr>
      </w:pPr>
      <w:r w:rsidRPr="0087061C">
        <w:rPr>
          <w:rFonts w:ascii="Times New Roman" w:hAnsi="Times New Roman"/>
          <w:b w:val="0"/>
          <w:sz w:val="22"/>
          <w:szCs w:val="22"/>
        </w:rPr>
        <w:t>Čl. 3</w:t>
      </w:r>
    </w:p>
    <w:p w14:paraId="7B2159C7" w14:textId="77777777" w:rsidR="00465AA7" w:rsidRPr="0087061C" w:rsidRDefault="00465AA7" w:rsidP="00751FD2">
      <w:pPr>
        <w:pStyle w:val="Nadpis1"/>
        <w:spacing w:before="0"/>
        <w:jc w:val="center"/>
        <w:rPr>
          <w:rFonts w:ascii="Times New Roman" w:hAnsi="Times New Roman"/>
          <w:b w:val="0"/>
          <w:sz w:val="22"/>
          <w:szCs w:val="22"/>
        </w:rPr>
      </w:pPr>
      <w:r w:rsidRPr="0087061C">
        <w:rPr>
          <w:rFonts w:ascii="Times New Roman" w:hAnsi="Times New Roman"/>
          <w:b w:val="0"/>
          <w:sz w:val="22"/>
          <w:szCs w:val="22"/>
        </w:rPr>
        <w:t>Doba, po kterou je šíření reklamy zakázáno</w:t>
      </w:r>
    </w:p>
    <w:p w14:paraId="497E1091" w14:textId="77777777" w:rsidR="00C07A42" w:rsidRPr="0021110A" w:rsidRDefault="00B1352D" w:rsidP="00B52CE8">
      <w:pPr>
        <w:autoSpaceDE w:val="0"/>
        <w:autoSpaceDN w:val="0"/>
        <w:adjustRightInd w:val="0"/>
        <w:spacing w:before="100" w:after="100"/>
        <w:ind w:left="426"/>
        <w:jc w:val="both"/>
        <w:rPr>
          <w:sz w:val="22"/>
          <w:szCs w:val="22"/>
        </w:rPr>
      </w:pPr>
      <w:r w:rsidRPr="0087061C">
        <w:rPr>
          <w:sz w:val="22"/>
          <w:szCs w:val="22"/>
        </w:rPr>
        <w:t xml:space="preserve">Reklama podle čl. 1 odst. 1 </w:t>
      </w:r>
      <w:r w:rsidR="00A850FD">
        <w:rPr>
          <w:sz w:val="22"/>
          <w:szCs w:val="22"/>
        </w:rPr>
        <w:t xml:space="preserve">tohoto nařízení </w:t>
      </w:r>
      <w:r w:rsidRPr="0087061C">
        <w:rPr>
          <w:sz w:val="22"/>
          <w:szCs w:val="22"/>
        </w:rPr>
        <w:t>je zakázána v době od 0:00 hodin do 24:00 hodin.</w:t>
      </w:r>
    </w:p>
    <w:p w14:paraId="044E6C76" w14:textId="77777777" w:rsidR="00465AA7" w:rsidRPr="0087061C" w:rsidRDefault="00465AA7" w:rsidP="0021110A">
      <w:pPr>
        <w:pStyle w:val="Nadpis1"/>
        <w:spacing w:before="200"/>
        <w:jc w:val="center"/>
        <w:rPr>
          <w:rFonts w:ascii="Times New Roman" w:hAnsi="Times New Roman"/>
          <w:b w:val="0"/>
          <w:sz w:val="22"/>
          <w:szCs w:val="22"/>
        </w:rPr>
      </w:pPr>
      <w:r w:rsidRPr="0087061C">
        <w:rPr>
          <w:rFonts w:ascii="Times New Roman" w:hAnsi="Times New Roman"/>
          <w:b w:val="0"/>
          <w:sz w:val="22"/>
          <w:szCs w:val="22"/>
        </w:rPr>
        <w:t>Čl. 4</w:t>
      </w:r>
    </w:p>
    <w:p w14:paraId="4FA39FEA" w14:textId="77777777" w:rsidR="00465AA7" w:rsidRPr="0087061C" w:rsidRDefault="00E75B2A" w:rsidP="00E75B2A">
      <w:pPr>
        <w:pStyle w:val="Nadpis1"/>
        <w:spacing w:before="0" w:after="60"/>
        <w:jc w:val="center"/>
        <w:rPr>
          <w:rFonts w:ascii="Times New Roman" w:hAnsi="Times New Roman"/>
          <w:b w:val="0"/>
          <w:sz w:val="22"/>
          <w:szCs w:val="22"/>
        </w:rPr>
      </w:pPr>
      <w:r w:rsidRPr="0087061C">
        <w:rPr>
          <w:rFonts w:ascii="Times New Roman" w:hAnsi="Times New Roman"/>
          <w:b w:val="0"/>
          <w:sz w:val="22"/>
          <w:szCs w:val="22"/>
        </w:rPr>
        <w:t>Druhy komunikačních médií, kterými nesmí být reklama šířena</w:t>
      </w:r>
    </w:p>
    <w:p w14:paraId="533AC4ED" w14:textId="77777777" w:rsidR="00465AA7" w:rsidRPr="0087061C" w:rsidRDefault="00E75B2A" w:rsidP="00B52CE8">
      <w:pPr>
        <w:autoSpaceDE w:val="0"/>
        <w:autoSpaceDN w:val="0"/>
        <w:adjustRightInd w:val="0"/>
        <w:spacing w:before="100" w:after="100"/>
        <w:ind w:left="426"/>
        <w:jc w:val="both"/>
        <w:rPr>
          <w:sz w:val="22"/>
          <w:szCs w:val="22"/>
        </w:rPr>
      </w:pPr>
      <w:r w:rsidRPr="0087061C">
        <w:rPr>
          <w:sz w:val="22"/>
          <w:szCs w:val="22"/>
        </w:rPr>
        <w:t>Komunikačními médii, kterými nesmí být šířena reklama na veřejně přístupných místech uvedených v čl. 2</w:t>
      </w:r>
      <w:r w:rsidR="00A850FD">
        <w:rPr>
          <w:sz w:val="22"/>
          <w:szCs w:val="22"/>
        </w:rPr>
        <w:t xml:space="preserve"> tohoto nařízení</w:t>
      </w:r>
      <w:r w:rsidRPr="0087061C">
        <w:rPr>
          <w:sz w:val="22"/>
          <w:szCs w:val="22"/>
        </w:rPr>
        <w:t>, jsou:</w:t>
      </w:r>
    </w:p>
    <w:p w14:paraId="10A187AD" w14:textId="77777777" w:rsidR="003811D4" w:rsidRPr="00373097" w:rsidRDefault="00E75B2A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>plakáty, polepy a plachty na mobiliáři, stožárech</w:t>
      </w:r>
      <w:r w:rsidR="001F5971" w:rsidRPr="00373097">
        <w:rPr>
          <w:sz w:val="22"/>
          <w:szCs w:val="22"/>
        </w:rPr>
        <w:t>, mostních konstrukcích</w:t>
      </w:r>
      <w:r w:rsidRPr="00373097">
        <w:rPr>
          <w:sz w:val="22"/>
          <w:szCs w:val="22"/>
        </w:rPr>
        <w:t xml:space="preserve"> a sloupech,</w:t>
      </w:r>
      <w:r w:rsidR="00ED5DD6" w:rsidRPr="00373097">
        <w:rPr>
          <w:sz w:val="22"/>
          <w:szCs w:val="22"/>
        </w:rPr>
        <w:t xml:space="preserve"> </w:t>
      </w:r>
      <w:r w:rsidR="001F5971" w:rsidRPr="00373097">
        <w:rPr>
          <w:sz w:val="22"/>
          <w:szCs w:val="22"/>
        </w:rPr>
        <w:t xml:space="preserve">na ohrazení venkovních </w:t>
      </w:r>
      <w:r w:rsidR="00D57C25" w:rsidRPr="00373097">
        <w:rPr>
          <w:sz w:val="22"/>
          <w:szCs w:val="22"/>
        </w:rPr>
        <w:t xml:space="preserve">restauračních </w:t>
      </w:r>
      <w:r w:rsidR="001F5971" w:rsidRPr="00373097">
        <w:rPr>
          <w:sz w:val="22"/>
          <w:szCs w:val="22"/>
        </w:rPr>
        <w:t>zahrádek</w:t>
      </w:r>
      <w:r w:rsidR="00D57C25" w:rsidRPr="00373097">
        <w:rPr>
          <w:sz w:val="22"/>
          <w:szCs w:val="22"/>
        </w:rPr>
        <w:t xml:space="preserve"> a předzahrádek,</w:t>
      </w:r>
    </w:p>
    <w:p w14:paraId="1FDEA794" w14:textId="77777777" w:rsidR="003F5529" w:rsidRPr="00373097" w:rsidRDefault="003F5529" w:rsidP="003F5529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>velkoplošné reklamy na markýzách a slunečnících na venkovních restauračních zahrádkách a předzahrádkách, vyjma reklamních nápisů a log na volánech a lemech markýz a slunečníků.</w:t>
      </w:r>
    </w:p>
    <w:p w14:paraId="3BCFA74B" w14:textId="77777777" w:rsidR="002366EB" w:rsidRPr="00373097" w:rsidRDefault="00E75B2A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>vlajky a prapory</w:t>
      </w:r>
      <w:r w:rsidR="002366EB" w:rsidRPr="00373097">
        <w:rPr>
          <w:sz w:val="22"/>
          <w:szCs w:val="22"/>
        </w:rPr>
        <w:t xml:space="preserve">, které nejsou vynášeny </w:t>
      </w:r>
      <w:r w:rsidR="00A850FD" w:rsidRPr="00373097">
        <w:rPr>
          <w:sz w:val="22"/>
          <w:szCs w:val="22"/>
        </w:rPr>
        <w:t>za pomoci stožárů</w:t>
      </w:r>
      <w:r w:rsidR="002366EB" w:rsidRPr="00373097">
        <w:rPr>
          <w:sz w:val="22"/>
          <w:szCs w:val="22"/>
        </w:rPr>
        <w:t xml:space="preserve"> pro vlajky</w:t>
      </w:r>
      <w:r w:rsidRPr="00373097">
        <w:rPr>
          <w:sz w:val="22"/>
          <w:szCs w:val="22"/>
        </w:rPr>
        <w:t xml:space="preserve">, </w:t>
      </w:r>
    </w:p>
    <w:p w14:paraId="2851A983" w14:textId="77777777" w:rsidR="00E75B2A" w:rsidRPr="00373097" w:rsidRDefault="00E75B2A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>upoutané balony nebo jiné tvary nesené, opřené, zavěšené včetně jejich osvětlení,</w:t>
      </w:r>
    </w:p>
    <w:p w14:paraId="5FE0C215" w14:textId="77777777" w:rsidR="00E75B2A" w:rsidRPr="00373097" w:rsidRDefault="00E75B2A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 xml:space="preserve">uliční převěsy </w:t>
      </w:r>
      <w:r w:rsidR="0092256D" w:rsidRPr="00373097">
        <w:rPr>
          <w:sz w:val="22"/>
          <w:szCs w:val="22"/>
        </w:rPr>
        <w:t xml:space="preserve">pro plachty </w:t>
      </w:r>
      <w:r w:rsidRPr="00373097">
        <w:rPr>
          <w:sz w:val="22"/>
          <w:szCs w:val="22"/>
        </w:rPr>
        <w:t>a plachty z jakéhokoliv materiálu upevněné či</w:t>
      </w:r>
      <w:r w:rsidR="009D6989" w:rsidRPr="00373097">
        <w:rPr>
          <w:sz w:val="22"/>
          <w:szCs w:val="22"/>
        </w:rPr>
        <w:t xml:space="preserve"> zavěšené na stavbách, sochách,</w:t>
      </w:r>
      <w:r w:rsidRPr="00373097">
        <w:rPr>
          <w:sz w:val="22"/>
          <w:szCs w:val="22"/>
        </w:rPr>
        <w:t> stromech, stožárech či sloupech</w:t>
      </w:r>
      <w:r w:rsidR="00294AB4" w:rsidRPr="00373097">
        <w:rPr>
          <w:sz w:val="22"/>
          <w:szCs w:val="22"/>
        </w:rPr>
        <w:t>,</w:t>
      </w:r>
    </w:p>
    <w:p w14:paraId="4C828202" w14:textId="77777777" w:rsidR="009D6989" w:rsidRPr="00373097" w:rsidRDefault="00294AB4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 xml:space="preserve">dopravní prostředky umístěné na </w:t>
      </w:r>
      <w:r w:rsidR="004A21D3" w:rsidRPr="00373097">
        <w:rPr>
          <w:sz w:val="22"/>
          <w:szCs w:val="22"/>
        </w:rPr>
        <w:t xml:space="preserve">veřejně přístupných místech </w:t>
      </w:r>
      <w:r w:rsidRPr="00373097">
        <w:rPr>
          <w:sz w:val="22"/>
          <w:szCs w:val="22"/>
        </w:rPr>
        <w:t>za účelem šíření reklamy a dopravní prostředky, u nichž je hlavním účelem jízdy šíření reklamy, v</w:t>
      </w:r>
      <w:r w:rsidR="00FF1E75" w:rsidRPr="00373097">
        <w:rPr>
          <w:sz w:val="22"/>
          <w:szCs w:val="22"/>
        </w:rPr>
        <w:t>četně dodatečných konstrukcí na </w:t>
      </w:r>
      <w:r w:rsidRPr="00373097">
        <w:rPr>
          <w:sz w:val="22"/>
          <w:szCs w:val="22"/>
        </w:rPr>
        <w:t>dopravních prostředcích,</w:t>
      </w:r>
    </w:p>
    <w:p w14:paraId="45C27386" w14:textId="77777777" w:rsidR="00A5700B" w:rsidRPr="00373097" w:rsidRDefault="004A20D5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 xml:space="preserve">vnější </w:t>
      </w:r>
      <w:r w:rsidR="00294AB4" w:rsidRPr="00373097">
        <w:rPr>
          <w:sz w:val="22"/>
          <w:szCs w:val="22"/>
        </w:rPr>
        <w:t>polepy výloh a dalších skleněných ploch</w:t>
      </w:r>
      <w:r w:rsidR="00C929A3" w:rsidRPr="00373097">
        <w:rPr>
          <w:sz w:val="22"/>
          <w:szCs w:val="22"/>
        </w:rPr>
        <w:t xml:space="preserve"> s výjimkou polepů výkladců a prosklených vstupních dveří do provozovny provedených v tlumených barevných odstínech bez použití reflexních, fluorescenčních či ostře kontrastních barev, nepřesahující svým rozsahem </w:t>
      </w:r>
      <w:r w:rsidR="00BE7981" w:rsidRPr="00373097">
        <w:rPr>
          <w:sz w:val="22"/>
          <w:szCs w:val="22"/>
        </w:rPr>
        <w:t>1/3 prosklení výkladce či dveří,</w:t>
      </w:r>
    </w:p>
    <w:p w14:paraId="4FD6ABA1" w14:textId="77777777" w:rsidR="00A5700B" w:rsidRPr="00373097" w:rsidRDefault="00A5700B" w:rsidP="003F7DFD">
      <w:pPr>
        <w:numPr>
          <w:ilvl w:val="1"/>
          <w:numId w:val="4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373097">
        <w:rPr>
          <w:sz w:val="22"/>
          <w:szCs w:val="22"/>
        </w:rPr>
        <w:t>reklamní</w:t>
      </w:r>
      <w:r w:rsidR="00540DB8" w:rsidRPr="00373097">
        <w:rPr>
          <w:sz w:val="22"/>
          <w:szCs w:val="22"/>
        </w:rPr>
        <w:t xml:space="preserve"> </w:t>
      </w:r>
      <w:r w:rsidR="00A95C6E" w:rsidRPr="00373097">
        <w:rPr>
          <w:sz w:val="22"/>
          <w:szCs w:val="22"/>
        </w:rPr>
        <w:t>zařízení o celkové ploše do</w:t>
      </w:r>
      <w:r w:rsidR="00540DB8" w:rsidRPr="00373097">
        <w:rPr>
          <w:sz w:val="22"/>
          <w:szCs w:val="22"/>
        </w:rPr>
        <w:t xml:space="preserve"> 0,6 </w:t>
      </w:r>
      <w:r w:rsidR="00714BE9" w:rsidRPr="00373097">
        <w:rPr>
          <w:sz w:val="22"/>
          <w:szCs w:val="22"/>
        </w:rPr>
        <w:t>m</w:t>
      </w:r>
      <w:r w:rsidR="00714BE9" w:rsidRPr="00373097">
        <w:rPr>
          <w:sz w:val="22"/>
          <w:szCs w:val="22"/>
          <w:vertAlign w:val="superscript"/>
        </w:rPr>
        <w:t>2</w:t>
      </w:r>
      <w:r w:rsidR="006F4824" w:rsidRPr="00373097">
        <w:rPr>
          <w:sz w:val="22"/>
          <w:szCs w:val="22"/>
        </w:rPr>
        <w:t xml:space="preserve">, </w:t>
      </w:r>
      <w:r w:rsidRPr="00373097">
        <w:rPr>
          <w:sz w:val="22"/>
          <w:szCs w:val="22"/>
        </w:rPr>
        <w:t>mimo přenosné „A“ tabule, umisťované před vlastní provozovnou</w:t>
      </w:r>
      <w:r w:rsidR="000613BE" w:rsidRPr="00373097">
        <w:rPr>
          <w:sz w:val="22"/>
          <w:szCs w:val="22"/>
        </w:rPr>
        <w:t xml:space="preserve"> pro účely této provozovny</w:t>
      </w:r>
      <w:r w:rsidR="00027478" w:rsidRPr="00373097">
        <w:rPr>
          <w:sz w:val="22"/>
          <w:szCs w:val="22"/>
        </w:rPr>
        <w:t>, po</w:t>
      </w:r>
      <w:r w:rsidR="006F4824" w:rsidRPr="00373097">
        <w:rPr>
          <w:sz w:val="22"/>
          <w:szCs w:val="22"/>
        </w:rPr>
        <w:t>vo</w:t>
      </w:r>
      <w:r w:rsidR="00027478" w:rsidRPr="00373097">
        <w:rPr>
          <w:sz w:val="22"/>
          <w:szCs w:val="22"/>
        </w:rPr>
        <w:t>lené v režimu zvláštního užívání dle zákona č.13/1997</w:t>
      </w:r>
      <w:r w:rsidRPr="00373097">
        <w:rPr>
          <w:sz w:val="22"/>
          <w:szCs w:val="22"/>
        </w:rPr>
        <w:t xml:space="preserve">). </w:t>
      </w:r>
      <w:r w:rsidR="006F4824" w:rsidRPr="00373097">
        <w:rPr>
          <w:sz w:val="22"/>
          <w:szCs w:val="22"/>
        </w:rPr>
        <w:t>N</w:t>
      </w:r>
      <w:r w:rsidR="001F5971" w:rsidRPr="00373097">
        <w:rPr>
          <w:sz w:val="22"/>
          <w:szCs w:val="22"/>
        </w:rPr>
        <w:t>evztahuje se na povolené označení provozovny</w:t>
      </w:r>
      <w:r w:rsidR="006F4824" w:rsidRPr="00373097">
        <w:rPr>
          <w:sz w:val="22"/>
          <w:szCs w:val="22"/>
        </w:rPr>
        <w:t>.</w:t>
      </w:r>
      <w:r w:rsidRPr="00373097">
        <w:rPr>
          <w:sz w:val="22"/>
          <w:szCs w:val="22"/>
        </w:rPr>
        <w:t> </w:t>
      </w:r>
    </w:p>
    <w:p w14:paraId="7983120E" w14:textId="77777777" w:rsidR="00540DB8" w:rsidRPr="00A5700B" w:rsidRDefault="00540DB8" w:rsidP="00A5700B">
      <w:pPr>
        <w:autoSpaceDE w:val="0"/>
        <w:autoSpaceDN w:val="0"/>
        <w:adjustRightInd w:val="0"/>
        <w:spacing w:after="60"/>
        <w:ind w:left="709"/>
        <w:jc w:val="both"/>
        <w:rPr>
          <w:sz w:val="22"/>
          <w:szCs w:val="22"/>
        </w:rPr>
      </w:pPr>
    </w:p>
    <w:p w14:paraId="3458A9BC" w14:textId="77777777" w:rsidR="00465AA7" w:rsidRPr="0087061C" w:rsidRDefault="00465AA7" w:rsidP="0021110A">
      <w:pPr>
        <w:pStyle w:val="Nadpis1"/>
        <w:spacing w:before="200"/>
        <w:jc w:val="center"/>
        <w:rPr>
          <w:rFonts w:ascii="Times New Roman" w:hAnsi="Times New Roman"/>
          <w:b w:val="0"/>
          <w:sz w:val="22"/>
          <w:szCs w:val="22"/>
        </w:rPr>
      </w:pPr>
      <w:r w:rsidRPr="0087061C">
        <w:rPr>
          <w:rFonts w:ascii="Times New Roman" w:hAnsi="Times New Roman"/>
          <w:b w:val="0"/>
          <w:sz w:val="22"/>
          <w:szCs w:val="22"/>
        </w:rPr>
        <w:t>Čl. 5</w:t>
      </w:r>
    </w:p>
    <w:p w14:paraId="48745482" w14:textId="77777777" w:rsidR="00465AA7" w:rsidRPr="0087061C" w:rsidRDefault="009D6989" w:rsidP="00465AA7">
      <w:pPr>
        <w:pStyle w:val="Nadpis1"/>
        <w:spacing w:before="0" w:after="60"/>
        <w:jc w:val="center"/>
        <w:rPr>
          <w:rFonts w:ascii="Times New Roman" w:hAnsi="Times New Roman"/>
          <w:b w:val="0"/>
          <w:sz w:val="22"/>
          <w:szCs w:val="22"/>
        </w:rPr>
      </w:pPr>
      <w:r w:rsidRPr="0087061C">
        <w:rPr>
          <w:rFonts w:ascii="Times New Roman" w:hAnsi="Times New Roman"/>
          <w:b w:val="0"/>
          <w:sz w:val="22"/>
          <w:szCs w:val="22"/>
        </w:rPr>
        <w:t>Akce, na něž se zákaz šíření reklamy nevztahuje</w:t>
      </w:r>
    </w:p>
    <w:p w14:paraId="31DAD672" w14:textId="77777777" w:rsidR="00C07A42" w:rsidRPr="0087061C" w:rsidRDefault="00294AB4" w:rsidP="00B52CE8">
      <w:pPr>
        <w:autoSpaceDE w:val="0"/>
        <w:autoSpaceDN w:val="0"/>
        <w:adjustRightInd w:val="0"/>
        <w:spacing w:before="100" w:after="100"/>
        <w:ind w:left="426"/>
        <w:jc w:val="both"/>
        <w:rPr>
          <w:sz w:val="22"/>
          <w:szCs w:val="22"/>
        </w:rPr>
      </w:pPr>
      <w:r w:rsidRPr="0087061C">
        <w:rPr>
          <w:sz w:val="22"/>
          <w:szCs w:val="22"/>
        </w:rPr>
        <w:t>Zákaz šíření reklamy se nevztahuje na:</w:t>
      </w:r>
    </w:p>
    <w:p w14:paraId="33619760" w14:textId="77777777" w:rsidR="00294AB4" w:rsidRPr="002F53E4" w:rsidRDefault="00294AB4" w:rsidP="003F7DFD">
      <w:pPr>
        <w:numPr>
          <w:ilvl w:val="1"/>
          <w:numId w:val="5"/>
        </w:numPr>
        <w:autoSpaceDE w:val="0"/>
        <w:autoSpaceDN w:val="0"/>
        <w:adjustRightInd w:val="0"/>
        <w:spacing w:after="60"/>
        <w:ind w:left="709" w:hanging="283"/>
        <w:jc w:val="both"/>
        <w:rPr>
          <w:sz w:val="22"/>
          <w:szCs w:val="22"/>
        </w:rPr>
      </w:pPr>
      <w:r w:rsidRPr="0087061C">
        <w:rPr>
          <w:rFonts w:cs="UnitSlabPro-LightIta"/>
          <w:sz w:val="22"/>
          <w:szCs w:val="22"/>
        </w:rPr>
        <w:t>veřejné sbírky pořádané podle zvláštního předpisu</w:t>
      </w:r>
      <w:r w:rsidRPr="0087061C">
        <w:rPr>
          <w:sz w:val="22"/>
          <w:szCs w:val="22"/>
          <w:vertAlign w:val="superscript"/>
        </w:rPr>
        <w:footnoteReference w:id="5"/>
      </w:r>
      <w:r w:rsidRPr="0087061C">
        <w:rPr>
          <w:sz w:val="22"/>
          <w:szCs w:val="22"/>
          <w:vertAlign w:val="superscript"/>
        </w:rPr>
        <w:t>)</w:t>
      </w:r>
      <w:r w:rsidRPr="0087061C">
        <w:rPr>
          <w:rFonts w:cs="UnitSlabPro-LightIta"/>
          <w:sz w:val="22"/>
          <w:szCs w:val="22"/>
        </w:rPr>
        <w:t>,</w:t>
      </w:r>
    </w:p>
    <w:p w14:paraId="41F90E0C" w14:textId="77777777" w:rsidR="001346CD" w:rsidRPr="002D7856" w:rsidRDefault="002F53E4" w:rsidP="003F7DFD">
      <w:pPr>
        <w:numPr>
          <w:ilvl w:val="1"/>
          <w:numId w:val="5"/>
        </w:numPr>
        <w:autoSpaceDE w:val="0"/>
        <w:autoSpaceDN w:val="0"/>
        <w:adjustRightInd w:val="0"/>
        <w:spacing w:after="60"/>
        <w:ind w:left="709" w:hanging="283"/>
        <w:jc w:val="both"/>
        <w:rPr>
          <w:rFonts w:cs="UnitSlabPro-LightIta"/>
          <w:sz w:val="22"/>
          <w:szCs w:val="22"/>
        </w:rPr>
      </w:pPr>
      <w:r w:rsidRPr="002D7856">
        <w:rPr>
          <w:rFonts w:cs="UnitSlabPro-LightIta"/>
          <w:sz w:val="22"/>
          <w:szCs w:val="22"/>
        </w:rPr>
        <w:lastRenderedPageBreak/>
        <w:t>charitativní akce</w:t>
      </w:r>
      <w:r w:rsidR="001346CD" w:rsidRPr="002D7856">
        <w:rPr>
          <w:rFonts w:cs="UnitSlabPro-LightIta"/>
          <w:sz w:val="22"/>
          <w:szCs w:val="22"/>
        </w:rPr>
        <w:t>, shromáždění, pouliční průvody a manifestace svolané podle zvláštního právního předpisu</w:t>
      </w:r>
      <w:r w:rsidR="001621CC">
        <w:rPr>
          <w:rFonts w:cs="UnitSlabPro-LightIta"/>
          <w:sz w:val="22"/>
          <w:szCs w:val="22"/>
        </w:rPr>
        <w:t>.</w:t>
      </w:r>
    </w:p>
    <w:p w14:paraId="0A9CC9D7" w14:textId="77777777" w:rsidR="00A82B29" w:rsidRPr="002D7856" w:rsidRDefault="00A82B29" w:rsidP="0021110A">
      <w:pPr>
        <w:pStyle w:val="Nadpis1"/>
        <w:spacing w:before="200"/>
        <w:jc w:val="center"/>
        <w:rPr>
          <w:rFonts w:ascii="Times New Roman" w:hAnsi="Times New Roman"/>
          <w:b w:val="0"/>
          <w:sz w:val="22"/>
          <w:szCs w:val="22"/>
        </w:rPr>
      </w:pPr>
      <w:r w:rsidRPr="002D7856">
        <w:rPr>
          <w:rFonts w:ascii="Times New Roman" w:hAnsi="Times New Roman"/>
          <w:b w:val="0"/>
          <w:sz w:val="22"/>
          <w:szCs w:val="22"/>
        </w:rPr>
        <w:t xml:space="preserve">Čl. </w:t>
      </w:r>
      <w:r w:rsidR="002D7856" w:rsidRPr="002D7856">
        <w:rPr>
          <w:rFonts w:ascii="Times New Roman" w:hAnsi="Times New Roman"/>
          <w:b w:val="0"/>
          <w:sz w:val="22"/>
          <w:szCs w:val="22"/>
        </w:rPr>
        <w:t>6</w:t>
      </w:r>
    </w:p>
    <w:p w14:paraId="3BF7EAAA" w14:textId="77777777" w:rsidR="00A82B29" w:rsidRPr="00AB4460" w:rsidRDefault="00590A06" w:rsidP="00025D7A">
      <w:pPr>
        <w:pStyle w:val="Nadpis1"/>
        <w:spacing w:before="0"/>
        <w:jc w:val="center"/>
        <w:rPr>
          <w:rFonts w:ascii="Times New Roman" w:hAnsi="Times New Roman"/>
          <w:b w:val="0"/>
          <w:sz w:val="22"/>
          <w:szCs w:val="22"/>
        </w:rPr>
      </w:pPr>
      <w:r w:rsidRPr="00AB4460">
        <w:rPr>
          <w:rFonts w:ascii="Times New Roman" w:hAnsi="Times New Roman"/>
          <w:b w:val="0"/>
          <w:sz w:val="22"/>
          <w:szCs w:val="22"/>
        </w:rPr>
        <w:t>Přechodná a z</w:t>
      </w:r>
      <w:r w:rsidR="00A82B29" w:rsidRPr="00AB4460">
        <w:rPr>
          <w:rFonts w:ascii="Times New Roman" w:hAnsi="Times New Roman"/>
          <w:b w:val="0"/>
          <w:sz w:val="22"/>
          <w:szCs w:val="22"/>
        </w:rPr>
        <w:t>ávěrečná ustanovení</w:t>
      </w:r>
    </w:p>
    <w:p w14:paraId="30F24005" w14:textId="77777777" w:rsidR="00F7670D" w:rsidRPr="00611E89" w:rsidRDefault="00F7670D" w:rsidP="00611E89">
      <w:pPr>
        <w:numPr>
          <w:ilvl w:val="0"/>
          <w:numId w:val="9"/>
        </w:numPr>
        <w:spacing w:before="100"/>
        <w:jc w:val="both"/>
        <w:rPr>
          <w:rFonts w:cs="UnitSlabPro-LightIta"/>
          <w:sz w:val="22"/>
          <w:szCs w:val="22"/>
        </w:rPr>
      </w:pPr>
      <w:r w:rsidRPr="00611E89">
        <w:rPr>
          <w:rFonts w:cs="UnitSlabPro-LightIta"/>
          <w:sz w:val="22"/>
          <w:szCs w:val="22"/>
        </w:rPr>
        <w:t>Stávající komunikační média, která jsou ode dne nabytí účinnosti tohoto nařízení s</w:t>
      </w:r>
      <w:r w:rsidR="008A5DCA" w:rsidRPr="00611E89">
        <w:rPr>
          <w:rFonts w:cs="UnitSlabPro-LightIta"/>
          <w:sz w:val="22"/>
          <w:szCs w:val="22"/>
        </w:rPr>
        <w:t> </w:t>
      </w:r>
      <w:r w:rsidRPr="00611E89">
        <w:rPr>
          <w:rFonts w:cs="UnitSlabPro-LightIta"/>
          <w:sz w:val="22"/>
          <w:szCs w:val="22"/>
        </w:rPr>
        <w:t>tímto</w:t>
      </w:r>
      <w:r w:rsidR="008A5DCA" w:rsidRPr="00611E89">
        <w:rPr>
          <w:rFonts w:cs="UnitSlabPro-LightIta"/>
          <w:sz w:val="22"/>
          <w:szCs w:val="22"/>
        </w:rPr>
        <w:t xml:space="preserve"> </w:t>
      </w:r>
      <w:r w:rsidRPr="00611E89">
        <w:rPr>
          <w:rFonts w:cs="UnitSlabPro-LightIta"/>
          <w:sz w:val="22"/>
          <w:szCs w:val="22"/>
        </w:rPr>
        <w:t xml:space="preserve"> nařízením v rozporu, </w:t>
      </w:r>
      <w:r w:rsidR="007A1444" w:rsidRPr="00611E89">
        <w:rPr>
          <w:rFonts w:cs="UnitSlabPro-LightIta"/>
          <w:sz w:val="22"/>
          <w:szCs w:val="22"/>
        </w:rPr>
        <w:t>je nutno</w:t>
      </w:r>
      <w:r w:rsidRPr="00611E89">
        <w:rPr>
          <w:rFonts w:cs="UnitSlabPro-LightIta"/>
          <w:sz w:val="22"/>
          <w:szCs w:val="22"/>
        </w:rPr>
        <w:t xml:space="preserve"> na místech uvedených v čl. 2 odstranit</w:t>
      </w:r>
      <w:r w:rsidR="00913C19" w:rsidRPr="00611E89">
        <w:rPr>
          <w:rFonts w:cs="UnitSlabPro-LightIta"/>
          <w:sz w:val="22"/>
          <w:szCs w:val="22"/>
        </w:rPr>
        <w:t>,</w:t>
      </w:r>
      <w:r w:rsidRPr="00611E89">
        <w:rPr>
          <w:rFonts w:cs="UnitSlabPro-LightIta"/>
          <w:sz w:val="22"/>
          <w:szCs w:val="22"/>
        </w:rPr>
        <w:t xml:space="preserve"> </w:t>
      </w:r>
      <w:r w:rsidR="007A1444" w:rsidRPr="00611E89">
        <w:rPr>
          <w:rFonts w:cs="UnitSlabPro-LightIta"/>
          <w:sz w:val="22"/>
          <w:szCs w:val="22"/>
        </w:rPr>
        <w:t xml:space="preserve">a to </w:t>
      </w:r>
      <w:r w:rsidRPr="00611E89">
        <w:rPr>
          <w:rFonts w:cs="UnitSlabPro-LightIta"/>
          <w:sz w:val="22"/>
          <w:szCs w:val="22"/>
        </w:rPr>
        <w:t xml:space="preserve">nejdéle do </w:t>
      </w:r>
      <w:r w:rsidR="00DA6880" w:rsidRPr="00611E89">
        <w:rPr>
          <w:rFonts w:cs="UnitSlabPro-LightIta"/>
          <w:sz w:val="22"/>
          <w:szCs w:val="22"/>
        </w:rPr>
        <w:t>31.12. 2020</w:t>
      </w:r>
      <w:r w:rsidR="00051F72" w:rsidRPr="00611E89">
        <w:rPr>
          <w:rFonts w:cs="UnitSlabPro-LightIta"/>
          <w:sz w:val="22"/>
          <w:szCs w:val="22"/>
        </w:rPr>
        <w:t xml:space="preserve"> </w:t>
      </w:r>
      <w:r w:rsidR="00C25F55" w:rsidRPr="00611E89">
        <w:rPr>
          <w:rFonts w:cs="UnitSlabPro-LightIta"/>
          <w:sz w:val="22"/>
          <w:szCs w:val="22"/>
        </w:rPr>
        <w:t xml:space="preserve">s výjimkou komunikačních médií uvedených v čl. 6 odst. </w:t>
      </w:r>
      <w:r w:rsidR="007A4B2F" w:rsidRPr="00611E89">
        <w:rPr>
          <w:rFonts w:cs="UnitSlabPro-LightIta"/>
          <w:sz w:val="22"/>
          <w:szCs w:val="22"/>
        </w:rPr>
        <w:t>(</w:t>
      </w:r>
      <w:r w:rsidR="00C25F55" w:rsidRPr="00611E89">
        <w:rPr>
          <w:rFonts w:cs="UnitSlabPro-LightIta"/>
          <w:sz w:val="22"/>
          <w:szCs w:val="22"/>
        </w:rPr>
        <w:t xml:space="preserve">2) </w:t>
      </w:r>
    </w:p>
    <w:p w14:paraId="588EC580" w14:textId="77777777" w:rsidR="002D7C95" w:rsidRPr="00611E89" w:rsidRDefault="008A5DCA" w:rsidP="007A4B2F">
      <w:pPr>
        <w:numPr>
          <w:ilvl w:val="0"/>
          <w:numId w:val="9"/>
        </w:numPr>
        <w:spacing w:before="100"/>
        <w:jc w:val="both"/>
        <w:rPr>
          <w:rFonts w:cs="UnitSlabPro-LightIta"/>
          <w:sz w:val="22"/>
          <w:szCs w:val="22"/>
        </w:rPr>
      </w:pPr>
      <w:r w:rsidRPr="00611E89">
        <w:rPr>
          <w:rFonts w:cs="UnitSlabPro-LightIta"/>
          <w:sz w:val="22"/>
          <w:szCs w:val="22"/>
        </w:rPr>
        <w:t>Stávající velkoplošné reklamy na markýzách a slunečnících</w:t>
      </w:r>
      <w:r w:rsidR="002D7C95" w:rsidRPr="00611E89">
        <w:rPr>
          <w:rFonts w:cs="UnitSlabPro-LightIta"/>
          <w:sz w:val="22"/>
          <w:szCs w:val="22"/>
        </w:rPr>
        <w:t xml:space="preserve">, </w:t>
      </w:r>
      <w:r w:rsidR="002D7C95" w:rsidRPr="00611E89">
        <w:rPr>
          <w:sz w:val="22"/>
          <w:szCs w:val="22"/>
        </w:rPr>
        <w:t xml:space="preserve">plakáty, polepy a plachty na ohrazení, </w:t>
      </w:r>
      <w:r w:rsidR="00142E5B" w:rsidRPr="00611E89">
        <w:rPr>
          <w:sz w:val="22"/>
          <w:szCs w:val="22"/>
        </w:rPr>
        <w:t xml:space="preserve">toto </w:t>
      </w:r>
      <w:r w:rsidR="002D7C95" w:rsidRPr="00611E89">
        <w:rPr>
          <w:sz w:val="22"/>
          <w:szCs w:val="22"/>
        </w:rPr>
        <w:t>vše na venkovních</w:t>
      </w:r>
      <w:r w:rsidR="002D7C95" w:rsidRPr="00611E89">
        <w:rPr>
          <w:rFonts w:cs="UnitSlabPro-LightIta"/>
          <w:sz w:val="22"/>
          <w:szCs w:val="22"/>
        </w:rPr>
        <w:t xml:space="preserve"> </w:t>
      </w:r>
      <w:r w:rsidRPr="00611E89">
        <w:rPr>
          <w:rFonts w:cs="UnitSlabPro-LightIta"/>
          <w:sz w:val="22"/>
          <w:szCs w:val="22"/>
        </w:rPr>
        <w:t xml:space="preserve">restauračních zahrádkách a předzahrádkách, </w:t>
      </w:r>
      <w:r w:rsidR="002D7C95" w:rsidRPr="00611E89">
        <w:rPr>
          <w:sz w:val="22"/>
          <w:szCs w:val="22"/>
        </w:rPr>
        <w:t>uvedené v čl. 4  písm. a) a b) , které jsou ode dne nabytí účinnosti tohoto nařízení s tímto nařízením v rozporu, a stávající komunikační média uvedená v čl. 4 písm. g) a h), která jsou ode dne nabytí účinnosti tohoto nařízení s tímto nařízením v rozporu, je nutno na místech uvedených v čl. 2 odstranit, a to nejdéle do 31.12.</w:t>
      </w:r>
      <w:r w:rsidR="00746E9E" w:rsidRPr="00611E89">
        <w:rPr>
          <w:sz w:val="22"/>
          <w:szCs w:val="22"/>
        </w:rPr>
        <w:t xml:space="preserve"> 2021</w:t>
      </w:r>
    </w:p>
    <w:p w14:paraId="783B967D" w14:textId="77777777" w:rsidR="00F7670D" w:rsidRPr="00611E89" w:rsidRDefault="00F7670D" w:rsidP="00611E89">
      <w:pPr>
        <w:numPr>
          <w:ilvl w:val="0"/>
          <w:numId w:val="9"/>
        </w:numPr>
        <w:spacing w:before="100"/>
        <w:jc w:val="both"/>
        <w:rPr>
          <w:rFonts w:cs="UnitSlabPro-LightIta"/>
          <w:sz w:val="22"/>
          <w:szCs w:val="22"/>
        </w:rPr>
      </w:pPr>
      <w:r w:rsidRPr="00611E89">
        <w:rPr>
          <w:rFonts w:cs="UnitSlabPro-LightIta"/>
          <w:sz w:val="22"/>
          <w:szCs w:val="22"/>
        </w:rPr>
        <w:t>Porušení tohoto nařízení se postihuje podle zvláštních právních předpisů.</w:t>
      </w:r>
    </w:p>
    <w:p w14:paraId="21093532" w14:textId="77777777" w:rsidR="007A4B2F" w:rsidRPr="00611E89" w:rsidRDefault="007A4B2F" w:rsidP="00611E89">
      <w:pPr>
        <w:numPr>
          <w:ilvl w:val="0"/>
          <w:numId w:val="9"/>
        </w:numPr>
        <w:spacing w:before="100"/>
        <w:jc w:val="both"/>
        <w:rPr>
          <w:rFonts w:cs="UnitSlabPro-LightIta"/>
          <w:sz w:val="22"/>
          <w:szCs w:val="22"/>
        </w:rPr>
      </w:pPr>
      <w:r w:rsidRPr="00611E89">
        <w:rPr>
          <w:rFonts w:cs="UnitSlabPro-LightIta"/>
          <w:sz w:val="22"/>
          <w:szCs w:val="22"/>
        </w:rPr>
        <w:t>Ruší se nařízení města</w:t>
      </w:r>
      <w:r w:rsidR="000B19DA" w:rsidRPr="00611E89">
        <w:rPr>
          <w:rFonts w:cs="UnitSlabPro-LightIta"/>
          <w:sz w:val="22"/>
          <w:szCs w:val="22"/>
        </w:rPr>
        <w:t xml:space="preserve"> č. 11/2019</w:t>
      </w:r>
      <w:r w:rsidR="00746E9E" w:rsidRPr="00611E89">
        <w:t xml:space="preserve"> </w:t>
      </w:r>
      <w:r w:rsidR="00746E9E" w:rsidRPr="00611E89">
        <w:rPr>
          <w:rFonts w:cs="UnitSlabPro-LightIta"/>
          <w:sz w:val="22"/>
          <w:szCs w:val="22"/>
        </w:rPr>
        <w:t>kterým se stanoví zákaz šíření reklamy na veřejně přístupných místech mimo provozovnu.</w:t>
      </w:r>
    </w:p>
    <w:p w14:paraId="794A7556" w14:textId="77777777" w:rsidR="00F7670D" w:rsidRPr="00611E89" w:rsidRDefault="00F7670D" w:rsidP="00B52CE8">
      <w:pPr>
        <w:spacing w:before="100"/>
        <w:ind w:left="426"/>
        <w:jc w:val="both"/>
        <w:rPr>
          <w:rFonts w:cs="UnitSlabPro-LightIta"/>
          <w:sz w:val="22"/>
          <w:szCs w:val="22"/>
        </w:rPr>
      </w:pPr>
    </w:p>
    <w:p w14:paraId="38844A98" w14:textId="77777777" w:rsidR="008A5DCA" w:rsidRPr="00611E89" w:rsidRDefault="008A5DCA" w:rsidP="00B52CE8">
      <w:pPr>
        <w:spacing w:before="100"/>
        <w:ind w:left="426"/>
        <w:jc w:val="both"/>
        <w:rPr>
          <w:rFonts w:cs="UnitSlabPro-LightIta"/>
          <w:sz w:val="22"/>
          <w:szCs w:val="22"/>
        </w:rPr>
      </w:pPr>
    </w:p>
    <w:p w14:paraId="462E87DA" w14:textId="77777777" w:rsidR="008A5DCA" w:rsidRPr="00611E89" w:rsidRDefault="008A5DCA" w:rsidP="00B52CE8">
      <w:pPr>
        <w:spacing w:before="100"/>
        <w:ind w:left="426"/>
        <w:jc w:val="both"/>
        <w:rPr>
          <w:rFonts w:cs="UnitSlabPro-LightIta"/>
          <w:sz w:val="22"/>
          <w:szCs w:val="22"/>
        </w:rPr>
      </w:pPr>
    </w:p>
    <w:p w14:paraId="021E9FD9" w14:textId="77777777" w:rsidR="00161215" w:rsidRPr="00611E89" w:rsidRDefault="00161215" w:rsidP="0021110A">
      <w:pPr>
        <w:pStyle w:val="Nadpis1"/>
        <w:spacing w:before="200"/>
        <w:jc w:val="center"/>
        <w:rPr>
          <w:rFonts w:ascii="Times New Roman" w:hAnsi="Times New Roman"/>
          <w:b w:val="0"/>
          <w:sz w:val="22"/>
          <w:szCs w:val="22"/>
        </w:rPr>
      </w:pPr>
      <w:r w:rsidRPr="00611E89">
        <w:rPr>
          <w:rFonts w:ascii="Times New Roman" w:hAnsi="Times New Roman"/>
          <w:b w:val="0"/>
          <w:sz w:val="22"/>
          <w:szCs w:val="22"/>
        </w:rPr>
        <w:t xml:space="preserve">Čl. </w:t>
      </w:r>
      <w:r w:rsidR="002D7856" w:rsidRPr="00611E89">
        <w:rPr>
          <w:rFonts w:ascii="Times New Roman" w:hAnsi="Times New Roman"/>
          <w:b w:val="0"/>
          <w:sz w:val="22"/>
          <w:szCs w:val="22"/>
        </w:rPr>
        <w:t>7</w:t>
      </w:r>
    </w:p>
    <w:p w14:paraId="6BE6FFA7" w14:textId="77777777" w:rsidR="00161215" w:rsidRPr="00611E89" w:rsidRDefault="00161215" w:rsidP="00025D7A">
      <w:pPr>
        <w:pStyle w:val="Nadpis1"/>
        <w:spacing w:before="0"/>
        <w:jc w:val="center"/>
        <w:rPr>
          <w:rFonts w:ascii="Times New Roman" w:hAnsi="Times New Roman"/>
          <w:b w:val="0"/>
          <w:sz w:val="22"/>
          <w:szCs w:val="22"/>
        </w:rPr>
      </w:pPr>
      <w:r w:rsidRPr="00611E89">
        <w:rPr>
          <w:rFonts w:ascii="Times New Roman" w:hAnsi="Times New Roman"/>
          <w:b w:val="0"/>
          <w:sz w:val="22"/>
          <w:szCs w:val="22"/>
        </w:rPr>
        <w:t>Účinnost</w:t>
      </w:r>
    </w:p>
    <w:p w14:paraId="17EA8FE0" w14:textId="77777777" w:rsidR="00C25F55" w:rsidRPr="00611E89" w:rsidRDefault="00C25F55" w:rsidP="00C25F55">
      <w:pPr>
        <w:spacing w:before="100" w:after="100"/>
        <w:ind w:left="426"/>
        <w:jc w:val="both"/>
        <w:rPr>
          <w:sz w:val="22"/>
          <w:szCs w:val="22"/>
        </w:rPr>
      </w:pPr>
      <w:r w:rsidRPr="00611E89">
        <w:rPr>
          <w:sz w:val="22"/>
          <w:szCs w:val="22"/>
        </w:rPr>
        <w:t>Toto nařízení nabývá účinnosti patnáctým dnem po dni jeho vyhlášení.</w:t>
      </w:r>
    </w:p>
    <w:p w14:paraId="1C9E45A4" w14:textId="77777777" w:rsidR="00D966BA" w:rsidRPr="00611E89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7EE26011" w14:textId="77777777" w:rsidR="00D966BA" w:rsidRPr="00611E89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4D8C74EB" w14:textId="77777777" w:rsidR="00D966BA" w:rsidRPr="00611E89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206E483F" w14:textId="77777777" w:rsidR="00D966BA" w:rsidRPr="00611E89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41D64971" w14:textId="77777777" w:rsidR="00D966BA" w:rsidRDefault="00D966BA" w:rsidP="00D966BA">
      <w:pPr>
        <w:spacing w:before="100" w:after="100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Ing. Tomáš Macura, MBA v.r.</w:t>
      </w:r>
    </w:p>
    <w:p w14:paraId="54CC4280" w14:textId="77777777" w:rsidR="00D966BA" w:rsidRDefault="00D966BA" w:rsidP="00D966BA">
      <w:pPr>
        <w:spacing w:before="100" w:after="100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primátor</w:t>
      </w:r>
    </w:p>
    <w:p w14:paraId="3B200928" w14:textId="77777777" w:rsidR="00D966BA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570C2982" w14:textId="77777777" w:rsidR="00D966BA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08A1423D" w14:textId="77777777" w:rsidR="00D966BA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2D76C1C1" w14:textId="77777777" w:rsidR="00D966BA" w:rsidRDefault="00D966BA" w:rsidP="00B52CE8">
      <w:pPr>
        <w:spacing w:before="100" w:after="100"/>
        <w:ind w:left="426"/>
        <w:jc w:val="both"/>
        <w:rPr>
          <w:sz w:val="22"/>
          <w:szCs w:val="22"/>
        </w:rPr>
      </w:pPr>
    </w:p>
    <w:p w14:paraId="3FF3C74E" w14:textId="77777777" w:rsidR="00D966BA" w:rsidRDefault="00D966BA" w:rsidP="00D966BA">
      <w:pPr>
        <w:spacing w:before="100" w:after="100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Mgr. Zuzana Bajgarová v.r.</w:t>
      </w:r>
    </w:p>
    <w:p w14:paraId="0631CC0A" w14:textId="77777777" w:rsidR="00D966BA" w:rsidRPr="00AB4460" w:rsidRDefault="00D966BA" w:rsidP="00D966BA">
      <w:pPr>
        <w:spacing w:before="100" w:after="100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náměstkyně primátora</w:t>
      </w:r>
    </w:p>
    <w:p w14:paraId="3F6D40CC" w14:textId="77777777" w:rsidR="00D966BA" w:rsidRPr="00AB4460" w:rsidRDefault="00D966BA">
      <w:pPr>
        <w:spacing w:before="100" w:after="100"/>
        <w:ind w:left="426"/>
        <w:jc w:val="center"/>
        <w:rPr>
          <w:sz w:val="22"/>
          <w:szCs w:val="22"/>
        </w:rPr>
      </w:pPr>
    </w:p>
    <w:sectPr w:rsidR="00D966BA" w:rsidRPr="00AB4460" w:rsidSect="00A85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86" w:bottom="1276" w:left="126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E31FC" w14:textId="77777777" w:rsidR="008B25FD" w:rsidRDefault="008B25FD">
      <w:r>
        <w:separator/>
      </w:r>
    </w:p>
  </w:endnote>
  <w:endnote w:type="continuationSeparator" w:id="0">
    <w:p w14:paraId="64D29999" w14:textId="77777777" w:rsidR="008B25FD" w:rsidRDefault="008B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SlabPro-LightIta">
    <w:altName w:val="Times New Roman"/>
    <w:charset w:val="00"/>
    <w:family w:val="roman"/>
    <w:notTrueType/>
    <w:pitch w:val="default"/>
    <w:sig w:usb0="00000001" w:usb1="00000000" w:usb2="00000000" w:usb3="00000000" w:csb0="00000003" w:csb1="00000000"/>
  </w:font>
  <w:font w:name="Arial,Bold">
    <w:altName w:val="Arial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8BCE" w14:textId="77777777" w:rsidR="00C07A42" w:rsidRDefault="00C07A42" w:rsidP="007E7B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D14349" w14:textId="77777777" w:rsidR="00C07A42" w:rsidRDefault="00C07A42" w:rsidP="007E7B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919C2" w14:textId="77777777" w:rsidR="00A850FD" w:rsidRDefault="00A850FD">
    <w:pPr>
      <w:pStyle w:val="Zpat"/>
    </w:pPr>
  </w:p>
  <w:p w14:paraId="4A8E0968" w14:textId="77777777" w:rsidR="00A850FD" w:rsidRDefault="00A850FD">
    <w:pPr>
      <w:pStyle w:val="Zpat"/>
    </w:pPr>
  </w:p>
  <w:p w14:paraId="460BC421" w14:textId="4BAD018E" w:rsidR="00C07A42" w:rsidRDefault="00C602E4">
    <w:pPr>
      <w:pStyle w:val="Zpat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B3BF084" wp14:editId="150DC0E0">
          <wp:simplePos x="0" y="0"/>
          <wp:positionH relativeFrom="column">
            <wp:posOffset>4191000</wp:posOffset>
          </wp:positionH>
          <wp:positionV relativeFrom="page">
            <wp:posOffset>9987280</wp:posOffset>
          </wp:positionV>
          <wp:extent cx="2051685" cy="248285"/>
          <wp:effectExtent l="0" t="0" r="0" b="0"/>
          <wp:wrapTight wrapText="bothSides">
            <wp:wrapPolygon edited="0">
              <wp:start x="0" y="0"/>
              <wp:lineTo x="0" y="19887"/>
              <wp:lineTo x="21460" y="19887"/>
              <wp:lineTo x="2146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A42">
      <w:fldChar w:fldCharType="begin"/>
    </w:r>
    <w:r w:rsidR="00C07A42">
      <w:instrText>PAGE   \* MERGEFORMAT</w:instrText>
    </w:r>
    <w:r w:rsidR="00C07A42">
      <w:fldChar w:fldCharType="separate"/>
    </w:r>
    <w:r w:rsidR="00AF3C3A">
      <w:rPr>
        <w:noProof/>
      </w:rPr>
      <w:t>3</w:t>
    </w:r>
    <w:r w:rsidR="00C07A42">
      <w:fldChar w:fldCharType="end"/>
    </w:r>
  </w:p>
  <w:p w14:paraId="4C700EAA" w14:textId="77777777" w:rsidR="00C07A42" w:rsidRDefault="00C07A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62B2" w14:textId="77777777" w:rsidR="00C07A42" w:rsidRDefault="00C07A42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60BF50B" w14:textId="77777777" w:rsidR="00C07A42" w:rsidRDefault="00C07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777EF" w14:textId="77777777" w:rsidR="008B25FD" w:rsidRDefault="008B25FD">
      <w:r>
        <w:separator/>
      </w:r>
    </w:p>
  </w:footnote>
  <w:footnote w:type="continuationSeparator" w:id="0">
    <w:p w14:paraId="798E87B2" w14:textId="77777777" w:rsidR="008B25FD" w:rsidRDefault="008B25FD">
      <w:r>
        <w:continuationSeparator/>
      </w:r>
    </w:p>
  </w:footnote>
  <w:footnote w:id="1">
    <w:p w14:paraId="2586CD00" w14:textId="77777777" w:rsidR="00E75B2A" w:rsidRPr="000A1BF1" w:rsidRDefault="00E75B2A" w:rsidP="00E75B2A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16"/>
          <w:szCs w:val="16"/>
        </w:rPr>
      </w:pPr>
      <w:r w:rsidRPr="00240522">
        <w:rPr>
          <w:rStyle w:val="Znakapoznpodarou"/>
          <w:sz w:val="18"/>
          <w:szCs w:val="18"/>
        </w:rPr>
        <w:footnoteRef/>
      </w:r>
      <w:r w:rsidRPr="00240522">
        <w:rPr>
          <w:rFonts w:ascii="Arial" w:hAnsi="Arial" w:cs="Arial"/>
          <w:sz w:val="18"/>
          <w:szCs w:val="18"/>
          <w:vertAlign w:val="superscript"/>
        </w:rPr>
        <w:t>)</w:t>
      </w:r>
      <w:r w:rsidRPr="000A1BF1">
        <w:rPr>
          <w:rFonts w:ascii="Arial" w:hAnsi="Arial" w:cs="Arial"/>
          <w:sz w:val="16"/>
          <w:szCs w:val="16"/>
        </w:rPr>
        <w:t xml:space="preserve"> </w:t>
      </w:r>
      <w:r w:rsidRPr="000A1BF1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§ 1 odst. </w:t>
      </w:r>
      <w:r w:rsidR="00C929A3">
        <w:rPr>
          <w:rFonts w:ascii="Arial" w:eastAsia="Calibri" w:hAnsi="Arial" w:cs="Arial"/>
          <w:color w:val="000000"/>
          <w:sz w:val="16"/>
          <w:szCs w:val="16"/>
          <w:lang w:eastAsia="en-US"/>
        </w:rPr>
        <w:t>2</w:t>
      </w:r>
      <w:r w:rsidRPr="000A1BF1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zákona </w:t>
      </w:r>
      <w:r w:rsidR="00C929A3">
        <w:rPr>
          <w:rFonts w:ascii="Arial" w:eastAsia="Calibri" w:hAnsi="Arial" w:cs="Arial"/>
          <w:color w:val="000000"/>
          <w:sz w:val="16"/>
          <w:szCs w:val="16"/>
          <w:lang w:eastAsia="en-US"/>
        </w:rPr>
        <w:t>40</w:t>
      </w:r>
      <w:r w:rsidRPr="000A1BF1">
        <w:rPr>
          <w:rFonts w:ascii="Arial" w:eastAsia="Calibri" w:hAnsi="Arial" w:cs="Arial"/>
          <w:color w:val="000000"/>
          <w:sz w:val="16"/>
          <w:szCs w:val="16"/>
          <w:lang w:eastAsia="en-US"/>
        </w:rPr>
        <w:t>/199</w:t>
      </w:r>
      <w:r w:rsidR="00C929A3">
        <w:rPr>
          <w:rFonts w:ascii="Arial" w:eastAsia="Calibri" w:hAnsi="Arial" w:cs="Arial"/>
          <w:color w:val="000000"/>
          <w:sz w:val="16"/>
          <w:szCs w:val="16"/>
          <w:lang w:eastAsia="en-US"/>
        </w:rPr>
        <w:t>5</w:t>
      </w:r>
      <w:r w:rsidR="00161215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Sb., o </w:t>
      </w:r>
      <w:r w:rsidR="00C929A3" w:rsidRPr="00C929A3">
        <w:rPr>
          <w:rFonts w:ascii="Arial" w:eastAsia="Calibri" w:hAnsi="Arial" w:cs="Arial"/>
          <w:color w:val="000000"/>
          <w:sz w:val="16"/>
          <w:szCs w:val="16"/>
          <w:lang w:eastAsia="en-US"/>
        </w:rPr>
        <w:t>regulaci reklamy a o změně a doplnění zákona č. 468/1991 Sb</w:t>
      </w:r>
      <w:r w:rsidR="00161215">
        <w:rPr>
          <w:rFonts w:ascii="Arial" w:eastAsia="Calibri" w:hAnsi="Arial" w:cs="Arial"/>
          <w:color w:val="000000"/>
          <w:sz w:val="16"/>
          <w:szCs w:val="16"/>
          <w:lang w:eastAsia="en-US"/>
        </w:rPr>
        <w:t>., o provozování rozhlasového a </w:t>
      </w:r>
      <w:r w:rsidR="00C929A3" w:rsidRPr="00C929A3">
        <w:rPr>
          <w:rFonts w:ascii="Arial" w:eastAsia="Calibri" w:hAnsi="Arial" w:cs="Arial"/>
          <w:color w:val="000000"/>
          <w:sz w:val="16"/>
          <w:szCs w:val="16"/>
          <w:lang w:eastAsia="en-US"/>
        </w:rPr>
        <w:t>televizního vysílání, ve znění pozdějších předpisů</w:t>
      </w:r>
      <w:r w:rsidR="00C929A3"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</w:footnote>
  <w:footnote w:id="2">
    <w:p w14:paraId="3F7332B2" w14:textId="77777777" w:rsidR="00C07A42" w:rsidRPr="000A1BF1" w:rsidRDefault="00C07A42" w:rsidP="00D36376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16"/>
          <w:szCs w:val="16"/>
        </w:rPr>
      </w:pPr>
      <w:r w:rsidRPr="00240522">
        <w:rPr>
          <w:rStyle w:val="Znakapoznpodarou"/>
          <w:sz w:val="18"/>
          <w:szCs w:val="18"/>
        </w:rPr>
        <w:footnoteRef/>
      </w:r>
      <w:r w:rsidRPr="00240522">
        <w:rPr>
          <w:rFonts w:ascii="Arial" w:hAnsi="Arial" w:cs="Arial"/>
          <w:sz w:val="18"/>
          <w:szCs w:val="18"/>
          <w:vertAlign w:val="superscript"/>
        </w:rPr>
        <w:t>)</w:t>
      </w:r>
      <w:r w:rsidRPr="000A1BF1">
        <w:rPr>
          <w:rFonts w:ascii="Arial" w:hAnsi="Arial" w:cs="Arial"/>
          <w:sz w:val="16"/>
          <w:szCs w:val="16"/>
        </w:rPr>
        <w:t xml:space="preserve"> </w:t>
      </w:r>
      <w:r w:rsidRPr="000A1BF1">
        <w:rPr>
          <w:rFonts w:ascii="Arial" w:eastAsia="Calibri" w:hAnsi="Arial" w:cs="Arial"/>
          <w:color w:val="000000"/>
          <w:sz w:val="16"/>
          <w:szCs w:val="16"/>
          <w:lang w:eastAsia="en-US"/>
        </w:rPr>
        <w:t>§ 17 odst. 1 zákona 455/1991 Sb., o živnostenském podnikání (živnostenský zákon), ve znění pozdějších předpisů.</w:t>
      </w:r>
    </w:p>
  </w:footnote>
  <w:footnote w:id="3">
    <w:p w14:paraId="416CAB42" w14:textId="77777777" w:rsidR="00C07A42" w:rsidRPr="000A1BF1" w:rsidRDefault="00C07A42" w:rsidP="00D36376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16"/>
          <w:szCs w:val="16"/>
        </w:rPr>
      </w:pPr>
      <w:r w:rsidRPr="00240522">
        <w:rPr>
          <w:rStyle w:val="Znakapoznpodarou"/>
          <w:sz w:val="18"/>
          <w:szCs w:val="18"/>
        </w:rPr>
        <w:footnoteRef/>
      </w:r>
      <w:r w:rsidRPr="00240522">
        <w:rPr>
          <w:rFonts w:ascii="Arial" w:hAnsi="Arial" w:cs="Arial"/>
          <w:sz w:val="18"/>
          <w:szCs w:val="18"/>
          <w:vertAlign w:val="superscript"/>
        </w:rPr>
        <w:t>)</w:t>
      </w:r>
      <w:r w:rsidRPr="000A1BF1">
        <w:rPr>
          <w:rFonts w:ascii="Arial" w:hAnsi="Arial" w:cs="Arial"/>
          <w:sz w:val="16"/>
          <w:szCs w:val="16"/>
        </w:rPr>
        <w:t xml:space="preserve"> </w:t>
      </w:r>
      <w:r w:rsidR="00A850FD">
        <w:rPr>
          <w:rFonts w:ascii="Arial" w:eastAsia="Calibri" w:hAnsi="Arial" w:cs="Arial"/>
          <w:color w:val="000000"/>
          <w:sz w:val="16"/>
          <w:szCs w:val="16"/>
          <w:lang w:eastAsia="en-US"/>
        </w:rPr>
        <w:t>V</w:t>
      </w:r>
      <w:r w:rsidR="00D36376" w:rsidRP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yhláška </w:t>
      </w:r>
      <w:r w:rsid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>č. 476/1992 Sb.</w:t>
      </w:r>
      <w:r w:rsidR="00A850FD">
        <w:rPr>
          <w:rFonts w:ascii="Arial" w:eastAsia="Calibri" w:hAnsi="Arial" w:cs="Arial"/>
          <w:color w:val="000000"/>
          <w:sz w:val="16"/>
          <w:szCs w:val="16"/>
          <w:lang w:eastAsia="en-US"/>
        </w:rPr>
        <w:t>,</w:t>
      </w:r>
      <w:r w:rsid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</w:t>
      </w:r>
      <w:r w:rsidR="00D36376" w:rsidRP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>o prohlášení území historických jader vybraných měst za památkové zóny</w:t>
      </w:r>
      <w:r w:rsid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>, ve znění pozdějších předpisů.</w:t>
      </w:r>
    </w:p>
  </w:footnote>
  <w:footnote w:id="4">
    <w:p w14:paraId="00F2DF98" w14:textId="77777777" w:rsidR="00D36376" w:rsidRDefault="00D36376" w:rsidP="00D36376">
      <w:pPr>
        <w:autoSpaceDE w:val="0"/>
        <w:autoSpaceDN w:val="0"/>
        <w:adjustRightInd w:val="0"/>
        <w:spacing w:before="100" w:after="100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240522">
        <w:rPr>
          <w:rStyle w:val="Znakapoznpodarou"/>
          <w:sz w:val="18"/>
          <w:szCs w:val="18"/>
        </w:rPr>
        <w:footnoteRef/>
      </w:r>
      <w:r w:rsidRPr="00240522">
        <w:rPr>
          <w:rFonts w:ascii="Arial" w:hAnsi="Arial" w:cs="Arial"/>
          <w:sz w:val="18"/>
          <w:szCs w:val="18"/>
          <w:vertAlign w:val="superscript"/>
        </w:rPr>
        <w:t>)</w:t>
      </w:r>
      <w:r w:rsidRPr="000A1BF1">
        <w:rPr>
          <w:rFonts w:ascii="Arial" w:hAnsi="Arial" w:cs="Arial"/>
          <w:sz w:val="16"/>
          <w:szCs w:val="16"/>
        </w:rPr>
        <w:t xml:space="preserve"> </w:t>
      </w:r>
      <w:r w:rsidR="00A850FD">
        <w:rPr>
          <w:rFonts w:ascii="Arial" w:eastAsia="Calibri" w:hAnsi="Arial" w:cs="Arial"/>
          <w:color w:val="000000"/>
          <w:sz w:val="16"/>
          <w:szCs w:val="16"/>
          <w:lang w:eastAsia="en-US"/>
        </w:rPr>
        <w:t>V</w:t>
      </w:r>
      <w:r w:rsidRP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>yhláška č. 108/2003 Sb., o prohlášení území s historickým prostředím ve vybraných měste</w:t>
      </w:r>
      <w:r w:rsidR="00E12ABC">
        <w:rPr>
          <w:rFonts w:ascii="Arial" w:eastAsia="Calibri" w:hAnsi="Arial" w:cs="Arial"/>
          <w:color w:val="000000"/>
          <w:sz w:val="16"/>
          <w:szCs w:val="16"/>
          <w:lang w:eastAsia="en-US"/>
        </w:rPr>
        <w:t>ch a obcích za památkové zóny a </w:t>
      </w:r>
      <w:r w:rsidRPr="00D36376">
        <w:rPr>
          <w:rFonts w:ascii="Arial" w:eastAsia="Calibri" w:hAnsi="Arial" w:cs="Arial"/>
          <w:color w:val="000000"/>
          <w:sz w:val="16"/>
          <w:szCs w:val="16"/>
          <w:lang w:eastAsia="en-US"/>
        </w:rPr>
        <w:t>určování podmínek pro jejich ochranu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00786AD1" w14:textId="77777777" w:rsidR="00C926EA" w:rsidRPr="00AB4460" w:rsidRDefault="00C926EA" w:rsidP="00D36376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16"/>
          <w:szCs w:val="16"/>
        </w:rPr>
      </w:pPr>
      <w:r w:rsidRPr="00AB4460">
        <w:rPr>
          <w:rFonts w:ascii="Arial" w:eastAsia="Calibri" w:hAnsi="Arial" w:cs="Arial"/>
          <w:sz w:val="16"/>
          <w:szCs w:val="16"/>
          <w:lang w:eastAsia="en-US"/>
        </w:rPr>
        <w:t>5) Zákon č. 183/2006 Sb., o územním plánování a stavebním řádu (stavební zákon), ve znění pozdějších předpisů.</w:t>
      </w:r>
    </w:p>
  </w:footnote>
  <w:footnote w:id="5">
    <w:p w14:paraId="26A687EE" w14:textId="77777777" w:rsidR="00294AB4" w:rsidRPr="0046232C" w:rsidRDefault="00294AB4" w:rsidP="0046232C">
      <w:pPr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240522">
        <w:rPr>
          <w:rStyle w:val="Znakapoznpodarou"/>
          <w:sz w:val="18"/>
          <w:szCs w:val="18"/>
        </w:rPr>
        <w:footnoteRef/>
      </w:r>
      <w:r w:rsidRPr="00240522">
        <w:rPr>
          <w:rFonts w:ascii="Arial" w:hAnsi="Arial" w:cs="Arial"/>
          <w:sz w:val="18"/>
          <w:szCs w:val="18"/>
          <w:vertAlign w:val="superscript"/>
        </w:rPr>
        <w:t>)</w:t>
      </w:r>
      <w:r w:rsidRPr="000A1BF1">
        <w:rPr>
          <w:rFonts w:ascii="Arial" w:hAnsi="Arial" w:cs="Arial"/>
          <w:sz w:val="16"/>
          <w:szCs w:val="16"/>
        </w:rPr>
        <w:t xml:space="preserve"> </w:t>
      </w:r>
      <w:r w:rsidR="00A850FD">
        <w:rPr>
          <w:rFonts w:ascii="Arial" w:eastAsia="Calibri" w:hAnsi="Arial" w:cs="Arial"/>
          <w:color w:val="000000"/>
          <w:sz w:val="16"/>
          <w:szCs w:val="16"/>
          <w:lang w:eastAsia="en-US"/>
        </w:rPr>
        <w:t>Z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ákon</w:t>
      </w:r>
      <w:r w:rsidRPr="00294AB4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č. 117/2001 Sb., o veřejných sbírkách a o změně některých zákonů</w:t>
      </w:r>
      <w:r w:rsidR="000A4C0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(zákon o veřejných sbírkách)</w:t>
      </w:r>
      <w:r w:rsidRPr="00294AB4">
        <w:rPr>
          <w:rFonts w:ascii="Arial" w:eastAsia="Calibri" w:hAnsi="Arial" w:cs="Arial"/>
          <w:color w:val="000000"/>
          <w:sz w:val="16"/>
          <w:szCs w:val="16"/>
          <w:lang w:eastAsia="en-US"/>
        </w:rPr>
        <w:t>, ve znění pozdějších předpisů</w:t>
      </w:r>
      <w:r w:rsidR="00A850FD"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1765" w14:textId="77777777" w:rsidR="00F24B84" w:rsidRDefault="00F24B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18FB" w14:textId="77777777" w:rsidR="00C07A42" w:rsidRPr="00BC7FD7" w:rsidRDefault="00C07A42" w:rsidP="00071AE0">
    <w:pPr>
      <w:pStyle w:val="Zhlav"/>
      <w:tabs>
        <w:tab w:val="clear" w:pos="4536"/>
        <w:tab w:val="clear" w:pos="9072"/>
      </w:tabs>
      <w:rPr>
        <w:rFonts w:ascii="Arial" w:hAnsi="Arial" w:cs="Arial"/>
        <w:b/>
        <w:color w:val="003C69"/>
      </w:rPr>
    </w:pPr>
    <w:r w:rsidRPr="008045CE">
      <w:rPr>
        <w:rFonts w:ascii="Arial" w:hAnsi="Arial" w:cs="Arial"/>
        <w:b/>
        <w:color w:val="003C69"/>
        <w:sz w:val="20"/>
      </w:rPr>
      <w:t xml:space="preserve">Statutární město Ostrava </w:t>
    </w:r>
    <w:r w:rsidRPr="008045CE">
      <w:rPr>
        <w:rFonts w:ascii="Arial" w:hAnsi="Arial" w:cs="Arial"/>
        <w:b/>
        <w:color w:val="003C69"/>
      </w:rPr>
      <w:tab/>
    </w:r>
    <w:r w:rsidRPr="008045CE"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  <w:t xml:space="preserve">  </w:t>
    </w:r>
    <w:r w:rsidRPr="008045CE">
      <w:rPr>
        <w:rFonts w:ascii="Arial,Bold" w:hAnsi="Arial,Bold" w:cs="Arial,Bold"/>
        <w:b/>
        <w:bCs/>
        <w:color w:val="00AED1"/>
        <w:sz w:val="40"/>
        <w:szCs w:val="40"/>
      </w:rPr>
      <w:t>Nařízení města</w:t>
    </w:r>
  </w:p>
  <w:p w14:paraId="55E533AB" w14:textId="77777777" w:rsidR="00C07A42" w:rsidRDefault="00C07A42" w:rsidP="00F72C86">
    <w:pPr>
      <w:pStyle w:val="JVS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D4AD" w14:textId="77777777" w:rsidR="00C07A42" w:rsidRPr="00BC7FD7" w:rsidRDefault="00C07A42" w:rsidP="00DF1457">
    <w:pPr>
      <w:pStyle w:val="Zhlav"/>
      <w:tabs>
        <w:tab w:val="clear" w:pos="4536"/>
        <w:tab w:val="clear" w:pos="9072"/>
      </w:tabs>
      <w:rPr>
        <w:rFonts w:ascii="Arial" w:hAnsi="Arial" w:cs="Arial"/>
        <w:b/>
        <w:color w:val="003C69"/>
      </w:rPr>
    </w:pPr>
    <w:r w:rsidRPr="00BC7FD7">
      <w:rPr>
        <w:rFonts w:ascii="Arial" w:hAnsi="Arial" w:cs="Arial"/>
        <w:b/>
        <w:color w:val="003C69"/>
      </w:rPr>
      <w:t xml:space="preserve">Statutární město Ostrava </w:t>
    </w:r>
  </w:p>
  <w:p w14:paraId="2CFCE2E4" w14:textId="77777777" w:rsidR="00C07A42" w:rsidRDefault="00C07A42" w:rsidP="00DF1457">
    <w:pPr>
      <w:pStyle w:val="Zhlav"/>
    </w:pPr>
  </w:p>
  <w:p w14:paraId="7C9920D6" w14:textId="77777777" w:rsidR="00C07A42" w:rsidRDefault="00C07A42">
    <w:pPr>
      <w:pStyle w:val="Zhlav"/>
    </w:pPr>
  </w:p>
  <w:p w14:paraId="198DB40C" w14:textId="77777777" w:rsidR="00C07A42" w:rsidRDefault="00C07A42">
    <w:pPr>
      <w:pStyle w:val="Zhlav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4B64"/>
    <w:multiLevelType w:val="hybridMultilevel"/>
    <w:tmpl w:val="39FE4138"/>
    <w:lvl w:ilvl="0" w:tplc="FF2E4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1D23"/>
    <w:multiLevelType w:val="hybridMultilevel"/>
    <w:tmpl w:val="B194EF9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AFC"/>
    <w:multiLevelType w:val="hybridMultilevel"/>
    <w:tmpl w:val="5FA6B8A0"/>
    <w:lvl w:ilvl="0" w:tplc="661250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1D4BA1"/>
    <w:multiLevelType w:val="hybridMultilevel"/>
    <w:tmpl w:val="66EE4170"/>
    <w:lvl w:ilvl="0" w:tplc="FF2E4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A9A"/>
    <w:multiLevelType w:val="hybridMultilevel"/>
    <w:tmpl w:val="39FE4138"/>
    <w:lvl w:ilvl="0" w:tplc="FF2E4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F62EB"/>
    <w:multiLevelType w:val="hybridMultilevel"/>
    <w:tmpl w:val="CABC0C6A"/>
    <w:lvl w:ilvl="0" w:tplc="FFFFFFFF">
      <w:start w:val="1"/>
      <w:numFmt w:val="upperLetter"/>
      <w:lvlText w:val="%1)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F7CD5"/>
    <w:multiLevelType w:val="hybridMultilevel"/>
    <w:tmpl w:val="8392F918"/>
    <w:lvl w:ilvl="0" w:tplc="4F969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292"/>
    <w:multiLevelType w:val="hybridMultilevel"/>
    <w:tmpl w:val="2EE466C4"/>
    <w:lvl w:ilvl="0" w:tplc="FF2E4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0C4D"/>
    <w:multiLevelType w:val="hybridMultilevel"/>
    <w:tmpl w:val="A1EC8D60"/>
    <w:lvl w:ilvl="0" w:tplc="FF2E4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12BDC6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824427">
    <w:abstractNumId w:val="0"/>
  </w:num>
  <w:num w:numId="3" w16cid:durableId="1016495129">
    <w:abstractNumId w:val="8"/>
  </w:num>
  <w:num w:numId="4" w16cid:durableId="256521728">
    <w:abstractNumId w:val="3"/>
  </w:num>
  <w:num w:numId="5" w16cid:durableId="1847675404">
    <w:abstractNumId w:val="6"/>
  </w:num>
  <w:num w:numId="6" w16cid:durableId="1694113444">
    <w:abstractNumId w:val="2"/>
  </w:num>
  <w:num w:numId="7" w16cid:durableId="642000238">
    <w:abstractNumId w:val="4"/>
  </w:num>
  <w:num w:numId="8" w16cid:durableId="596906727">
    <w:abstractNumId w:val="1"/>
  </w:num>
  <w:num w:numId="9" w16cid:durableId="154517146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E0"/>
    <w:rsid w:val="0000137C"/>
    <w:rsid w:val="00002342"/>
    <w:rsid w:val="00003C30"/>
    <w:rsid w:val="00022034"/>
    <w:rsid w:val="00024E60"/>
    <w:rsid w:val="00025D7A"/>
    <w:rsid w:val="00027478"/>
    <w:rsid w:val="00031CDD"/>
    <w:rsid w:val="00032B7A"/>
    <w:rsid w:val="00045770"/>
    <w:rsid w:val="00051F72"/>
    <w:rsid w:val="00053A05"/>
    <w:rsid w:val="00054CC2"/>
    <w:rsid w:val="000613BE"/>
    <w:rsid w:val="000643A9"/>
    <w:rsid w:val="00071AE0"/>
    <w:rsid w:val="00075674"/>
    <w:rsid w:val="00075EAB"/>
    <w:rsid w:val="0007735C"/>
    <w:rsid w:val="00080D54"/>
    <w:rsid w:val="00083771"/>
    <w:rsid w:val="00084187"/>
    <w:rsid w:val="00084F2E"/>
    <w:rsid w:val="000A4C0E"/>
    <w:rsid w:val="000B19DA"/>
    <w:rsid w:val="000B4DB5"/>
    <w:rsid w:val="000B5941"/>
    <w:rsid w:val="000F3ECF"/>
    <w:rsid w:val="000F639A"/>
    <w:rsid w:val="00102334"/>
    <w:rsid w:val="001116DA"/>
    <w:rsid w:val="00125CD8"/>
    <w:rsid w:val="001346CD"/>
    <w:rsid w:val="001404F0"/>
    <w:rsid w:val="0014174D"/>
    <w:rsid w:val="00142E5B"/>
    <w:rsid w:val="00142EC7"/>
    <w:rsid w:val="0014479E"/>
    <w:rsid w:val="001501F8"/>
    <w:rsid w:val="00154AA0"/>
    <w:rsid w:val="00157CF6"/>
    <w:rsid w:val="00161215"/>
    <w:rsid w:val="001614FB"/>
    <w:rsid w:val="001621CC"/>
    <w:rsid w:val="001669B9"/>
    <w:rsid w:val="00166BE8"/>
    <w:rsid w:val="00183CD4"/>
    <w:rsid w:val="001954A0"/>
    <w:rsid w:val="001A0262"/>
    <w:rsid w:val="001A4B40"/>
    <w:rsid w:val="001B069C"/>
    <w:rsid w:val="001B0CFA"/>
    <w:rsid w:val="001B2E0D"/>
    <w:rsid w:val="001C4939"/>
    <w:rsid w:val="001D4726"/>
    <w:rsid w:val="001E137B"/>
    <w:rsid w:val="001E56D3"/>
    <w:rsid w:val="001F1984"/>
    <w:rsid w:val="001F1A21"/>
    <w:rsid w:val="001F5971"/>
    <w:rsid w:val="002014B1"/>
    <w:rsid w:val="0021110A"/>
    <w:rsid w:val="002366EB"/>
    <w:rsid w:val="00243898"/>
    <w:rsid w:val="0024729F"/>
    <w:rsid w:val="00255A0F"/>
    <w:rsid w:val="00266330"/>
    <w:rsid w:val="00280D7A"/>
    <w:rsid w:val="00284207"/>
    <w:rsid w:val="00285082"/>
    <w:rsid w:val="00293781"/>
    <w:rsid w:val="00294071"/>
    <w:rsid w:val="00294AB4"/>
    <w:rsid w:val="002A30A9"/>
    <w:rsid w:val="002A3600"/>
    <w:rsid w:val="002A487D"/>
    <w:rsid w:val="002B046C"/>
    <w:rsid w:val="002B30B0"/>
    <w:rsid w:val="002B55CD"/>
    <w:rsid w:val="002C4252"/>
    <w:rsid w:val="002C43D3"/>
    <w:rsid w:val="002C795C"/>
    <w:rsid w:val="002D7856"/>
    <w:rsid w:val="002D7C95"/>
    <w:rsid w:val="002E2B43"/>
    <w:rsid w:val="002E3A3F"/>
    <w:rsid w:val="002E71A7"/>
    <w:rsid w:val="002F0F70"/>
    <w:rsid w:val="002F4266"/>
    <w:rsid w:val="002F53E4"/>
    <w:rsid w:val="0030379D"/>
    <w:rsid w:val="003143CF"/>
    <w:rsid w:val="00317D48"/>
    <w:rsid w:val="00332FE5"/>
    <w:rsid w:val="00344280"/>
    <w:rsid w:val="0034470B"/>
    <w:rsid w:val="0036723B"/>
    <w:rsid w:val="00371190"/>
    <w:rsid w:val="00373097"/>
    <w:rsid w:val="00374BC7"/>
    <w:rsid w:val="003811D4"/>
    <w:rsid w:val="00393D38"/>
    <w:rsid w:val="003A5488"/>
    <w:rsid w:val="003B07FC"/>
    <w:rsid w:val="003C13D7"/>
    <w:rsid w:val="003C5F30"/>
    <w:rsid w:val="003D4E6F"/>
    <w:rsid w:val="003D7759"/>
    <w:rsid w:val="003D77D3"/>
    <w:rsid w:val="003F2728"/>
    <w:rsid w:val="003F2B9A"/>
    <w:rsid w:val="003F3944"/>
    <w:rsid w:val="003F5529"/>
    <w:rsid w:val="003F7DFD"/>
    <w:rsid w:val="004110F1"/>
    <w:rsid w:val="00414204"/>
    <w:rsid w:val="00416CA5"/>
    <w:rsid w:val="004305B8"/>
    <w:rsid w:val="00435A68"/>
    <w:rsid w:val="00440DB0"/>
    <w:rsid w:val="00441833"/>
    <w:rsid w:val="0044201C"/>
    <w:rsid w:val="00450B97"/>
    <w:rsid w:val="0045658E"/>
    <w:rsid w:val="0046232C"/>
    <w:rsid w:val="00463A16"/>
    <w:rsid w:val="00465AA7"/>
    <w:rsid w:val="00470B5F"/>
    <w:rsid w:val="00471D50"/>
    <w:rsid w:val="00481342"/>
    <w:rsid w:val="00491926"/>
    <w:rsid w:val="004A0FB8"/>
    <w:rsid w:val="004A20D5"/>
    <w:rsid w:val="004A21D3"/>
    <w:rsid w:val="004A6E56"/>
    <w:rsid w:val="004C228C"/>
    <w:rsid w:val="004D1C80"/>
    <w:rsid w:val="004D2233"/>
    <w:rsid w:val="004D7AD8"/>
    <w:rsid w:val="004F724D"/>
    <w:rsid w:val="00500AFD"/>
    <w:rsid w:val="00500CC0"/>
    <w:rsid w:val="00501B2C"/>
    <w:rsid w:val="00502C0B"/>
    <w:rsid w:val="00510BBE"/>
    <w:rsid w:val="005143C1"/>
    <w:rsid w:val="0051740A"/>
    <w:rsid w:val="00526F34"/>
    <w:rsid w:val="0052754D"/>
    <w:rsid w:val="0053229C"/>
    <w:rsid w:val="00534412"/>
    <w:rsid w:val="0053608F"/>
    <w:rsid w:val="00540DB8"/>
    <w:rsid w:val="00552451"/>
    <w:rsid w:val="0055382A"/>
    <w:rsid w:val="005542C0"/>
    <w:rsid w:val="005908DE"/>
    <w:rsid w:val="00590A06"/>
    <w:rsid w:val="005A3979"/>
    <w:rsid w:val="005C0455"/>
    <w:rsid w:val="005C38A8"/>
    <w:rsid w:val="005D524E"/>
    <w:rsid w:val="005E5362"/>
    <w:rsid w:val="005F776A"/>
    <w:rsid w:val="00610E5E"/>
    <w:rsid w:val="00611E89"/>
    <w:rsid w:val="0064672D"/>
    <w:rsid w:val="00653EFB"/>
    <w:rsid w:val="00657595"/>
    <w:rsid w:val="00670082"/>
    <w:rsid w:val="00670C3A"/>
    <w:rsid w:val="00681415"/>
    <w:rsid w:val="00694CAC"/>
    <w:rsid w:val="006A4CFB"/>
    <w:rsid w:val="006A50DF"/>
    <w:rsid w:val="006A5CDD"/>
    <w:rsid w:val="006A63A9"/>
    <w:rsid w:val="006B4C1C"/>
    <w:rsid w:val="006C69DB"/>
    <w:rsid w:val="006D6DDB"/>
    <w:rsid w:val="006E25B9"/>
    <w:rsid w:val="006E2D79"/>
    <w:rsid w:val="006F4824"/>
    <w:rsid w:val="00706991"/>
    <w:rsid w:val="00711C07"/>
    <w:rsid w:val="00711F66"/>
    <w:rsid w:val="00714BE9"/>
    <w:rsid w:val="007165BD"/>
    <w:rsid w:val="007210DA"/>
    <w:rsid w:val="0072299B"/>
    <w:rsid w:val="00723C2C"/>
    <w:rsid w:val="00724E7F"/>
    <w:rsid w:val="00727298"/>
    <w:rsid w:val="007356EF"/>
    <w:rsid w:val="007459F6"/>
    <w:rsid w:val="00746E9E"/>
    <w:rsid w:val="0075109F"/>
    <w:rsid w:val="00751FD2"/>
    <w:rsid w:val="00760985"/>
    <w:rsid w:val="00762E93"/>
    <w:rsid w:val="0077159F"/>
    <w:rsid w:val="00784C06"/>
    <w:rsid w:val="007A1444"/>
    <w:rsid w:val="007A4B2F"/>
    <w:rsid w:val="007A5A92"/>
    <w:rsid w:val="007B37A4"/>
    <w:rsid w:val="007B5115"/>
    <w:rsid w:val="007C1367"/>
    <w:rsid w:val="007C6FEE"/>
    <w:rsid w:val="007E692F"/>
    <w:rsid w:val="007E7BEA"/>
    <w:rsid w:val="007F6F1C"/>
    <w:rsid w:val="008045CE"/>
    <w:rsid w:val="00823F19"/>
    <w:rsid w:val="00853F69"/>
    <w:rsid w:val="00856C3A"/>
    <w:rsid w:val="00857A80"/>
    <w:rsid w:val="00857E18"/>
    <w:rsid w:val="008611EC"/>
    <w:rsid w:val="00864699"/>
    <w:rsid w:val="008672E8"/>
    <w:rsid w:val="0087061C"/>
    <w:rsid w:val="00880120"/>
    <w:rsid w:val="00890ECD"/>
    <w:rsid w:val="00891C5B"/>
    <w:rsid w:val="008A4A57"/>
    <w:rsid w:val="008A57F4"/>
    <w:rsid w:val="008A5DCA"/>
    <w:rsid w:val="008B25FD"/>
    <w:rsid w:val="008B5528"/>
    <w:rsid w:val="008C015A"/>
    <w:rsid w:val="008C43EB"/>
    <w:rsid w:val="008C45E0"/>
    <w:rsid w:val="008D1DAE"/>
    <w:rsid w:val="008D5078"/>
    <w:rsid w:val="008E69ED"/>
    <w:rsid w:val="008F1906"/>
    <w:rsid w:val="008F5630"/>
    <w:rsid w:val="00900317"/>
    <w:rsid w:val="009039BF"/>
    <w:rsid w:val="00913C19"/>
    <w:rsid w:val="00917BB4"/>
    <w:rsid w:val="00920B38"/>
    <w:rsid w:val="0092256D"/>
    <w:rsid w:val="00923013"/>
    <w:rsid w:val="00925602"/>
    <w:rsid w:val="00927699"/>
    <w:rsid w:val="009436BF"/>
    <w:rsid w:val="0094395B"/>
    <w:rsid w:val="0094554F"/>
    <w:rsid w:val="00954175"/>
    <w:rsid w:val="00956FB8"/>
    <w:rsid w:val="00961675"/>
    <w:rsid w:val="0096270A"/>
    <w:rsid w:val="009647CC"/>
    <w:rsid w:val="009651E3"/>
    <w:rsid w:val="00970570"/>
    <w:rsid w:val="0097417B"/>
    <w:rsid w:val="00977DD2"/>
    <w:rsid w:val="00987E17"/>
    <w:rsid w:val="00991920"/>
    <w:rsid w:val="009A070F"/>
    <w:rsid w:val="009A2AE5"/>
    <w:rsid w:val="009B1439"/>
    <w:rsid w:val="009B4225"/>
    <w:rsid w:val="009B7157"/>
    <w:rsid w:val="009C0255"/>
    <w:rsid w:val="009D1696"/>
    <w:rsid w:val="009D6989"/>
    <w:rsid w:val="009E7667"/>
    <w:rsid w:val="009F4857"/>
    <w:rsid w:val="009F6987"/>
    <w:rsid w:val="00A00354"/>
    <w:rsid w:val="00A10BA9"/>
    <w:rsid w:val="00A263D6"/>
    <w:rsid w:val="00A3188B"/>
    <w:rsid w:val="00A34D21"/>
    <w:rsid w:val="00A34D63"/>
    <w:rsid w:val="00A356CC"/>
    <w:rsid w:val="00A3667E"/>
    <w:rsid w:val="00A45B5F"/>
    <w:rsid w:val="00A5700B"/>
    <w:rsid w:val="00A614C4"/>
    <w:rsid w:val="00A76603"/>
    <w:rsid w:val="00A82B29"/>
    <w:rsid w:val="00A850FD"/>
    <w:rsid w:val="00A87AAF"/>
    <w:rsid w:val="00A94FEA"/>
    <w:rsid w:val="00A95C6E"/>
    <w:rsid w:val="00AA0E7B"/>
    <w:rsid w:val="00AA6352"/>
    <w:rsid w:val="00AB313A"/>
    <w:rsid w:val="00AB4460"/>
    <w:rsid w:val="00AC38CA"/>
    <w:rsid w:val="00AC679D"/>
    <w:rsid w:val="00AD700A"/>
    <w:rsid w:val="00AD70F6"/>
    <w:rsid w:val="00AE49ED"/>
    <w:rsid w:val="00AE5CE7"/>
    <w:rsid w:val="00AF3C3A"/>
    <w:rsid w:val="00AF3DA4"/>
    <w:rsid w:val="00B01FEB"/>
    <w:rsid w:val="00B0603C"/>
    <w:rsid w:val="00B061E5"/>
    <w:rsid w:val="00B067CE"/>
    <w:rsid w:val="00B1352D"/>
    <w:rsid w:val="00B17258"/>
    <w:rsid w:val="00B2047C"/>
    <w:rsid w:val="00B2405F"/>
    <w:rsid w:val="00B3386A"/>
    <w:rsid w:val="00B343C5"/>
    <w:rsid w:val="00B43CC4"/>
    <w:rsid w:val="00B44A8C"/>
    <w:rsid w:val="00B4657B"/>
    <w:rsid w:val="00B51256"/>
    <w:rsid w:val="00B52CE8"/>
    <w:rsid w:val="00B54225"/>
    <w:rsid w:val="00B57076"/>
    <w:rsid w:val="00B62C77"/>
    <w:rsid w:val="00B662EC"/>
    <w:rsid w:val="00B77943"/>
    <w:rsid w:val="00B82EA7"/>
    <w:rsid w:val="00B84262"/>
    <w:rsid w:val="00B84939"/>
    <w:rsid w:val="00B8505C"/>
    <w:rsid w:val="00B956DF"/>
    <w:rsid w:val="00B95B3D"/>
    <w:rsid w:val="00B970A0"/>
    <w:rsid w:val="00BB08A4"/>
    <w:rsid w:val="00BC3A94"/>
    <w:rsid w:val="00BC3FFF"/>
    <w:rsid w:val="00BC7884"/>
    <w:rsid w:val="00BC7FD7"/>
    <w:rsid w:val="00BD2445"/>
    <w:rsid w:val="00BE7981"/>
    <w:rsid w:val="00C05079"/>
    <w:rsid w:val="00C05239"/>
    <w:rsid w:val="00C063BB"/>
    <w:rsid w:val="00C07A42"/>
    <w:rsid w:val="00C25F55"/>
    <w:rsid w:val="00C2693A"/>
    <w:rsid w:val="00C3421C"/>
    <w:rsid w:val="00C36A5E"/>
    <w:rsid w:val="00C475EC"/>
    <w:rsid w:val="00C537CD"/>
    <w:rsid w:val="00C602E4"/>
    <w:rsid w:val="00C60AA3"/>
    <w:rsid w:val="00C67B0E"/>
    <w:rsid w:val="00C67C10"/>
    <w:rsid w:val="00C71E07"/>
    <w:rsid w:val="00C743FB"/>
    <w:rsid w:val="00C82EAC"/>
    <w:rsid w:val="00C9108C"/>
    <w:rsid w:val="00C916A2"/>
    <w:rsid w:val="00C91EFF"/>
    <w:rsid w:val="00C926EA"/>
    <w:rsid w:val="00C929A3"/>
    <w:rsid w:val="00C955FB"/>
    <w:rsid w:val="00CA6625"/>
    <w:rsid w:val="00CB25A0"/>
    <w:rsid w:val="00CD1C4C"/>
    <w:rsid w:val="00CD308F"/>
    <w:rsid w:val="00CE4172"/>
    <w:rsid w:val="00D04518"/>
    <w:rsid w:val="00D11564"/>
    <w:rsid w:val="00D1300A"/>
    <w:rsid w:val="00D13255"/>
    <w:rsid w:val="00D2034D"/>
    <w:rsid w:val="00D20E79"/>
    <w:rsid w:val="00D2513C"/>
    <w:rsid w:val="00D344A2"/>
    <w:rsid w:val="00D36376"/>
    <w:rsid w:val="00D3756C"/>
    <w:rsid w:val="00D454DC"/>
    <w:rsid w:val="00D57C25"/>
    <w:rsid w:val="00D61D8E"/>
    <w:rsid w:val="00D66157"/>
    <w:rsid w:val="00D752ED"/>
    <w:rsid w:val="00D966BA"/>
    <w:rsid w:val="00DA1087"/>
    <w:rsid w:val="00DA6880"/>
    <w:rsid w:val="00DA72AD"/>
    <w:rsid w:val="00DB4DE7"/>
    <w:rsid w:val="00DC2409"/>
    <w:rsid w:val="00DD67EB"/>
    <w:rsid w:val="00DD75B0"/>
    <w:rsid w:val="00DE047F"/>
    <w:rsid w:val="00DF1457"/>
    <w:rsid w:val="00DF2F0A"/>
    <w:rsid w:val="00E011D9"/>
    <w:rsid w:val="00E12ABC"/>
    <w:rsid w:val="00E21F11"/>
    <w:rsid w:val="00E228A0"/>
    <w:rsid w:val="00E303B4"/>
    <w:rsid w:val="00E334B7"/>
    <w:rsid w:val="00E36C7E"/>
    <w:rsid w:val="00E54715"/>
    <w:rsid w:val="00E56D4A"/>
    <w:rsid w:val="00E60A0D"/>
    <w:rsid w:val="00E64D93"/>
    <w:rsid w:val="00E7114F"/>
    <w:rsid w:val="00E75B2A"/>
    <w:rsid w:val="00E77949"/>
    <w:rsid w:val="00E93117"/>
    <w:rsid w:val="00E94FAE"/>
    <w:rsid w:val="00E95737"/>
    <w:rsid w:val="00EA0360"/>
    <w:rsid w:val="00EA343C"/>
    <w:rsid w:val="00EB416C"/>
    <w:rsid w:val="00EB71E6"/>
    <w:rsid w:val="00EC2854"/>
    <w:rsid w:val="00EC45C3"/>
    <w:rsid w:val="00EC59C3"/>
    <w:rsid w:val="00ED1504"/>
    <w:rsid w:val="00ED2E5C"/>
    <w:rsid w:val="00ED5DD6"/>
    <w:rsid w:val="00ED6EED"/>
    <w:rsid w:val="00EE358C"/>
    <w:rsid w:val="00EE3981"/>
    <w:rsid w:val="00EE48BC"/>
    <w:rsid w:val="00EE7278"/>
    <w:rsid w:val="00EF4AB3"/>
    <w:rsid w:val="00EF7276"/>
    <w:rsid w:val="00F17AEF"/>
    <w:rsid w:val="00F231D3"/>
    <w:rsid w:val="00F24B84"/>
    <w:rsid w:val="00F32CC4"/>
    <w:rsid w:val="00F3580B"/>
    <w:rsid w:val="00F43C88"/>
    <w:rsid w:val="00F468D1"/>
    <w:rsid w:val="00F47BEA"/>
    <w:rsid w:val="00F72C86"/>
    <w:rsid w:val="00F75055"/>
    <w:rsid w:val="00F7670D"/>
    <w:rsid w:val="00F8094A"/>
    <w:rsid w:val="00F80B02"/>
    <w:rsid w:val="00F92DFB"/>
    <w:rsid w:val="00FB0572"/>
    <w:rsid w:val="00FB20EC"/>
    <w:rsid w:val="00FC288E"/>
    <w:rsid w:val="00FD1291"/>
    <w:rsid w:val="00FD2F5F"/>
    <w:rsid w:val="00FD3952"/>
    <w:rsid w:val="00FE0F1A"/>
    <w:rsid w:val="00FE2DD3"/>
    <w:rsid w:val="00FF1E75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78FFD"/>
  <w15:chartTrackingRefBased/>
  <w15:docId w15:val="{7C989162-0F71-4CF9-AF29-3A73FAF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2B2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955FB"/>
    <w:pPr>
      <w:keepNext/>
      <w:widowControl w:val="0"/>
      <w:spacing w:before="120"/>
      <w:outlineLvl w:val="0"/>
    </w:pPr>
    <w:rPr>
      <w:rFonts w:ascii="Tahoma" w:hAnsi="Tahoma"/>
      <w:b/>
      <w:szCs w:val="20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955FB"/>
    <w:pPr>
      <w:keepNext/>
      <w:widowControl w:val="0"/>
      <w:spacing w:before="120"/>
      <w:jc w:val="right"/>
      <w:outlineLvl w:val="2"/>
    </w:pPr>
    <w:rPr>
      <w:rFonts w:ascii="Tahoma" w:hAnsi="Tahoma"/>
      <w:szCs w:val="20"/>
    </w:rPr>
  </w:style>
  <w:style w:type="paragraph" w:styleId="Nadpis5">
    <w:name w:val="heading 5"/>
    <w:basedOn w:val="Normln"/>
    <w:next w:val="Normln"/>
    <w:qFormat/>
    <w:rsid w:val="00C955FB"/>
    <w:pPr>
      <w:keepNext/>
      <w:widowControl w:val="0"/>
      <w:spacing w:before="120" w:line="360" w:lineRule="auto"/>
      <w:jc w:val="center"/>
      <w:outlineLvl w:val="4"/>
    </w:pPr>
    <w:rPr>
      <w:rFonts w:ascii="Tahoma" w:hAnsi="Tahoma"/>
      <w:szCs w:val="20"/>
    </w:rPr>
  </w:style>
  <w:style w:type="paragraph" w:styleId="Nadpis8">
    <w:name w:val="heading 8"/>
    <w:basedOn w:val="Normln"/>
    <w:next w:val="Normln"/>
    <w:qFormat/>
    <w:rsid w:val="00C955FB"/>
    <w:pPr>
      <w:keepNext/>
      <w:numPr>
        <w:numId w:val="1"/>
      </w:numPr>
      <w:ind w:left="0" w:firstLine="0"/>
      <w:outlineLvl w:val="7"/>
    </w:pPr>
    <w:rPr>
      <w:rFonts w:ascii="Tahoma" w:hAnsi="Tahoma"/>
      <w:b/>
      <w:bCs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0F1A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ormln"/>
    <w:autoRedefine/>
    <w:rsid w:val="00E36C7E"/>
    <w:rPr>
      <w:rFonts w:ascii="Arial" w:hAnsi="Arial"/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071A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1AE0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ln"/>
    <w:rsid w:val="00C955FB"/>
    <w:pPr>
      <w:widowControl w:val="0"/>
      <w:ind w:firstLine="720"/>
      <w:jc w:val="both"/>
    </w:pPr>
    <w:rPr>
      <w:rFonts w:ascii="Tahoma" w:hAnsi="Tahoma"/>
      <w:szCs w:val="20"/>
    </w:rPr>
  </w:style>
  <w:style w:type="paragraph" w:customStyle="1" w:styleId="mmoradkovani">
    <w:name w:val="_mmo_radkovani"/>
    <w:basedOn w:val="Normln"/>
    <w:rsid w:val="00C955FB"/>
    <w:pPr>
      <w:spacing w:line="360" w:lineRule="auto"/>
    </w:pPr>
    <w:rPr>
      <w:rFonts w:ascii="Courier New" w:hAnsi="Courier New"/>
      <w:szCs w:val="20"/>
    </w:rPr>
  </w:style>
  <w:style w:type="paragraph" w:styleId="Zkladntext">
    <w:name w:val="Body Text"/>
    <w:basedOn w:val="Normln"/>
    <w:rsid w:val="00C955FB"/>
    <w:pPr>
      <w:widowControl w:val="0"/>
      <w:spacing w:before="120" w:line="360" w:lineRule="auto"/>
      <w:jc w:val="both"/>
    </w:pPr>
    <w:rPr>
      <w:rFonts w:ascii="Tahoma" w:hAnsi="Tahoma"/>
      <w:szCs w:val="20"/>
    </w:rPr>
  </w:style>
  <w:style w:type="paragraph" w:styleId="Zkladntext3">
    <w:name w:val="Body Text 3"/>
    <w:basedOn w:val="Normln"/>
    <w:rsid w:val="00C955FB"/>
    <w:pPr>
      <w:numPr>
        <w:ilvl w:val="12"/>
      </w:numPr>
    </w:pPr>
    <w:rPr>
      <w:rFonts w:ascii="Tahoma" w:hAnsi="Tahoma"/>
      <w:szCs w:val="20"/>
      <w:u w:val="single"/>
    </w:rPr>
  </w:style>
  <w:style w:type="paragraph" w:customStyle="1" w:styleId="mmotext">
    <w:name w:val="_mmo_text"/>
    <w:rsid w:val="00C955FB"/>
    <w:pPr>
      <w:spacing w:line="360" w:lineRule="auto"/>
      <w:ind w:left="425"/>
      <w:jc w:val="both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rsid w:val="00C955FB"/>
    <w:pPr>
      <w:widowControl w:val="0"/>
      <w:numPr>
        <w:ilvl w:val="12"/>
      </w:numPr>
      <w:tabs>
        <w:tab w:val="left" w:pos="1346"/>
        <w:tab w:val="left" w:pos="9210"/>
      </w:tabs>
      <w:overflowPunct w:val="0"/>
      <w:autoSpaceDE w:val="0"/>
      <w:autoSpaceDN w:val="0"/>
      <w:adjustRightInd w:val="0"/>
      <w:snapToGrid w:val="0"/>
      <w:ind w:left="540" w:hanging="540"/>
      <w:jc w:val="both"/>
    </w:pPr>
    <w:rPr>
      <w:rFonts w:ascii="Tahoma" w:hAnsi="Tahoma" w:cs="Tahoma"/>
    </w:rPr>
  </w:style>
  <w:style w:type="paragraph" w:customStyle="1" w:styleId="Import0">
    <w:name w:val="Import 0"/>
    <w:basedOn w:val="Normln"/>
    <w:rsid w:val="00C955FB"/>
    <w:pPr>
      <w:suppressAutoHyphens/>
      <w:spacing w:line="266" w:lineRule="auto"/>
    </w:pPr>
    <w:rPr>
      <w:szCs w:val="20"/>
    </w:rPr>
  </w:style>
  <w:style w:type="table" w:styleId="Mkatabulky">
    <w:name w:val="Table Grid"/>
    <w:basedOn w:val="Normlntabulka"/>
    <w:rsid w:val="00C9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Arial">
    <w:name w:val="Normální + Arial"/>
    <w:basedOn w:val="BodyText2"/>
    <w:rsid w:val="00C955FB"/>
    <w:pPr>
      <w:ind w:firstLine="0"/>
      <w:jc w:val="left"/>
    </w:pPr>
    <w:rPr>
      <w:rFonts w:ascii="Arial" w:hAnsi="Arial" w:cs="Arial"/>
      <w:b/>
      <w:sz w:val="28"/>
      <w:szCs w:val="28"/>
    </w:rPr>
  </w:style>
  <w:style w:type="paragraph" w:styleId="Rozloendokumentu">
    <w:name w:val="Document Map"/>
    <w:basedOn w:val="Normln"/>
    <w:semiHidden/>
    <w:rsid w:val="007E7BE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7E7BEA"/>
  </w:style>
  <w:style w:type="paragraph" w:styleId="Textbubliny">
    <w:name w:val="Balloon Text"/>
    <w:basedOn w:val="Normln"/>
    <w:semiHidden/>
    <w:rsid w:val="00823F19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3D4E6F"/>
    <w:pPr>
      <w:widowControl w:val="0"/>
      <w:ind w:firstLine="720"/>
      <w:jc w:val="both"/>
    </w:pPr>
    <w:rPr>
      <w:rFonts w:ascii="Tahoma" w:hAnsi="Tahoma"/>
      <w:szCs w:val="20"/>
    </w:rPr>
  </w:style>
  <w:style w:type="paragraph" w:styleId="Odstavecseseznamem">
    <w:name w:val="List Paragraph"/>
    <w:basedOn w:val="Normln"/>
    <w:uiPriority w:val="34"/>
    <w:qFormat/>
    <w:rsid w:val="003D4E6F"/>
    <w:pPr>
      <w:ind w:left="720"/>
      <w:contextualSpacing/>
    </w:pPr>
  </w:style>
  <w:style w:type="character" w:customStyle="1" w:styleId="ZhlavChar">
    <w:name w:val="Záhlaví Char"/>
    <w:link w:val="Zhlav"/>
    <w:rsid w:val="00D1300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F72C86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672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672E8"/>
  </w:style>
  <w:style w:type="character" w:styleId="Znakapoznpodarou">
    <w:name w:val="footnote reference"/>
    <w:uiPriority w:val="99"/>
    <w:unhideWhenUsed/>
    <w:rsid w:val="008672E8"/>
    <w:rPr>
      <w:rFonts w:ascii="Arial" w:eastAsia="Calibri" w:hAnsi="Arial" w:cs="Arial"/>
      <w:color w:val="000000"/>
      <w:sz w:val="22"/>
      <w:szCs w:val="22"/>
      <w:vertAlign w:val="superscript"/>
      <w:lang w:eastAsia="en-US"/>
    </w:rPr>
  </w:style>
  <w:style w:type="character" w:styleId="Odkaznakoment">
    <w:name w:val="annotation reference"/>
    <w:uiPriority w:val="99"/>
    <w:unhideWhenUsed/>
    <w:rsid w:val="00294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4AB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294AB4"/>
    <w:rPr>
      <w:rFonts w:ascii="Calibri" w:eastAsia="Calibri" w:hAnsi="Calibri"/>
      <w:lang w:eastAsia="en-US"/>
    </w:rPr>
  </w:style>
  <w:style w:type="paragraph" w:customStyle="1" w:styleId="detail-odstavec">
    <w:name w:val="detail-odstavec"/>
    <w:basedOn w:val="Normln"/>
    <w:rsid w:val="0046232C"/>
    <w:pPr>
      <w:spacing w:before="100" w:beforeAutospacing="1" w:after="100" w:afterAutospacing="1"/>
    </w:pPr>
  </w:style>
  <w:style w:type="character" w:styleId="Siln">
    <w:name w:val="Strong"/>
    <w:qFormat/>
    <w:rsid w:val="0046232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157CF6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157CF6"/>
    <w:rPr>
      <w:rFonts w:ascii="Calibri" w:eastAsia="Calibri" w:hAnsi="Calibri"/>
      <w:b/>
      <w:bCs/>
      <w:lang w:eastAsia="en-US"/>
    </w:rPr>
  </w:style>
  <w:style w:type="character" w:customStyle="1" w:styleId="Nadpis1Char">
    <w:name w:val="Nadpis 1 Char"/>
    <w:link w:val="Nadpis1"/>
    <w:rsid w:val="00A82B29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579A-5099-49BD-AC01-318D9D31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MMO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wroblowskype</dc:creator>
  <cp:keywords/>
  <cp:lastModifiedBy>Čermáková Lenka</cp:lastModifiedBy>
  <cp:revision>2</cp:revision>
  <cp:lastPrinted>2019-10-02T05:46:00Z</cp:lastPrinted>
  <dcterms:created xsi:type="dcterms:W3CDTF">2024-11-06T12:43:00Z</dcterms:created>
  <dcterms:modified xsi:type="dcterms:W3CDTF">2024-11-06T12:43:00Z</dcterms:modified>
</cp:coreProperties>
</file>