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20" w:rsidRPr="005A42B6" w:rsidRDefault="00654120" w:rsidP="005A42B6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8"/>
          <w:szCs w:val="24"/>
          <w:lang w:eastAsia="zh-CN" w:bidi="hi-IN"/>
        </w:rPr>
      </w:pPr>
      <w:r w:rsidRPr="005A42B6">
        <w:rPr>
          <w:rFonts w:ascii="Cambria" w:eastAsia="DejaVu Sans" w:hAnsi="Cambria" w:cs="Lohit Devanagari"/>
          <w:b/>
          <w:kern w:val="2"/>
          <w:sz w:val="28"/>
          <w:szCs w:val="24"/>
          <w:lang w:eastAsia="zh-CN" w:bidi="hi-IN"/>
        </w:rPr>
        <w:t>Nařízení města Jeseník</w:t>
      </w:r>
      <w:r w:rsidR="005A42B6">
        <w:rPr>
          <w:rFonts w:ascii="Cambria" w:eastAsia="DejaVu Sans" w:hAnsi="Cambria" w:cs="Lohit Devanagari"/>
          <w:b/>
          <w:kern w:val="2"/>
          <w:sz w:val="28"/>
          <w:szCs w:val="24"/>
          <w:lang w:eastAsia="zh-CN" w:bidi="hi-IN"/>
        </w:rPr>
        <w:t>,</w:t>
      </w:r>
    </w:p>
    <w:p w:rsidR="00654120" w:rsidRPr="005A42B6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8"/>
          <w:szCs w:val="24"/>
          <w:lang w:eastAsia="zh-CN" w:bidi="hi-IN"/>
        </w:rPr>
      </w:pPr>
    </w:p>
    <w:p w:rsidR="00654120" w:rsidRPr="005A42B6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8"/>
          <w:szCs w:val="24"/>
          <w:lang w:eastAsia="zh-CN" w:bidi="hi-IN"/>
        </w:rPr>
      </w:pPr>
      <w:r w:rsidRPr="005A42B6">
        <w:rPr>
          <w:rFonts w:ascii="Cambria" w:eastAsia="DejaVu Sans" w:hAnsi="Cambria" w:cs="Lohit Devanagari"/>
          <w:b/>
          <w:kern w:val="2"/>
          <w:sz w:val="28"/>
          <w:szCs w:val="24"/>
          <w:lang w:eastAsia="zh-CN" w:bidi="hi-IN"/>
        </w:rPr>
        <w:t>kterým se vymezují úseky místních komunikací a chodníků, na kterých se pro jejich malý dopravní význam nezajišťuje sjízdnost a schůdnost odstraňováním sněhu a náledí</w:t>
      </w:r>
    </w:p>
    <w:p w:rsidR="00654120" w:rsidRPr="005A42B6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32"/>
          <w:szCs w:val="28"/>
          <w:lang w:eastAsia="zh-CN" w:bidi="hi-IN"/>
        </w:rPr>
      </w:pPr>
    </w:p>
    <w:p w:rsidR="00654120" w:rsidRPr="00654120" w:rsidRDefault="00654120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lang w:eastAsia="zh-CN" w:bidi="hi-IN"/>
        </w:rPr>
      </w:pPr>
    </w:p>
    <w:p w:rsidR="00654120" w:rsidRPr="00654120" w:rsidRDefault="005A42B6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lang w:eastAsia="zh-CN" w:bidi="hi-IN"/>
        </w:rPr>
      </w:pPr>
      <w:r>
        <w:rPr>
          <w:rFonts w:ascii="Cambria" w:eastAsia="DejaVu Sans" w:hAnsi="Cambria" w:cs="Lohit Devanagari"/>
          <w:kern w:val="2"/>
          <w:lang w:eastAsia="zh-CN" w:bidi="hi-IN"/>
        </w:rPr>
        <w:t>Rada města Jeseníku se na svém zasedání dne 30. 10. 2023</w:t>
      </w:r>
      <w:r w:rsidR="00563EEF">
        <w:rPr>
          <w:rFonts w:ascii="Cambria" w:eastAsia="DejaVu Sans" w:hAnsi="Cambria" w:cs="Lohit Devanagari"/>
          <w:kern w:val="2"/>
          <w:lang w:eastAsia="zh-CN" w:bidi="hi-IN"/>
        </w:rPr>
        <w:t xml:space="preserve"> </w:t>
      </w:r>
      <w:r w:rsidR="00654120" w:rsidRPr="00654120">
        <w:rPr>
          <w:rFonts w:ascii="Cambria" w:eastAsia="DejaVu Sans" w:hAnsi="Cambria" w:cs="Lohit Devanagari"/>
          <w:kern w:val="2"/>
          <w:lang w:eastAsia="zh-CN" w:bidi="hi-IN"/>
        </w:rPr>
        <w:t xml:space="preserve"> usnesením č.</w:t>
      </w:r>
      <w:r w:rsidRPr="005A42B6">
        <w:rPr>
          <w:rFonts w:ascii="Arial" w:hAnsi="Arial" w:cs="Arial"/>
          <w:b/>
          <w:bCs/>
          <w:color w:val="444444"/>
          <w:spacing w:val="-3"/>
          <w:sz w:val="20"/>
          <w:szCs w:val="20"/>
          <w:shd w:val="clear" w:color="auto" w:fill="FFFFFF"/>
        </w:rPr>
        <w:t xml:space="preserve"> </w:t>
      </w:r>
      <w:r w:rsidRPr="005A42B6">
        <w:rPr>
          <w:rStyle w:val="Siln"/>
          <w:rFonts w:ascii="Cambria" w:hAnsi="Cambria" w:cs="Arial"/>
          <w:b w:val="0"/>
          <w:bCs w:val="0"/>
          <w:spacing w:val="-3"/>
          <w:szCs w:val="20"/>
          <w:shd w:val="clear" w:color="auto" w:fill="FFFFFF"/>
        </w:rPr>
        <w:t>UR-816-34/23</w:t>
      </w:r>
      <w:r w:rsidR="00654120" w:rsidRPr="005A42B6">
        <w:rPr>
          <w:rFonts w:ascii="Cambria" w:eastAsia="DejaVu Sans" w:hAnsi="Cambria" w:cs="Lohit Devanagari"/>
          <w:kern w:val="2"/>
          <w:sz w:val="24"/>
          <w:lang w:eastAsia="zh-CN" w:bidi="hi-IN"/>
        </w:rPr>
        <w:t xml:space="preserve">  </w:t>
      </w:r>
      <w:r w:rsidR="00654120" w:rsidRPr="00654120">
        <w:rPr>
          <w:rFonts w:ascii="Cambria" w:eastAsia="DejaVu Sans" w:hAnsi="Cambria" w:cs="Lohit Devanagari"/>
          <w:kern w:val="2"/>
          <w:lang w:eastAsia="zh-CN" w:bidi="hi-IN"/>
        </w:rPr>
        <w:t xml:space="preserve">usnesla vydat na základě ustanovení § 27 odst. 5 zákona č. 13/1997 Sb., o pozemních komunikacích, ve znění pozdějších předpisů, a v souladu s ustanovením § 11 odst. 1 a § 102 odst. 2 písm. d) zákona č. 128/2000 Sb., o obcích (obecní zřízení), ve znění pozdějších předpisů, toto nařízení: </w:t>
      </w:r>
    </w:p>
    <w:p w:rsidR="00654120" w:rsidRPr="00654120" w:rsidRDefault="00654120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sz w:val="24"/>
          <w:szCs w:val="24"/>
          <w:lang w:eastAsia="zh-CN" w:bidi="hi-IN"/>
        </w:rPr>
      </w:pP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  <w:t>Čl. 1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  <w:t>Vymezení úseků místních komunikací a zimního období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</w:p>
    <w:p w:rsidR="00654120" w:rsidRPr="00654120" w:rsidRDefault="00654120" w:rsidP="006541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DejaVu Sans" w:hAnsi="Cambria" w:cs="Mangal"/>
          <w:kern w:val="2"/>
          <w:lang w:eastAsia="zh-CN" w:bidi="hi-IN"/>
        </w:rPr>
      </w:pPr>
      <w:r w:rsidRPr="00654120">
        <w:rPr>
          <w:rFonts w:ascii="Cambria" w:eastAsia="DejaVu Sans" w:hAnsi="Cambria" w:cs="Mangal"/>
          <w:kern w:val="2"/>
          <w:lang w:eastAsia="zh-CN" w:bidi="hi-IN"/>
        </w:rPr>
        <w:t xml:space="preserve">Úseky místních komunikací a chodníků, na kterých se pro jejich malý dopravní význam nezajišťuje sjízdnost a schůdnost odstraňováním sněhu a náledí, jsou uvedeny v seznamu, který tvoří přílohu  tomuto nařízení. </w:t>
      </w:r>
    </w:p>
    <w:p w:rsidR="00654120" w:rsidRPr="00654120" w:rsidRDefault="00654120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lang w:eastAsia="zh-CN" w:bidi="hi-IN"/>
        </w:rPr>
      </w:pPr>
    </w:p>
    <w:p w:rsidR="00654120" w:rsidRPr="00654120" w:rsidRDefault="00654120" w:rsidP="006541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DejaVu Sans" w:hAnsi="Cambria" w:cs="Mangal"/>
          <w:kern w:val="2"/>
          <w:lang w:eastAsia="zh-CN" w:bidi="hi-IN"/>
        </w:rPr>
      </w:pPr>
      <w:r w:rsidRPr="00654120">
        <w:rPr>
          <w:rFonts w:ascii="Cambria" w:eastAsia="DejaVu Sans" w:hAnsi="Cambria" w:cs="Mangal"/>
          <w:kern w:val="2"/>
          <w:lang w:eastAsia="zh-CN" w:bidi="hi-IN"/>
        </w:rPr>
        <w:t xml:space="preserve">Schůdnost a sjízdnost se na úsecích místních komunikací a chodníků vymezených v příloze k tomuto nařízení, nezajišťuje v zimním období od 1. listopadu kalendářního roku do 31. března nejblíže následujícího kalendářního roku. </w:t>
      </w:r>
    </w:p>
    <w:p w:rsidR="00654120" w:rsidRPr="00654120" w:rsidRDefault="00654120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lang w:eastAsia="zh-CN" w:bidi="hi-IN"/>
        </w:rPr>
      </w:pP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  <w:t>Čl. 2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  <w:t>Zrušovací ustanovení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</w:p>
    <w:p w:rsidR="00654120" w:rsidRPr="00654120" w:rsidRDefault="00654120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lang w:eastAsia="zh-CN" w:bidi="hi-IN"/>
        </w:rPr>
      </w:pPr>
      <w:r w:rsidRPr="00654120">
        <w:rPr>
          <w:rFonts w:ascii="Cambria" w:eastAsia="DejaVu Sans" w:hAnsi="Cambria" w:cs="Lohit Devanagari"/>
          <w:kern w:val="2"/>
          <w:lang w:eastAsia="zh-CN" w:bidi="hi-IN"/>
        </w:rPr>
        <w:t xml:space="preserve">Tímto nařízením se zrušuje nařízení č. 3/2018, kterým se vymezují úseky místních komunikací, na kterých se pro jejich malý dopravní význam nezajišťuje sjízdnost a schůdnost odstraňováním sněhu a náledí. 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  <w:t>Čl. 3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  <w:t>Účinnost</w:t>
      </w:r>
    </w:p>
    <w:p w:rsidR="00654120" w:rsidRPr="00654120" w:rsidRDefault="00654120" w:rsidP="00654120">
      <w:pPr>
        <w:spacing w:after="0" w:line="240" w:lineRule="auto"/>
        <w:jc w:val="center"/>
        <w:rPr>
          <w:rFonts w:ascii="Cambria" w:eastAsia="DejaVu Sans" w:hAnsi="Cambria" w:cs="Lohit Devanagari"/>
          <w:b/>
          <w:kern w:val="2"/>
          <w:sz w:val="24"/>
          <w:szCs w:val="24"/>
          <w:lang w:eastAsia="zh-CN" w:bidi="hi-IN"/>
        </w:rPr>
      </w:pPr>
    </w:p>
    <w:p w:rsidR="00654120" w:rsidRPr="00654120" w:rsidRDefault="00654120" w:rsidP="00654120">
      <w:pPr>
        <w:spacing w:after="0" w:line="240" w:lineRule="auto"/>
        <w:jc w:val="both"/>
        <w:rPr>
          <w:rFonts w:ascii="Cambria" w:eastAsia="DejaVu Sans" w:hAnsi="Cambria" w:cs="Lohit Devanagari"/>
          <w:kern w:val="2"/>
          <w:sz w:val="24"/>
          <w:szCs w:val="24"/>
          <w:lang w:eastAsia="zh-CN" w:bidi="hi-IN"/>
        </w:rPr>
      </w:pPr>
      <w:r w:rsidRPr="00654120">
        <w:rPr>
          <w:rFonts w:ascii="Cambria" w:eastAsia="DejaVu Sans" w:hAnsi="Cambria" w:cs="Lohit Devanagari"/>
          <w:kern w:val="2"/>
          <w:lang w:eastAsia="zh-CN" w:bidi="hi-IN"/>
        </w:rPr>
        <w:t>Toto nařízení nabývá účinnosti počátkem patnáctého dne následujícího po dni jeho vyhlášení</w:t>
      </w:r>
      <w:r w:rsidRPr="00654120">
        <w:rPr>
          <w:rFonts w:ascii="Cambria" w:eastAsia="DejaVu Sans" w:hAnsi="Cambria" w:cs="Lohit Devanagari"/>
          <w:kern w:val="2"/>
          <w:sz w:val="24"/>
          <w:szCs w:val="24"/>
          <w:lang w:eastAsia="zh-CN" w:bidi="hi-IN"/>
        </w:rPr>
        <w:t xml:space="preserve">.  </w:t>
      </w:r>
    </w:p>
    <w:p w:rsidR="00654120" w:rsidRPr="00654120" w:rsidRDefault="00654120" w:rsidP="00654120">
      <w:pPr>
        <w:spacing w:after="0" w:line="240" w:lineRule="auto"/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654120" w:rsidRDefault="00654120" w:rsidP="00654120">
      <w:pPr>
        <w:spacing w:after="0" w:line="240" w:lineRule="auto"/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B5321A" w:rsidRDefault="00B5321A" w:rsidP="00654120">
      <w:pPr>
        <w:spacing w:after="0" w:line="240" w:lineRule="auto"/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B5321A" w:rsidRDefault="00B5321A" w:rsidP="00654120">
      <w:pPr>
        <w:spacing w:after="0" w:line="240" w:lineRule="auto"/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5A42B6" w:rsidRPr="00654120" w:rsidRDefault="005A42B6" w:rsidP="00654120">
      <w:pPr>
        <w:spacing w:after="0" w:line="240" w:lineRule="auto"/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654120" w:rsidRPr="00654120" w:rsidRDefault="00654120" w:rsidP="00654120">
      <w:pPr>
        <w:tabs>
          <w:tab w:val="center" w:pos="1134"/>
          <w:tab w:val="center" w:pos="7371"/>
        </w:tabs>
        <w:spacing w:after="120" w:line="240" w:lineRule="auto"/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</w:pPr>
      <w:r w:rsidRPr="006541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>………………………………………………</w:t>
      </w:r>
      <w:r w:rsidRPr="006541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ab/>
        <w:t>………………………………………………</w:t>
      </w:r>
    </w:p>
    <w:p w:rsidR="00654120" w:rsidRPr="00654120" w:rsidRDefault="00654120" w:rsidP="00654120">
      <w:pPr>
        <w:tabs>
          <w:tab w:val="center" w:pos="1134"/>
          <w:tab w:val="center" w:pos="7371"/>
        </w:tabs>
        <w:spacing w:after="120" w:line="240" w:lineRule="auto"/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</w:pPr>
      <w:r w:rsidRPr="006541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ab/>
      </w:r>
      <w:r w:rsidR="005A42B6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 xml:space="preserve">Mgr. Bc. Zdeňka </w:t>
      </w:r>
      <w:proofErr w:type="spellStart"/>
      <w:r w:rsidR="005A42B6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>Blišťanová</w:t>
      </w:r>
      <w:proofErr w:type="spellEnd"/>
      <w:r w:rsidR="00D144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>, v. r.</w:t>
      </w:r>
      <w:r w:rsidR="005A42B6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ab/>
        <w:t>Ing. Václav Urban</w:t>
      </w:r>
      <w:r w:rsidR="00D144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>, v. r.</w:t>
      </w:r>
      <w:bookmarkStart w:id="0" w:name="_GoBack"/>
      <w:bookmarkEnd w:id="0"/>
    </w:p>
    <w:p w:rsidR="00654120" w:rsidRPr="00654120" w:rsidRDefault="00654120" w:rsidP="00654120">
      <w:pPr>
        <w:tabs>
          <w:tab w:val="center" w:pos="1134"/>
          <w:tab w:val="center" w:pos="7371"/>
        </w:tabs>
        <w:spacing w:after="120" w:line="240" w:lineRule="auto"/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</w:pPr>
      <w:r w:rsidRPr="006541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ab/>
        <w:t>starostka</w:t>
      </w:r>
      <w:r w:rsidRPr="006541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ab/>
        <w:t>místostarosta</w:t>
      </w:r>
      <w:r w:rsidRPr="00654120">
        <w:rPr>
          <w:rFonts w:ascii="Cambria" w:eastAsia="Times New Roman" w:hAnsi="Cambria" w:cs="Arial"/>
          <w:kern w:val="2"/>
          <w:sz w:val="24"/>
          <w:szCs w:val="24"/>
          <w:lang w:eastAsia="cs-CZ" w:bidi="hi-IN"/>
        </w:rPr>
        <w:tab/>
      </w:r>
    </w:p>
    <w:p w:rsidR="00654120" w:rsidRPr="00654120" w:rsidRDefault="00654120" w:rsidP="00654120">
      <w:pPr>
        <w:spacing w:after="0" w:line="240" w:lineRule="auto"/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654120" w:rsidRDefault="00654120" w:rsidP="00F260CB">
      <w:pPr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5A42B6" w:rsidRDefault="005A42B6" w:rsidP="00F260CB">
      <w:pPr>
        <w:jc w:val="both"/>
        <w:rPr>
          <w:rFonts w:ascii="Liberation Serif" w:eastAsia="DejaVu Sans" w:hAnsi="Liberation Serif" w:cs="Lohit Devanagari"/>
          <w:kern w:val="2"/>
          <w:sz w:val="24"/>
          <w:szCs w:val="24"/>
          <w:lang w:eastAsia="zh-CN" w:bidi="hi-IN"/>
        </w:rPr>
      </w:pPr>
    </w:p>
    <w:p w:rsidR="00B5321A" w:rsidRDefault="00B5321A" w:rsidP="00F260CB">
      <w:pPr>
        <w:jc w:val="both"/>
      </w:pPr>
    </w:p>
    <w:p w:rsidR="00E64FCC" w:rsidRPr="00654120" w:rsidRDefault="00654120" w:rsidP="00F260CB">
      <w:pPr>
        <w:jc w:val="both"/>
        <w:rPr>
          <w:rFonts w:ascii="Cambria" w:hAnsi="Cambria"/>
          <w:b/>
          <w:sz w:val="24"/>
          <w:szCs w:val="24"/>
        </w:rPr>
      </w:pPr>
      <w:r w:rsidRPr="00654120">
        <w:rPr>
          <w:rFonts w:ascii="Cambria" w:hAnsi="Cambria"/>
          <w:b/>
          <w:sz w:val="24"/>
          <w:szCs w:val="24"/>
        </w:rPr>
        <w:t>P</w:t>
      </w:r>
      <w:r w:rsidR="00E64FCC" w:rsidRPr="00654120">
        <w:rPr>
          <w:rFonts w:ascii="Cambria" w:hAnsi="Cambria"/>
          <w:b/>
          <w:sz w:val="24"/>
          <w:szCs w:val="24"/>
        </w:rPr>
        <w:t>říloha</w:t>
      </w:r>
    </w:p>
    <w:p w:rsidR="00F260CB" w:rsidRPr="00654120" w:rsidRDefault="00F260CB" w:rsidP="00F260CB">
      <w:pPr>
        <w:jc w:val="both"/>
        <w:rPr>
          <w:rFonts w:ascii="Cambria" w:hAnsi="Cambria"/>
        </w:rPr>
      </w:pPr>
      <w:r w:rsidRPr="00654120">
        <w:rPr>
          <w:rFonts w:ascii="Cambria" w:hAnsi="Cambria"/>
        </w:rPr>
        <w:t>Úseky místních komunikací</w:t>
      </w:r>
      <w:r w:rsidR="00E64FCC" w:rsidRPr="00654120">
        <w:rPr>
          <w:rFonts w:ascii="Cambria" w:hAnsi="Cambria"/>
        </w:rPr>
        <w:t xml:space="preserve"> a chodníků</w:t>
      </w:r>
      <w:r w:rsidRPr="00654120">
        <w:rPr>
          <w:rFonts w:ascii="Cambria" w:hAnsi="Cambria"/>
        </w:rPr>
        <w:t xml:space="preserve">, na kterých se pro jejich malý dopravní význam nezajišťuje sjízdnost a schůdnost odstraňováním sněhu a náledí: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71739" w:rsidRPr="00654120" w:rsidTr="00654120">
        <w:trPr>
          <w:trHeight w:val="371"/>
        </w:trPr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  <w:b/>
              </w:rPr>
            </w:pPr>
            <w:r w:rsidRPr="00654120">
              <w:rPr>
                <w:rFonts w:ascii="Cambria" w:hAnsi="Cambria"/>
                <w:b/>
              </w:rPr>
              <w:t xml:space="preserve">Místní komunikace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  <w:b/>
              </w:rPr>
            </w:pPr>
            <w:r w:rsidRPr="00654120">
              <w:rPr>
                <w:rFonts w:ascii="Cambria" w:hAnsi="Cambria"/>
                <w:b/>
              </w:rPr>
              <w:t>Stručný popis vymezující úsek místní komunikace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Tyršova </w:t>
            </w:r>
          </w:p>
        </w:tc>
        <w:tc>
          <w:tcPr>
            <w:tcW w:w="5948" w:type="dxa"/>
          </w:tcPr>
          <w:p w:rsidR="00871739" w:rsidRPr="00654120" w:rsidRDefault="00871739" w:rsidP="00FB5238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schody od</w:t>
            </w:r>
            <w:r w:rsidR="00FB5238" w:rsidRPr="00654120">
              <w:rPr>
                <w:rFonts w:ascii="Cambria" w:hAnsi="Cambria"/>
              </w:rPr>
              <w:t xml:space="preserve"> objektu Mateřské školy </w:t>
            </w:r>
            <w:proofErr w:type="gramStart"/>
            <w:r w:rsidR="00FB5238" w:rsidRPr="00654120">
              <w:rPr>
                <w:rFonts w:ascii="Cambria" w:hAnsi="Cambria"/>
              </w:rPr>
              <w:t>č.p.</w:t>
            </w:r>
            <w:proofErr w:type="gramEnd"/>
            <w:r w:rsidR="00FB5238" w:rsidRPr="00654120">
              <w:rPr>
                <w:rFonts w:ascii="Cambria" w:hAnsi="Cambria"/>
              </w:rPr>
              <w:t xml:space="preserve"> 307</w:t>
            </w:r>
            <w:r w:rsidRPr="00654120">
              <w:rPr>
                <w:rFonts w:ascii="Cambria" w:hAnsi="Cambria"/>
              </w:rPr>
              <w:t xml:space="preserve"> k nádraží ČD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Havlíčkova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schody po ulici Na Stráni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Smetanovy sady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Rudná svah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č. p. 383 – 385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Kaplického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48" w:type="dxa"/>
          </w:tcPr>
          <w:p w:rsidR="00871739" w:rsidRPr="00654120" w:rsidRDefault="00871739" w:rsidP="00FB5238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schody z Kalvodovy ulice od </w:t>
            </w:r>
            <w:proofErr w:type="gramStart"/>
            <w:r w:rsidR="00FB5238" w:rsidRPr="00654120">
              <w:rPr>
                <w:rFonts w:ascii="Cambria" w:hAnsi="Cambria"/>
              </w:rPr>
              <w:t>č.p.</w:t>
            </w:r>
            <w:proofErr w:type="gramEnd"/>
            <w:r w:rsidR="00FB5238" w:rsidRPr="00654120">
              <w:rPr>
                <w:rFonts w:ascii="Cambria" w:hAnsi="Cambria"/>
              </w:rPr>
              <w:t xml:space="preserve"> 315 </w:t>
            </w:r>
            <w:r w:rsidRPr="00654120">
              <w:rPr>
                <w:rFonts w:ascii="Cambria" w:hAnsi="Cambria"/>
              </w:rPr>
              <w:t xml:space="preserve">po </w:t>
            </w:r>
            <w:proofErr w:type="spellStart"/>
            <w:r w:rsidRPr="00654120">
              <w:rPr>
                <w:rFonts w:ascii="Cambria" w:hAnsi="Cambria"/>
              </w:rPr>
              <w:t>Priessnitzovu</w:t>
            </w:r>
            <w:proofErr w:type="spellEnd"/>
            <w:r w:rsidRPr="00654120">
              <w:rPr>
                <w:rFonts w:ascii="Cambria" w:hAnsi="Cambria"/>
              </w:rPr>
              <w:t xml:space="preserve"> ulici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Růžová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 regulační stanici RWE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proofErr w:type="spellStart"/>
            <w:r w:rsidRPr="00654120">
              <w:rPr>
                <w:rFonts w:ascii="Cambria" w:hAnsi="Cambria"/>
              </w:rPr>
              <w:t>Rejvízská</w:t>
            </w:r>
            <w:proofErr w:type="spellEnd"/>
            <w:r w:rsidRPr="00654120"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 č. p. 113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K Vodě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 č. p. 3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Kalvodova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 č. p. 181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proofErr w:type="spellStart"/>
            <w:r w:rsidRPr="00654120">
              <w:rPr>
                <w:rFonts w:ascii="Cambria" w:hAnsi="Cambria"/>
              </w:rPr>
              <w:t>Rejvízská</w:t>
            </w:r>
            <w:proofErr w:type="spellEnd"/>
            <w:r w:rsidRPr="00654120"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</w:tcPr>
          <w:p w:rsidR="00871739" w:rsidRPr="00654120" w:rsidRDefault="00871739" w:rsidP="00FB5238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od č. p. 3 po </w:t>
            </w:r>
            <w:proofErr w:type="gramStart"/>
            <w:r w:rsidR="00FB5238" w:rsidRPr="00654120">
              <w:rPr>
                <w:rFonts w:ascii="Cambria" w:hAnsi="Cambria"/>
              </w:rPr>
              <w:t>č.p.</w:t>
            </w:r>
            <w:proofErr w:type="gramEnd"/>
            <w:r w:rsidR="00FB5238" w:rsidRPr="00654120">
              <w:rPr>
                <w:rFonts w:ascii="Cambria" w:hAnsi="Cambria"/>
              </w:rPr>
              <w:t xml:space="preserve"> 17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proofErr w:type="spellStart"/>
            <w:r w:rsidRPr="00654120">
              <w:rPr>
                <w:rFonts w:ascii="Cambria" w:hAnsi="Cambria"/>
              </w:rPr>
              <w:t>Rejvízská</w:t>
            </w:r>
            <w:proofErr w:type="spellEnd"/>
            <w:r w:rsidRPr="00654120"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 č. p. 27, 28, 42 – ke kapličce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Za Pilou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úsek od poslední křižovatky před vjezdem do lesa ke kapličce Křížový vrch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spojka pěšina Havlíčkova – Nábřežní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Nerudova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Zlatá stezka chodníky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Rudná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chodníky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Nám. Hrdinů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chodníky uvnitř parku</w:t>
            </w: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</w:p>
        </w:tc>
      </w:tr>
      <w:tr w:rsidR="00871739" w:rsidRPr="00654120" w:rsidTr="00654120">
        <w:tc>
          <w:tcPr>
            <w:tcW w:w="3114" w:type="dxa"/>
          </w:tcPr>
          <w:p w:rsidR="00871739" w:rsidRPr="00654120" w:rsidRDefault="00871739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Jaroslava Ježka </w:t>
            </w:r>
          </w:p>
        </w:tc>
        <w:tc>
          <w:tcPr>
            <w:tcW w:w="5948" w:type="dxa"/>
          </w:tcPr>
          <w:p w:rsidR="00871739" w:rsidRPr="00654120" w:rsidRDefault="00871739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chodníky okolo okrasného rybníčku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Průchodní </w:t>
            </w:r>
          </w:p>
        </w:tc>
        <w:tc>
          <w:tcPr>
            <w:tcW w:w="5948" w:type="dxa"/>
          </w:tcPr>
          <w:p w:rsidR="00E8166A" w:rsidRPr="00654120" w:rsidRDefault="00E8166A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 k zadním vchodům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Poštovní, </w:t>
            </w:r>
            <w:proofErr w:type="spellStart"/>
            <w:r w:rsidRPr="00654120">
              <w:rPr>
                <w:rFonts w:ascii="Cambria" w:hAnsi="Cambria"/>
              </w:rPr>
              <w:t>Dittersdorfova</w:t>
            </w:r>
            <w:proofErr w:type="spellEnd"/>
            <w:r w:rsidRPr="00654120">
              <w:rPr>
                <w:rFonts w:ascii="Cambria" w:hAnsi="Cambria"/>
              </w:rPr>
              <w:t xml:space="preserve"> </w:t>
            </w:r>
          </w:p>
        </w:tc>
        <w:tc>
          <w:tcPr>
            <w:tcW w:w="5948" w:type="dxa"/>
          </w:tcPr>
          <w:p w:rsidR="00E8166A" w:rsidRPr="00654120" w:rsidRDefault="00E8166A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 okolo klášterní zdi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Sládkova </w:t>
            </w:r>
          </w:p>
        </w:tc>
        <w:tc>
          <w:tcPr>
            <w:tcW w:w="5948" w:type="dxa"/>
          </w:tcPr>
          <w:p w:rsidR="00E8166A" w:rsidRPr="00654120" w:rsidRDefault="00E8166A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schody, chodníky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Seifertova </w:t>
            </w:r>
          </w:p>
        </w:tc>
        <w:tc>
          <w:tcPr>
            <w:tcW w:w="5948" w:type="dxa"/>
          </w:tcPr>
          <w:p w:rsidR="00E8166A" w:rsidRPr="00654120" w:rsidRDefault="00E8166A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chodníky č. p. 1124, 1094, 1095, 719 – 721</w:t>
            </w:r>
          </w:p>
        </w:tc>
      </w:tr>
      <w:tr w:rsidR="00E8166A" w:rsidRPr="00654120" w:rsidTr="00654120">
        <w:trPr>
          <w:trHeight w:val="400"/>
        </w:trPr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Krameriova</w:t>
            </w:r>
          </w:p>
        </w:tc>
        <w:tc>
          <w:tcPr>
            <w:tcW w:w="5948" w:type="dxa"/>
          </w:tcPr>
          <w:p w:rsidR="00E8166A" w:rsidRPr="00654120" w:rsidRDefault="00E8166A" w:rsidP="00654120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chodníky v celé délce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Kříž</w:t>
            </w:r>
            <w:r w:rsidR="00275B2C" w:rsidRPr="00654120">
              <w:rPr>
                <w:rFonts w:ascii="Cambria" w:hAnsi="Cambria"/>
              </w:rPr>
              <w:t>k</w:t>
            </w:r>
            <w:r w:rsidRPr="00654120">
              <w:rPr>
                <w:rFonts w:ascii="Cambria" w:hAnsi="Cambria"/>
              </w:rPr>
              <w:t xml:space="preserve">ovského </w:t>
            </w:r>
          </w:p>
        </w:tc>
        <w:tc>
          <w:tcPr>
            <w:tcW w:w="5948" w:type="dxa"/>
          </w:tcPr>
          <w:p w:rsidR="00E8166A" w:rsidRPr="00654120" w:rsidRDefault="00E8166A" w:rsidP="00654120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č. p. 809 – 813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Šumperská</w:t>
            </w:r>
          </w:p>
        </w:tc>
        <w:tc>
          <w:tcPr>
            <w:tcW w:w="5948" w:type="dxa"/>
          </w:tcPr>
          <w:p w:rsidR="00E8166A" w:rsidRPr="00654120" w:rsidRDefault="00E8166A" w:rsidP="004140EE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 xml:space="preserve">chodník od </w:t>
            </w:r>
            <w:r w:rsidR="00FB5238" w:rsidRPr="00654120">
              <w:rPr>
                <w:rFonts w:ascii="Cambria" w:hAnsi="Cambria"/>
              </w:rPr>
              <w:t xml:space="preserve">objektu Správy </w:t>
            </w:r>
            <w:r w:rsidRPr="00654120">
              <w:rPr>
                <w:rFonts w:ascii="Cambria" w:hAnsi="Cambria"/>
              </w:rPr>
              <w:t>CHKO</w:t>
            </w:r>
            <w:r w:rsidR="00FB5238" w:rsidRPr="00654120">
              <w:rPr>
                <w:rFonts w:ascii="Cambria" w:hAnsi="Cambria"/>
              </w:rPr>
              <w:t xml:space="preserve"> </w:t>
            </w:r>
            <w:r w:rsidRPr="00654120">
              <w:rPr>
                <w:rFonts w:ascii="Cambria" w:hAnsi="Cambria"/>
              </w:rPr>
              <w:t>J</w:t>
            </w:r>
            <w:r w:rsidR="00FB5238" w:rsidRPr="00654120">
              <w:rPr>
                <w:rFonts w:ascii="Cambria" w:hAnsi="Cambria"/>
              </w:rPr>
              <w:t xml:space="preserve">eseníky </w:t>
            </w:r>
            <w:proofErr w:type="gramStart"/>
            <w:r w:rsidR="00FB5238" w:rsidRPr="00654120">
              <w:rPr>
                <w:rFonts w:ascii="Cambria" w:hAnsi="Cambria"/>
              </w:rPr>
              <w:t>č.p.</w:t>
            </w:r>
            <w:proofErr w:type="gramEnd"/>
            <w:r w:rsidR="00FB5238" w:rsidRPr="00654120">
              <w:rPr>
                <w:rFonts w:ascii="Cambria" w:hAnsi="Cambria"/>
              </w:rPr>
              <w:t xml:space="preserve"> 93 </w:t>
            </w:r>
            <w:r w:rsidRPr="00654120">
              <w:rPr>
                <w:rFonts w:ascii="Cambria" w:hAnsi="Cambria"/>
              </w:rPr>
              <w:t xml:space="preserve"> po č. p. 25</w:t>
            </w:r>
          </w:p>
        </w:tc>
      </w:tr>
      <w:tr w:rsidR="00E8166A" w:rsidRPr="00654120" w:rsidTr="00654120">
        <w:tc>
          <w:tcPr>
            <w:tcW w:w="3114" w:type="dxa"/>
          </w:tcPr>
          <w:p w:rsidR="00E8166A" w:rsidRPr="00654120" w:rsidRDefault="00E8166A" w:rsidP="00871739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Za Podjezdem</w:t>
            </w:r>
          </w:p>
        </w:tc>
        <w:tc>
          <w:tcPr>
            <w:tcW w:w="5948" w:type="dxa"/>
          </w:tcPr>
          <w:p w:rsidR="00E8166A" w:rsidRPr="00654120" w:rsidRDefault="00E8166A" w:rsidP="00654120">
            <w:pPr>
              <w:jc w:val="both"/>
              <w:rPr>
                <w:rFonts w:ascii="Cambria" w:hAnsi="Cambria"/>
              </w:rPr>
            </w:pPr>
            <w:r w:rsidRPr="00654120">
              <w:rPr>
                <w:rFonts w:ascii="Cambria" w:hAnsi="Cambria"/>
              </w:rPr>
              <w:t>chodníky</w:t>
            </w:r>
          </w:p>
        </w:tc>
      </w:tr>
    </w:tbl>
    <w:p w:rsidR="00E8166A" w:rsidRPr="00654120" w:rsidRDefault="00E8166A" w:rsidP="00F260CB">
      <w:pPr>
        <w:jc w:val="both"/>
        <w:rPr>
          <w:rFonts w:ascii="Cambria" w:hAnsi="Cambria"/>
        </w:rPr>
      </w:pPr>
    </w:p>
    <w:p w:rsidR="00331763" w:rsidRPr="00654120" w:rsidRDefault="00F260CB" w:rsidP="00F260CB">
      <w:pPr>
        <w:jc w:val="both"/>
        <w:rPr>
          <w:rFonts w:ascii="Cambria" w:hAnsi="Cambria"/>
        </w:rPr>
      </w:pPr>
      <w:r w:rsidRPr="00654120">
        <w:rPr>
          <w:rFonts w:ascii="Cambria" w:hAnsi="Cambria"/>
        </w:rPr>
        <w:t>Do kategorie neudržovaných místních komunikací se řadí rovněž veškerá napojení spojující místní komunikace (udržované i neudržované) se sousedními nemovitosti, a to i v případě, že tyto sousední nemovitosti budou ve vlastnictví města Jeseníku. Udržovány v tomto smyslu nebudou žádná napojení, bez ohledu na to, zda se jedná o „přední“ či „zadní“ vchod</w:t>
      </w:r>
      <w:r w:rsidR="00E8166A" w:rsidRPr="00654120">
        <w:rPr>
          <w:rFonts w:ascii="Cambria" w:hAnsi="Cambria"/>
        </w:rPr>
        <w:t>.</w:t>
      </w:r>
    </w:p>
    <w:sectPr w:rsidR="00331763" w:rsidRPr="00654120" w:rsidSect="002F24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82" w:rsidRDefault="00EB0082" w:rsidP="005A42B6">
      <w:pPr>
        <w:spacing w:after="0" w:line="240" w:lineRule="auto"/>
      </w:pPr>
      <w:r>
        <w:separator/>
      </w:r>
    </w:p>
  </w:endnote>
  <w:endnote w:type="continuationSeparator" w:id="0">
    <w:p w:rsidR="00EB0082" w:rsidRDefault="00EB0082" w:rsidP="005A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82" w:rsidRDefault="00EB0082" w:rsidP="005A42B6">
      <w:pPr>
        <w:spacing w:after="0" w:line="240" w:lineRule="auto"/>
      </w:pPr>
      <w:r>
        <w:separator/>
      </w:r>
    </w:p>
  </w:footnote>
  <w:footnote w:type="continuationSeparator" w:id="0">
    <w:p w:rsidR="00EB0082" w:rsidRDefault="00EB0082" w:rsidP="005A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B6" w:rsidRPr="0080063E" w:rsidRDefault="005A42B6" w:rsidP="005A42B6">
    <w:pPr>
      <w:pStyle w:val="Zhlav"/>
      <w:rPr>
        <w:rFonts w:ascii="Cambria" w:eastAsia="DejaVu Sans" w:hAnsi="Cambria" w:cs="Lohit Devanagari"/>
        <w:b/>
        <w:sz w:val="32"/>
        <w:szCs w:val="32"/>
      </w:rPr>
    </w:pPr>
    <w:r>
      <w:tab/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12B8AA" wp14:editId="1643107A">
          <wp:simplePos x="0" y="0"/>
          <wp:positionH relativeFrom="column">
            <wp:posOffset>-38100</wp:posOffset>
          </wp:positionH>
          <wp:positionV relativeFrom="paragraph">
            <wp:posOffset>-227330</wp:posOffset>
          </wp:positionV>
          <wp:extent cx="708660" cy="876300"/>
          <wp:effectExtent l="0" t="0" r="0" b="0"/>
          <wp:wrapTight wrapText="bothSides">
            <wp:wrapPolygon edited="0">
              <wp:start x="0" y="0"/>
              <wp:lineTo x="0" y="17843"/>
              <wp:lineTo x="5806" y="21130"/>
              <wp:lineTo x="15097" y="21130"/>
              <wp:lineTo x="20903" y="17843"/>
              <wp:lineTo x="20903" y="0"/>
              <wp:lineTo x="0" y="0"/>
            </wp:wrapPolygon>
          </wp:wrapTight>
          <wp:docPr id="3" name="Obrázek 3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DejaVu Sans" w:hAnsi="Cambria" w:cs="Lohit Devanagari"/>
        <w:b/>
        <w:sz w:val="32"/>
        <w:szCs w:val="32"/>
      </w:rPr>
      <w:t>MĚSTO JESENÍK</w:t>
    </w:r>
  </w:p>
  <w:p w:rsidR="005A42B6" w:rsidRPr="00293D6F" w:rsidRDefault="005A42B6" w:rsidP="005A42B6">
    <w:pPr>
      <w:pStyle w:val="Zhlav"/>
      <w:spacing w:after="120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ab/>
      <w:t xml:space="preserve">RADA </w:t>
    </w:r>
    <w:r w:rsidRPr="001A13B5">
      <w:rPr>
        <w:rFonts w:ascii="Cambria" w:hAnsi="Cambria"/>
        <w:b/>
        <w:bCs/>
        <w:sz w:val="32"/>
        <w:szCs w:val="32"/>
      </w:rPr>
      <w:t>MĚST</w:t>
    </w:r>
    <w:r>
      <w:rPr>
        <w:rFonts w:ascii="Cambria" w:hAnsi="Cambria"/>
        <w:b/>
        <w:bCs/>
        <w:sz w:val="32"/>
        <w:szCs w:val="32"/>
      </w:rPr>
      <w:t xml:space="preserve">A </w:t>
    </w:r>
    <w:r w:rsidRPr="001A13B5">
      <w:rPr>
        <w:rFonts w:ascii="Cambria" w:hAnsi="Cambria"/>
        <w:b/>
        <w:bCs/>
        <w:sz w:val="32"/>
        <w:szCs w:val="32"/>
      </w:rPr>
      <w:t>JESENÍK</w:t>
    </w:r>
  </w:p>
  <w:p w:rsidR="005A42B6" w:rsidRPr="00293D6F" w:rsidRDefault="005A42B6" w:rsidP="005A42B6">
    <w:pPr>
      <w:pStyle w:val="Zhlav"/>
      <w:rPr>
        <w:rFonts w:ascii="Cambria" w:hAnsi="Cambria"/>
        <w:b/>
        <w:bCs/>
        <w:sz w:val="32"/>
        <w:szCs w:val="32"/>
      </w:rPr>
    </w:pPr>
    <w:r>
      <w:rPr>
        <w:rFonts w:ascii="Cambria" w:eastAsia="DejaVu Sans" w:hAnsi="Cambria" w:cs="Lohit Devanagari"/>
      </w:rPr>
      <w:t xml:space="preserve">                 </w:t>
    </w:r>
  </w:p>
  <w:p w:rsidR="005A42B6" w:rsidRPr="005D5F63" w:rsidRDefault="005A42B6" w:rsidP="005A42B6">
    <w:pPr>
      <w:pStyle w:val="Zhlav"/>
      <w:pBdr>
        <w:bottom w:val="single" w:sz="12" w:space="1" w:color="auto"/>
      </w:pBdr>
      <w:spacing w:after="120"/>
      <w:rPr>
        <w:rFonts w:ascii="Cambria" w:hAnsi="Cambria"/>
        <w:b/>
        <w:bCs/>
        <w:sz w:val="32"/>
        <w:szCs w:val="32"/>
      </w:rPr>
    </w:pPr>
  </w:p>
  <w:p w:rsidR="005A42B6" w:rsidRDefault="005A42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44246"/>
    <w:multiLevelType w:val="hybridMultilevel"/>
    <w:tmpl w:val="30F21CCC"/>
    <w:lvl w:ilvl="0" w:tplc="FC4442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CB"/>
    <w:rsid w:val="001C7ACD"/>
    <w:rsid w:val="00275B2C"/>
    <w:rsid w:val="002F24A5"/>
    <w:rsid w:val="00331763"/>
    <w:rsid w:val="00372828"/>
    <w:rsid w:val="00563EEF"/>
    <w:rsid w:val="005A42B6"/>
    <w:rsid w:val="00654120"/>
    <w:rsid w:val="006D67CF"/>
    <w:rsid w:val="00871739"/>
    <w:rsid w:val="00B5321A"/>
    <w:rsid w:val="00D14420"/>
    <w:rsid w:val="00D75137"/>
    <w:rsid w:val="00E64FCC"/>
    <w:rsid w:val="00E8166A"/>
    <w:rsid w:val="00EB0082"/>
    <w:rsid w:val="00F260CB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03BDE"/>
  <w15:chartTrackingRefBased/>
  <w15:docId w15:val="{26E2772E-55B7-4B61-A0F3-20086CF8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82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A42B6"/>
    <w:rPr>
      <w:b/>
      <w:bCs/>
    </w:rPr>
  </w:style>
  <w:style w:type="paragraph" w:styleId="Zhlav">
    <w:name w:val="header"/>
    <w:basedOn w:val="Normln"/>
    <w:link w:val="ZhlavChar"/>
    <w:unhideWhenUsed/>
    <w:rsid w:val="005A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42B6"/>
  </w:style>
  <w:style w:type="paragraph" w:styleId="Zpat">
    <w:name w:val="footer"/>
    <w:basedOn w:val="Normln"/>
    <w:link w:val="ZpatChar"/>
    <w:uiPriority w:val="99"/>
    <w:unhideWhenUsed/>
    <w:rsid w:val="005A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Jeseník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Ivanová Kateřina</dc:creator>
  <cp:keywords/>
  <dc:description/>
  <cp:lastModifiedBy>Machálková Michaela</cp:lastModifiedBy>
  <cp:revision>4</cp:revision>
  <cp:lastPrinted>2023-10-31T09:51:00Z</cp:lastPrinted>
  <dcterms:created xsi:type="dcterms:W3CDTF">2023-10-31T08:55:00Z</dcterms:created>
  <dcterms:modified xsi:type="dcterms:W3CDTF">2023-10-31T11:15:00Z</dcterms:modified>
</cp:coreProperties>
</file>