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paragrafu"/>
        <w:tabs>
          <w:tab w:val="clear" w:pos="708"/>
          <w:tab w:val="left" w:pos="2977" w:leader="none"/>
        </w:tabs>
        <w:spacing w:before="240" w:after="0"/>
        <w:ind w:left="0" w:right="0" w:firstLine="567"/>
        <w:rPr>
          <w:rFonts w:ascii="Arial Narrow" w:hAnsi="Arial Narrow" w:cs="Arial Narrow"/>
          <w:sz w:val="20"/>
          <w:szCs w:val="20"/>
          <w:lang w:val="cs-CZ" w:eastAsia="cs-CZ"/>
        </w:rPr>
      </w:pPr>
      <w:r>
        <w:rPr>
          <w:rFonts w:cs="Arial Narrow" w:ascii="Arial Narrow" w:hAnsi="Arial Narrow"/>
          <w:sz w:val="20"/>
          <w:szCs w:val="20"/>
          <w:lang w:val="cs-CZ" w:eastAsia="cs-CZ"/>
        </w:rPr>
        <w:drawing>
          <wp:anchor behindDoc="0" distT="0" distB="0" distL="114935" distR="114935" simplePos="0" locked="0" layoutInCell="0" allowOverlap="1" relativeHeight="2">
            <wp:simplePos x="0" y="0"/>
            <wp:positionH relativeFrom="column">
              <wp:posOffset>154305</wp:posOffset>
            </wp:positionH>
            <wp:positionV relativeFrom="paragraph">
              <wp:posOffset>179070</wp:posOffset>
            </wp:positionV>
            <wp:extent cx="685165" cy="678815"/>
            <wp:effectExtent l="0" t="0" r="0" b="0"/>
            <wp:wrapSquare wrapText="bothSides"/>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rcRect l="-157" t="-159" r="-157" b="-159"/>
                    <a:stretch>
                      <a:fillRect/>
                    </a:stretch>
                  </pic:blipFill>
                  <pic:spPr bwMode="auto">
                    <a:xfrm>
                      <a:off x="0" y="0"/>
                      <a:ext cx="685165" cy="678815"/>
                    </a:xfrm>
                    <a:prstGeom prst="rect">
                      <a:avLst/>
                    </a:prstGeom>
                  </pic:spPr>
                </pic:pic>
              </a:graphicData>
            </a:graphic>
          </wp:anchor>
        </w:drawing>
      </w:r>
    </w:p>
    <w:p>
      <w:pPr>
        <w:pStyle w:val="Normal"/>
        <w:spacing w:lineRule="auto" w:line="276"/>
        <w:jc w:val="center"/>
        <w:rPr>
          <w:rFonts w:ascii="Arial" w:hAnsi="Arial" w:cs="Arial"/>
          <w:b/>
          <w:b/>
        </w:rPr>
      </w:pPr>
      <w:r>
        <w:rPr>
          <w:rFonts w:cs="Arial" w:ascii="Arial" w:hAnsi="Arial"/>
          <w:b/>
        </w:rPr>
        <w:t>Obecně závazná vyhláška obce Koclířov</w:t>
      </w:r>
    </w:p>
    <w:p>
      <w:pPr>
        <w:pStyle w:val="Normal"/>
        <w:spacing w:lineRule="auto" w:line="276"/>
        <w:jc w:val="center"/>
        <w:rPr>
          <w:rFonts w:ascii="Arial" w:hAnsi="Arial" w:cs="Arial"/>
          <w:b/>
          <w:b/>
        </w:rPr>
      </w:pPr>
      <w:r>
        <w:rPr>
          <w:rFonts w:cs="Arial" w:ascii="Arial" w:hAnsi="Arial"/>
          <w:b/>
        </w:rPr>
        <w:t>č. 2/2022,</w:t>
      </w:r>
    </w:p>
    <w:p>
      <w:pPr>
        <w:pStyle w:val="Normal"/>
        <w:jc w:val="center"/>
        <w:rPr>
          <w:rFonts w:ascii="Arial" w:hAnsi="Arial" w:cs="Arial"/>
          <w:b/>
          <w:b/>
        </w:rPr>
      </w:pPr>
      <w:r>
        <w:rPr>
          <w:rFonts w:cs="Arial" w:ascii="Arial" w:hAnsi="Arial"/>
          <w:b/>
        </w:rPr>
        <w:t>o místním poplatku ze psů</w:t>
      </w:r>
    </w:p>
    <w:p>
      <w:pPr>
        <w:pStyle w:val="Textparagrafu"/>
        <w:tabs>
          <w:tab w:val="clear" w:pos="708"/>
          <w:tab w:val="left" w:pos="2977" w:leader="none"/>
        </w:tabs>
        <w:ind w:left="0" w:right="0" w:firstLine="567"/>
        <w:rPr>
          <w:rFonts w:ascii="Arial Narrow" w:hAnsi="Arial Narrow" w:cs="Arial Narrow"/>
          <w:b/>
          <w:b/>
          <w:sz w:val="20"/>
          <w:szCs w:val="20"/>
        </w:rPr>
      </w:pPr>
      <w:r>
        <w:rPr>
          <w:rFonts w:cs="Arial Narrow" w:ascii="Arial Narrow" w:hAnsi="Arial Narrow"/>
          <w:b/>
          <w:sz w:val="20"/>
          <w:szCs w:val="20"/>
        </w:rPr>
      </w:r>
    </w:p>
    <w:p>
      <w:pPr>
        <w:pStyle w:val="Normal"/>
        <w:spacing w:lineRule="auto" w:line="288"/>
        <w:jc w:val="both"/>
        <w:rPr/>
      </w:pPr>
      <w:r>
        <w:rPr>
          <w:rFonts w:cs="Arial" w:ascii="Arial" w:hAnsi="Arial"/>
          <w:sz w:val="22"/>
          <w:szCs w:val="22"/>
        </w:rPr>
        <w:t>Zastupitelstvo obce Koclířov se na svém zasedání dne 15. prosince 2022 usnesením č.</w:t>
      </w:r>
      <w:r>
        <w:rPr>
          <w:rFonts w:cs="Arial" w:ascii="Arial" w:hAnsi="Arial"/>
          <w:sz w:val="22"/>
          <w:szCs w:val="22"/>
          <w:shd w:fill="auto" w:val="clear"/>
        </w:rPr>
        <w:t xml:space="preserve">  10/6-2022</w:t>
      </w:r>
      <w:r>
        <w:rPr>
          <w:rFonts w:cs="Arial" w:ascii="Arial" w:hAnsi="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widowControl/>
        <w:numPr>
          <w:ilvl w:val="0"/>
          <w:numId w:val="5"/>
        </w:numPr>
        <w:bidi w:val="0"/>
        <w:spacing w:lineRule="auto" w:line="288" w:before="120" w:after="0"/>
        <w:ind w:left="0" w:right="0" w:hanging="0"/>
        <w:jc w:val="both"/>
        <w:rPr>
          <w:rFonts w:ascii="Arial" w:hAnsi="Arial" w:cs="Arial"/>
          <w:sz w:val="22"/>
          <w:szCs w:val="22"/>
        </w:rPr>
      </w:pPr>
      <w:r>
        <w:rPr>
          <w:rFonts w:cs="Arial" w:ascii="Arial" w:hAnsi="Arial"/>
          <w:sz w:val="22"/>
          <w:szCs w:val="22"/>
        </w:rPr>
        <w:t>Obec Koclířov touto vyhláškou zavádí místní poplatek ze psů (dále jen „poplatek“).</w:t>
      </w:r>
    </w:p>
    <w:p>
      <w:pPr>
        <w:pStyle w:val="Normal"/>
        <w:widowControl/>
        <w:numPr>
          <w:ilvl w:val="0"/>
          <w:numId w:val="5"/>
        </w:numPr>
        <w:bidi w:val="0"/>
        <w:spacing w:lineRule="auto" w:line="288" w:before="120" w:after="0"/>
        <w:ind w:left="0" w:right="0" w:hanging="0"/>
        <w:jc w:val="both"/>
        <w:rPr>
          <w:rFonts w:ascii="Arial" w:hAnsi="Arial" w:cs="Arial"/>
        </w:rPr>
      </w:pPr>
      <w:r>
        <w:rPr>
          <w:rFonts w:cs="Arial" w:ascii="Arial" w:hAnsi="Arial"/>
          <w:sz w:val="22"/>
          <w:szCs w:val="22"/>
        </w:rPr>
        <w:t>Správcem poplatku je Obecní úřad Koclířov.</w:t>
      </w:r>
      <w:r>
        <w:rPr>
          <w:rStyle w:val="Ukotvenpoznmkypodarou"/>
          <w:rStyle w:val="Ukotvenpoznmkypodarou"/>
          <w:rFonts w:cs="Arial" w:ascii="Arial" w:hAnsi="Arial"/>
          <w:sz w:val="22"/>
          <w:szCs w:val="22"/>
          <w:vertAlign w:val="superscript"/>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rStyle w:val="Ukotvenpoznmkypodarou"/>
          <w:rStyle w:val="Ukotvenpoznmkypodarou"/>
          <w:rFonts w:cs="Arial" w:ascii="Arial" w:hAnsi="Arial"/>
          <w:sz w:val="22"/>
          <w:szCs w:val="22"/>
          <w:vertAlign w:val="superscript"/>
        </w:rPr>
        <w:footnoteReference w:id="3"/>
      </w:r>
    </w:p>
    <w:p>
      <w:pPr>
        <w:pStyle w:val="Normal"/>
        <w:numPr>
          <w:ilvl w:val="0"/>
          <w:numId w:val="4"/>
        </w:numPr>
        <w:spacing w:lineRule="auto" w:line="288" w:before="120" w:after="0"/>
        <w:jc w:val="both"/>
        <w:rPr>
          <w:rFonts w:ascii="Arial" w:hAnsi="Arial" w:cs="Arial"/>
        </w:rPr>
      </w:pPr>
      <w:r>
        <w:rPr>
          <w:rFonts w:cs="Arial" w:ascii="Arial" w:hAnsi="Arial"/>
          <w:sz w:val="22"/>
          <w:szCs w:val="22"/>
        </w:rPr>
        <w:t>Poplatek ze psů se platí ze psů starších 3 měsíců.</w:t>
      </w:r>
      <w:r>
        <w:rPr>
          <w:rStyle w:val="Ukotvenpoznmkypodarou"/>
          <w:rStyle w:val="Ukotvenpoznmkypodarou"/>
          <w:rFonts w:cs="Arial" w:ascii="Arial" w:hAnsi="Arial"/>
          <w:sz w:val="22"/>
          <w:szCs w:val="22"/>
          <w:vertAlign w:val="superscript"/>
        </w:rPr>
        <w:footnoteReference w:id="4"/>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1"/>
        </w:numPr>
        <w:spacing w:lineRule="auto" w:line="288" w:before="120" w:after="0"/>
        <w:jc w:val="both"/>
        <w:rPr/>
      </w:pPr>
      <w:r>
        <w:rPr>
          <w:rFonts w:cs="Arial" w:ascii="Arial" w:hAnsi="Arial"/>
          <w:sz w:val="22"/>
          <w:szCs w:val="22"/>
        </w:rPr>
        <w:t>Poplatník je povinen ohlásit správci poplatku vznik své poplatkové povinnosti do 15 dnů ode dne, kdy se pes stal starším tří měsíců, nebo ode dne, kdy nabyl psa staršího tří měsíců.</w:t>
      </w:r>
      <w:r>
        <w:rPr>
          <w:rFonts w:cs="Arial" w:ascii="Arial" w:hAnsi="Arial"/>
          <w:i/>
          <w:sz w:val="22"/>
          <w:szCs w:val="22"/>
        </w:rPr>
        <w:t xml:space="preserve"> </w:t>
      </w:r>
    </w:p>
    <w:p>
      <w:pPr>
        <w:pStyle w:val="Normal"/>
        <w:numPr>
          <w:ilvl w:val="0"/>
          <w:numId w:val="1"/>
        </w:numPr>
        <w:spacing w:lineRule="auto" w:line="288" w:before="120" w:after="0"/>
        <w:jc w:val="both"/>
        <w:rPr/>
      </w:pPr>
      <w:r>
        <w:rPr>
          <w:rFonts w:cs="Arial" w:ascii="Arial" w:hAnsi="Arial"/>
          <w:sz w:val="22"/>
          <w:szCs w:val="22"/>
        </w:rPr>
        <w:t>Povinnost ohlásit držení psa má i osoba, která je od poplatku osvobozena</w:t>
      </w:r>
      <w:r>
        <w:rPr>
          <w:rFonts w:cs="Arial" w:ascii="Arial" w:hAnsi="Arial"/>
          <w:i/>
          <w:sz w:val="22"/>
          <w:szCs w:val="22"/>
        </w:rPr>
        <w:t>.</w:t>
      </w:r>
    </w:p>
    <w:p>
      <w:pPr>
        <w:pStyle w:val="Normal"/>
        <w:numPr>
          <w:ilvl w:val="0"/>
          <w:numId w:val="1"/>
        </w:numPr>
        <w:spacing w:lineRule="auto" w:line="288" w:before="120" w:after="0"/>
        <w:jc w:val="both"/>
        <w:rPr>
          <w:rFonts w:ascii="Arial" w:hAnsi="Arial" w:cs="Arial"/>
        </w:rPr>
      </w:pPr>
      <w:r>
        <w:rPr>
          <w:rFonts w:cs="Arial" w:ascii="Arial" w:hAnsi="Arial"/>
          <w:sz w:val="22"/>
          <w:szCs w:val="22"/>
        </w:rPr>
        <w:t>Dojde-li ke změně údajů uvedených v ohlášení, je poplatník povinen tuto změnu oznámit do 15 dnů ode dne, kdy nastala.</w:t>
      </w:r>
      <w:r>
        <w:rPr>
          <w:rStyle w:val="Znakypropoznmkupodarou"/>
          <w:rStyle w:val="Ukotvenpoznmkypodarou"/>
          <w:rFonts w:cs="Arial" w:ascii="Arial" w:hAnsi="Arial"/>
          <w:sz w:val="22"/>
          <w:szCs w:val="22"/>
        </w:rPr>
        <w:footnoteReference w:id="5"/>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Zkladntextodsazen3"/>
        <w:tabs>
          <w:tab w:val="left" w:pos="1134" w:leader="none"/>
          <w:tab w:val="left" w:pos="7920" w:leader="none"/>
          <w:tab w:val="left" w:pos="8392" w:leader="none"/>
        </w:tabs>
        <w:ind w:left="0" w:right="72" w:firstLine="567"/>
        <w:rPr>
          <w:rFonts w:ascii="Arial" w:hAnsi="Arial" w:cs="Arial"/>
          <w:sz w:val="22"/>
          <w:szCs w:val="22"/>
        </w:rPr>
      </w:pPr>
      <w:r>
        <w:rPr>
          <w:rFonts w:cs="Arial" w:ascii="Arial" w:hAnsi="Arial"/>
          <w:sz w:val="22"/>
          <w:szCs w:val="22"/>
        </w:rPr>
        <w:t>Sazba poplatku činí ročně:</w:t>
      </w:r>
    </w:p>
    <w:p>
      <w:pPr>
        <w:pStyle w:val="Tlotextu"/>
        <w:tabs>
          <w:tab w:val="clear" w:pos="708"/>
          <w:tab w:val="decimal" w:pos="8222" w:leader="none"/>
        </w:tabs>
        <w:ind w:left="0" w:right="0" w:firstLine="851"/>
        <w:rPr>
          <w:rFonts w:ascii="Arial" w:hAnsi="Arial" w:cs="Arial"/>
          <w:sz w:val="22"/>
          <w:szCs w:val="22"/>
        </w:rPr>
      </w:pPr>
      <w:r>
        <w:rPr>
          <w:rFonts w:cs="Arial" w:ascii="Arial" w:hAnsi="Arial"/>
          <w:sz w:val="22"/>
          <w:szCs w:val="22"/>
        </w:rPr>
        <w:t>a) za jednoho psa</w:t>
        <w:tab/>
        <w:t>150,- Kč;</w:t>
      </w:r>
    </w:p>
    <w:p>
      <w:pPr>
        <w:pStyle w:val="Tlotextu"/>
        <w:tabs>
          <w:tab w:val="clear" w:pos="708"/>
          <w:tab w:val="decimal" w:pos="8222" w:leader="none"/>
        </w:tabs>
        <w:ind w:left="0" w:right="0" w:firstLine="851"/>
        <w:rPr>
          <w:rFonts w:ascii="Arial" w:hAnsi="Arial" w:cs="Arial"/>
          <w:sz w:val="22"/>
          <w:szCs w:val="22"/>
        </w:rPr>
      </w:pPr>
      <w:r>
        <w:rPr>
          <w:rFonts w:cs="Arial" w:ascii="Arial" w:hAnsi="Arial"/>
          <w:sz w:val="22"/>
          <w:szCs w:val="22"/>
        </w:rPr>
        <w:t>b) za druhého a každého dalšího psa téhož držitele</w:t>
        <w:tab/>
        <w:t>200,- Kč.</w:t>
      </w:r>
    </w:p>
    <w:p>
      <w:pPr>
        <w:pStyle w:val="Tlotextu"/>
        <w:tabs>
          <w:tab w:val="clear" w:pos="708"/>
          <w:tab w:val="decimal" w:pos="8222" w:leader="none"/>
        </w:tabs>
        <w:ind w:left="0" w:right="0" w:firstLine="567"/>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Poplatek je splatný nejpozději do 30. června příslušného kalendářního roku.</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Vznikne-li poplatková povinnost po datu splatnosti uvedeném v odstavci 1, je poplatek splatný nejpozději do 30 dnů ode dne jejího vzniku. </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 xml:space="preserve">Osvobození </w:t>
      </w:r>
    </w:p>
    <w:p>
      <w:pPr>
        <w:pStyle w:val="Normal"/>
        <w:numPr>
          <w:ilvl w:val="0"/>
          <w:numId w:val="3"/>
        </w:numPr>
        <w:spacing w:lineRule="auto" w:line="288" w:before="120" w:after="0"/>
        <w:jc w:val="both"/>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ypropoznmkupodarou"/>
          <w:rStyle w:val="Ukotvenpoznmkypodarou"/>
          <w:rFonts w:cs="Arial" w:ascii="Arial" w:hAnsi="Arial"/>
          <w:sz w:val="22"/>
          <w:szCs w:val="22"/>
        </w:rPr>
        <w:footnoteReference w:id="6"/>
      </w:r>
      <w:r>
        <w:rPr>
          <w:rFonts w:cs="Arial" w:ascii="Arial" w:hAnsi="Arial"/>
          <w:sz w:val="22"/>
          <w:szCs w:val="22"/>
        </w:rPr>
        <w:t xml:space="preserve">.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se dále osvobozuje držitel psa, který je členem organizace zabývající se kynologickou činností, členem mysliveckého svazu či sdružení a členem klubu chovatelů psů společenských plemen.</w:t>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Zrušovací ustanovení</w:t>
      </w:r>
    </w:p>
    <w:p>
      <w:pPr>
        <w:pStyle w:val="Normal"/>
        <w:widowControl/>
        <w:bidi w:val="0"/>
        <w:spacing w:lineRule="auto" w:line="288" w:before="120" w:after="0"/>
        <w:ind w:left="0" w:right="0" w:hanging="0"/>
        <w:jc w:val="both"/>
        <w:rPr>
          <w:rFonts w:ascii="Arial" w:hAnsi="Arial" w:cs="Arial"/>
          <w:sz w:val="22"/>
          <w:szCs w:val="22"/>
        </w:rPr>
      </w:pPr>
      <w:r>
        <w:rPr>
          <w:rFonts w:cs="Arial" w:ascii="Arial" w:hAnsi="Arial"/>
          <w:sz w:val="22"/>
          <w:szCs w:val="22"/>
        </w:rPr>
        <w:t xml:space="preserve">Zrušuje se obecně závazná vyhláška č. 2/2010, o místním poplatku ze psů, ze dne 30. června 2010. </w:t>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widowControl/>
        <w:bidi w:val="0"/>
        <w:spacing w:lineRule="auto" w:line="288" w:before="120" w:after="0"/>
        <w:ind w:left="0" w:right="0" w:hanging="0"/>
        <w:jc w:val="both"/>
        <w:rPr>
          <w:rFonts w:ascii="Arial" w:hAnsi="Arial" w:cs="Arial"/>
          <w:sz w:val="22"/>
          <w:szCs w:val="22"/>
        </w:rPr>
      </w:pPr>
      <w:r>
        <w:rPr>
          <w:rFonts w:cs="Arial" w:ascii="Arial" w:hAnsi="Arial"/>
          <w:sz w:val="22"/>
          <w:szCs w:val="22"/>
        </w:rPr>
        <w:t xml:space="preserve">Tato vyhláška nabývá účinnosti dnem 1. ledna 2023. </w:t>
      </w:r>
    </w:p>
    <w:p>
      <w:pPr>
        <w:pStyle w:val="Nzvylnk"/>
        <w:jc w:val="left"/>
        <w:rPr>
          <w:rFonts w:ascii="Arial" w:hAnsi="Arial" w:cs="Arial"/>
          <w:b w:val="false"/>
          <w:b w:val="false"/>
          <w:bCs w:val="false"/>
          <w:i/>
          <w:i/>
          <w:color w:val="1A4BD6"/>
          <w:sz w:val="22"/>
          <w:szCs w:val="24"/>
        </w:rPr>
      </w:pPr>
      <w:r>
        <w:rPr>
          <w:rFonts w:cs="Arial" w:ascii="Arial" w:hAnsi="Arial"/>
          <w:b w:val="false"/>
          <w:bCs w:val="false"/>
          <w:i/>
          <w:color w:val="1A4BD6"/>
          <w:sz w:val="22"/>
          <w:szCs w:val="24"/>
        </w:rPr>
      </w:r>
    </w:p>
    <w:p>
      <w:pPr>
        <w:pStyle w:val="Normal"/>
        <w:spacing w:lineRule="auto" w:line="288" w:before="120" w:after="0"/>
        <w:ind w:left="0" w:right="0" w:firstLine="708"/>
        <w:jc w:val="both"/>
        <w:rPr>
          <w:rFonts w:ascii="Arial" w:hAnsi="Arial" w:cs="Arial"/>
          <w:b/>
          <w:b/>
          <w:bCs/>
          <w:i/>
          <w:i/>
          <w:color w:val="1A4BD6"/>
          <w:sz w:val="22"/>
          <w:szCs w:val="22"/>
        </w:rPr>
      </w:pPr>
      <w:r>
        <w:rPr>
          <w:rFonts w:cs="Arial" w:ascii="Arial" w:hAnsi="Arial"/>
          <w:b/>
          <w:bCs/>
          <w:i/>
          <w:color w:val="1A4BD6"/>
          <w:sz w:val="22"/>
          <w:szCs w:val="22"/>
        </w:rPr>
      </w:r>
    </w:p>
    <w:p>
      <w:pPr>
        <w:pStyle w:val="Normal"/>
        <w:spacing w:lineRule="auto" w:line="288" w:before="120" w:after="0"/>
        <w:ind w:left="0" w:right="0" w:firstLine="708"/>
        <w:jc w:val="both"/>
        <w:rPr>
          <w:rFonts w:ascii="Arial" w:hAnsi="Arial" w:cs="Arial"/>
          <w:b/>
          <w:b/>
          <w:bCs/>
          <w:i/>
          <w:i/>
          <w:color w:val="1A4BD6"/>
          <w:sz w:val="22"/>
          <w:szCs w:val="22"/>
        </w:rPr>
      </w:pPr>
      <w:r>
        <w:rPr>
          <w:rFonts w:cs="Arial" w:ascii="Arial" w:hAnsi="Arial"/>
          <w:b/>
          <w:bCs/>
          <w:i/>
          <w:color w:val="1A4BD6"/>
          <w:sz w:val="22"/>
          <w:szCs w:val="22"/>
        </w:rPr>
      </w:r>
    </w:p>
    <w:p>
      <w:pPr>
        <w:pStyle w:val="Tlotextu"/>
        <w:tabs>
          <w:tab w:val="clear" w:pos="708"/>
          <w:tab w:val="left" w:pos="1440" w:leader="none"/>
          <w:tab w:val="left" w:pos="7020" w:leader="none"/>
        </w:tabs>
        <w:spacing w:lineRule="auto" w:line="288"/>
        <w:rPr>
          <w:rFonts w:ascii="Arial" w:hAnsi="Arial" w:cs="Arial"/>
          <w:i/>
          <w:i/>
          <w:sz w:val="22"/>
          <w:szCs w:val="22"/>
        </w:rPr>
      </w:pPr>
      <w:r>
        <w:rPr>
          <w:rFonts w:cs="Arial" w:ascii="Arial" w:hAnsi="Arial"/>
          <w:i/>
          <w:sz w:val="22"/>
          <w:szCs w:val="22"/>
        </w:rPr>
        <w:tab/>
      </w:r>
    </w:p>
    <w:p>
      <w:pPr>
        <w:pStyle w:val="Tlotextu"/>
        <w:tabs>
          <w:tab w:val="clear" w:pos="708"/>
          <w:tab w:val="left" w:pos="6120" w:leader="none"/>
        </w:tabs>
        <w:rPr/>
      </w:pPr>
      <w:r>
        <w:rPr>
          <w:rFonts w:eastAsia="Arial" w:cs="Arial" w:ascii="Arial" w:hAnsi="Arial"/>
          <w:sz w:val="22"/>
          <w:szCs w:val="22"/>
        </w:rPr>
        <w:t xml:space="preserve">       </w:t>
      </w: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ab/>
        <w:t xml:space="preserve">     …………………………</w:t>
      </w:r>
    </w:p>
    <w:p>
      <w:pPr>
        <w:pStyle w:val="Tlotextu"/>
        <w:tabs>
          <w:tab w:val="clear" w:pos="708"/>
          <w:tab w:val="left" w:pos="180" w:leader="none"/>
          <w:tab w:val="left" w:pos="6480" w:leader="none"/>
        </w:tabs>
        <w:rPr/>
      </w:pPr>
      <w:r>
        <w:rPr>
          <w:rFonts w:eastAsia="Arial" w:cs="Arial" w:ascii="Arial" w:hAnsi="Arial"/>
          <w:sz w:val="22"/>
          <w:szCs w:val="22"/>
        </w:rPr>
        <w:t xml:space="preserve">         </w:t>
      </w:r>
      <w:r>
        <w:rPr>
          <w:rFonts w:cs="Arial" w:ascii="Arial" w:hAnsi="Arial"/>
          <w:sz w:val="22"/>
          <w:szCs w:val="22"/>
        </w:rPr>
        <w:t xml:space="preserve">Jiří Tesař </w:t>
        <w:tab/>
        <w:t xml:space="preserve">    Mojmír Paclík</w:t>
      </w:r>
    </w:p>
    <w:p>
      <w:pPr>
        <w:pStyle w:val="Tlotextu"/>
        <w:tabs>
          <w:tab w:val="clear" w:pos="708"/>
          <w:tab w:val="left" w:pos="312" w:leader="none"/>
          <w:tab w:val="left" w:pos="6974" w:leader="none"/>
        </w:tabs>
        <w:rPr/>
      </w:pPr>
      <w:r>
        <w:rPr>
          <w:rFonts w:eastAsia="Arial" w:cs="Arial" w:ascii="Arial" w:hAnsi="Arial"/>
          <w:sz w:val="22"/>
          <w:szCs w:val="22"/>
        </w:rPr>
        <w:t xml:space="preserve">   </w:t>
      </w:r>
      <w:r>
        <w:rPr>
          <w:rFonts w:cs="Arial" w:ascii="Arial" w:hAnsi="Arial"/>
          <w:sz w:val="22"/>
          <w:szCs w:val="22"/>
        </w:rPr>
        <w:tab/>
        <w:t xml:space="preserve">     starosta                                                                                        místostarosta</w:t>
      </w:r>
    </w:p>
    <w:p>
      <w:pPr>
        <w:pStyle w:val="Normal"/>
        <w:rPr>
          <w:rFonts w:ascii="Arial" w:hAnsi="Arial" w:cs="Arial"/>
          <w:sz w:val="22"/>
          <w:szCs w:val="22"/>
        </w:rPr>
      </w:pPr>
      <w:r>
        <w:rPr>
          <w:rFonts w:cs="Arial" w:ascii="Arial" w:hAnsi="Arial"/>
          <w:sz w:val="22"/>
          <w:szCs w:val="22"/>
        </w:rPr>
      </w:r>
    </w:p>
    <w:sectPr>
      <w:footnotePr>
        <w:numFmt w:val="decimal"/>
      </w:footnotePr>
      <w:type w:val="nextPage"/>
      <w:pgSz w:w="11906" w:h="16838"/>
      <w:pgMar w:left="1417" w:right="1417" w:gutter="0" w:header="0" w:top="709"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Arial Narrow">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2 odst. 1 zákona o místních poplatcích</w:t>
      </w:r>
    </w:p>
  </w:footnote>
  <w:footnote w:id="4">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5">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6">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0"/>
        </w:tabs>
        <w:ind w:left="0" w:hanging="0"/>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0"/>
        </w:tabs>
        <w:ind w:left="0" w:hanging="0"/>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0"/>
        </w:tabs>
        <w:ind w:left="0" w:hanging="0"/>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0"/>
        </w:tabs>
        <w:ind w:left="0" w:hanging="0"/>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cs-CZ" w:eastAsia="zh-CN" w:bidi="ar-SA"/>
    </w:rPr>
  </w:style>
  <w:style w:type="character" w:styleId="WW8Num1z0">
    <w:name w:val="WW8Num1z0"/>
    <w:qFormat/>
    <w:rPr>
      <w:rFonts w:ascii="Arial" w:hAnsi="Arial" w:cs="Arial"/>
      <w:b w:val="false"/>
      <w:i w:val="false"/>
      <w:strike w:val="false"/>
      <w:dstrike w:val="false"/>
      <w:position w:val="0"/>
      <w:sz w:val="22"/>
      <w:sz w:val="22"/>
      <w:szCs w:val="22"/>
      <w:vertAlign w:val="baseline"/>
    </w:rPr>
  </w:style>
  <w:style w:type="character" w:styleId="WW8Num1z1">
    <w:name w:val="WW8Num1z1"/>
    <w:qFormat/>
    <w:rPr/>
  </w:style>
  <w:style w:type="character" w:styleId="WW8Num2z0">
    <w:name w:val="WW8Num2z0"/>
    <w:qFormat/>
    <w:rPr>
      <w:rFonts w:ascii="Arial" w:hAnsi="Arial" w:cs="Arial"/>
      <w:b w:val="false"/>
      <w:i w:val="false"/>
      <w:strike w:val="false"/>
      <w:dstrike w:val="false"/>
      <w:position w:val="0"/>
      <w:sz w:val="22"/>
      <w:sz w:val="22"/>
      <w:szCs w:val="22"/>
      <w:vertAlign w:val="baseline"/>
    </w:rPr>
  </w:style>
  <w:style w:type="character" w:styleId="WW8Num2z1">
    <w:name w:val="WW8Num2z1"/>
    <w:qFormat/>
    <w:rPr/>
  </w:style>
  <w:style w:type="character" w:styleId="WW8Num3z0">
    <w:name w:val="WW8Num3z0"/>
    <w:qFormat/>
    <w:rPr>
      <w:rFonts w:ascii="Arial" w:hAnsi="Arial" w:cs="Arial"/>
      <w:b w:val="false"/>
      <w:i w:val="false"/>
      <w:strike w:val="false"/>
      <w:dstrike w:val="false"/>
      <w:position w:val="0"/>
      <w:sz w:val="22"/>
      <w:sz w:val="22"/>
      <w:szCs w:val="22"/>
      <w:vertAlign w:val="baseline"/>
    </w:rPr>
  </w:style>
  <w:style w:type="character" w:styleId="WW8Num3z1">
    <w:name w:val="WW8Num3z1"/>
    <w:qFormat/>
    <w:rPr/>
  </w:style>
  <w:style w:type="character" w:styleId="WW8Num4z0">
    <w:name w:val="WW8Num4z0"/>
    <w:qFormat/>
    <w:rPr>
      <w:rFonts w:ascii="Arial" w:hAnsi="Arial" w:cs="Arial"/>
      <w:b w:val="false"/>
      <w:i w:val="false"/>
      <w:strike w:val="false"/>
      <w:dstrike w:val="false"/>
      <w:position w:val="0"/>
      <w:sz w:val="22"/>
      <w:sz w:val="22"/>
      <w:szCs w:val="22"/>
      <w:vertAlign w:val="baseline"/>
    </w:rPr>
  </w:style>
  <w:style w:type="character" w:styleId="WW8Num4z1">
    <w:name w:val="WW8Num4z1"/>
    <w:qFormat/>
    <w:rPr/>
  </w:style>
  <w:style w:type="character" w:styleId="WW8Num5z0">
    <w:name w:val="WW8Num5z0"/>
    <w:qFormat/>
    <w:rPr>
      <w:rFonts w:ascii="Arial" w:hAnsi="Arial" w:cs="Arial"/>
      <w:b w:val="false"/>
      <w:i w:val="false"/>
      <w:strike w:val="false"/>
      <w:dstrike w:val="false"/>
      <w:position w:val="0"/>
      <w:sz w:val="22"/>
      <w:sz w:val="22"/>
      <w:szCs w:val="22"/>
      <w:vertAlign w:val="baseline"/>
    </w:rPr>
  </w:style>
  <w:style w:type="character" w:styleId="WW8Num5z1">
    <w:name w:val="WW8Num5z1"/>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7z0">
    <w:name w:val="WW8Num7z0"/>
    <w:qFormat/>
    <w:rPr>
      <w:rFonts w:ascii="Arial" w:hAnsi="Arial" w:cs="Arial"/>
      <w:b w:val="false"/>
      <w:i w:val="false"/>
      <w:strike w:val="false"/>
      <w:dstrike w:val="false"/>
      <w:position w:val="0"/>
      <w:sz w:val="22"/>
      <w:sz w:val="22"/>
      <w:szCs w:val="22"/>
      <w:vertAlign w:val="baseline"/>
    </w:rPr>
  </w:style>
  <w:style w:type="character" w:styleId="WW8Num7z1">
    <w:name w:val="WW8Num7z1"/>
    <w:qFormat/>
    <w:rPr/>
  </w:style>
  <w:style w:type="character" w:styleId="Standardnpsmoodstavce">
    <w:name w:val="Standardní písmo odstavce"/>
    <w:qFormat/>
    <w:rPr/>
  </w:style>
  <w:style w:type="character" w:styleId="NzevChar">
    <w:name w:val="Název Char"/>
    <w:qFormat/>
    <w:rPr>
      <w:rFonts w:ascii="Arial" w:hAnsi="Arial" w:cs="Arial"/>
      <w:b/>
      <w:bCs/>
      <w:kern w:val="2"/>
      <w:sz w:val="32"/>
      <w:szCs w:val="32"/>
    </w:rPr>
  </w:style>
  <w:style w:type="character" w:styleId="ZkladntextChar">
    <w:name w:val="Základní text Char"/>
    <w:qFormat/>
    <w:rPr>
      <w:sz w:val="24"/>
      <w:szCs w:val="24"/>
    </w:rPr>
  </w:style>
  <w:style w:type="character" w:styleId="ZkladntextodsazenChar">
    <w:name w:val="Základní text odsazený Char"/>
    <w:qFormat/>
    <w:rPr>
      <w:sz w:val="22"/>
      <w:szCs w:val="24"/>
    </w:rPr>
  </w:style>
  <w:style w:type="character" w:styleId="Zkladntextodsazen3Char">
    <w:name w:val="Základní text odsazený 3 Char"/>
    <w:qFormat/>
    <w:rPr>
      <w:sz w:val="24"/>
      <w:szCs w:val="24"/>
    </w:rPr>
  </w:style>
  <w:style w:type="character" w:styleId="TextpoznpodarouChar">
    <w:name w:val="Text pozn. pod čarou Char"/>
    <w:qFormat/>
    <w:rPr>
      <w:lang w:val="cs-CZ" w:eastAsia="cs-CZ"/>
    </w:rPr>
  </w:style>
  <w:style w:type="character" w:styleId="Znakypropoznmkupodarou">
    <w:name w:val="Znaky pro poznámku pod čarou"/>
    <w:qFormat/>
    <w:rPr>
      <w:vertAlign w:val="superscript"/>
    </w:rPr>
  </w:style>
  <w:style w:type="character" w:styleId="Ukotvenpoznmkypodarou">
    <w:name w:val="Ukotvení poznámky pod čarou"/>
    <w:rPr>
      <w:vertAlign w:val="superscript"/>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Ukotvenvysvtlivky">
    <w:name w:val="Ukotvení vysvětlivky"/>
    <w:rPr>
      <w:vertAlign w:val="superscript"/>
    </w:rPr>
  </w:style>
  <w:style w:type="paragraph" w:styleId="Nadpis">
    <w:name w:val="Nadpis"/>
    <w:basedOn w:val="Normal"/>
    <w:next w:val="Tlotextu"/>
    <w:qFormat/>
    <w:pPr>
      <w:spacing w:before="240" w:after="60"/>
      <w:jc w:val="center"/>
      <w:outlineLvl w:val="0"/>
    </w:pPr>
    <w:rPr>
      <w:rFonts w:ascii="Arial" w:hAnsi="Arial" w:cs="Arial"/>
      <w:b/>
      <w:bCs/>
      <w:kern w:val="2"/>
      <w:sz w:val="32"/>
      <w:szCs w:val="32"/>
    </w:rPr>
  </w:style>
  <w:style w:type="paragraph" w:styleId="Tlotextu">
    <w:name w:val="Body Text"/>
    <w:basedOn w:val="Normal"/>
    <w:pPr>
      <w:autoSpaceDE w:val="false"/>
      <w:jc w:val="both"/>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Odsazentlatextu">
    <w:name w:val="Body Text Indent"/>
    <w:basedOn w:val="Normal"/>
    <w:pPr>
      <w:spacing w:lineRule="atLeast" w:line="240"/>
    </w:pPr>
    <w:rPr>
      <w:sz w:val="22"/>
    </w:rPr>
  </w:style>
  <w:style w:type="paragraph" w:styleId="Zkladntextodsazen3">
    <w:name w:val="Základní text odsazený 3"/>
    <w:basedOn w:val="Normal"/>
    <w:qFormat/>
    <w:pPr>
      <w:tabs>
        <w:tab w:val="clear" w:pos="708"/>
        <w:tab w:val="left" w:pos="1134" w:leader="none"/>
      </w:tabs>
      <w:autoSpaceDE w:val="false"/>
      <w:spacing w:before="120" w:after="0"/>
      <w:ind w:left="0" w:right="72" w:firstLine="708"/>
      <w:jc w:val="both"/>
    </w:pPr>
    <w:rPr/>
  </w:style>
  <w:style w:type="paragraph" w:styleId="Textparagrafu">
    <w:name w:val="Text paragrafu"/>
    <w:basedOn w:val="Normal"/>
    <w:qFormat/>
    <w:pPr>
      <w:autoSpaceDE w:val="false"/>
      <w:spacing w:before="240" w:after="0"/>
      <w:ind w:left="0" w:right="0" w:firstLine="425"/>
      <w:jc w:val="both"/>
    </w:pPr>
    <w:rPr/>
  </w:style>
  <w:style w:type="paragraph" w:styleId="Textodstavce">
    <w:name w:val="Text odstavce"/>
    <w:basedOn w:val="Normal"/>
    <w:qFormat/>
    <w:pPr>
      <w:spacing w:before="60" w:after="0"/>
      <w:ind w:left="0" w:right="0" w:firstLine="567"/>
      <w:jc w:val="both"/>
    </w:pPr>
    <w:rPr/>
  </w:style>
  <w:style w:type="paragraph" w:styleId="Revize">
    <w:name w:val="Revize"/>
    <w:qFormat/>
    <w:pPr>
      <w:widowControl/>
      <w:suppressAutoHyphens w:val="true"/>
      <w:bidi w:val="0"/>
    </w:pPr>
    <w:rPr>
      <w:rFonts w:ascii="Times New Roman" w:hAnsi="Times New Roman" w:eastAsia="Times New Roman" w:cs="Times New Roman"/>
      <w:color w:val="auto"/>
      <w:sz w:val="24"/>
      <w:szCs w:val="24"/>
      <w:lang w:val="cs-CZ" w:eastAsia="zh-CN" w:bidi="ar-SA"/>
    </w:rPr>
  </w:style>
  <w:style w:type="paragraph" w:styleId="Poznmkapodarou">
    <w:name w:val="Footnote Text"/>
    <w:basedOn w:val="Normal"/>
    <w:pPr/>
    <w:rPr>
      <w:sz w:val="20"/>
      <w:szCs w:val="20"/>
      <w:lang w:val="cs-CZ" w:eastAsia="cs-CZ"/>
    </w:rPr>
  </w:style>
  <w:style w:type="paragraph" w:styleId="Slalnk">
    <w:name w:val="Čísla článků"/>
    <w:basedOn w:val="Normal"/>
    <w:qFormat/>
    <w:pPr>
      <w:keepNext w:val="true"/>
      <w:keepLines/>
      <w:spacing w:before="360" w:after="60"/>
      <w:jc w:val="center"/>
    </w:pPr>
    <w:rPr>
      <w:b/>
      <w:bCs/>
      <w:szCs w:val="20"/>
    </w:rPr>
  </w:style>
  <w:style w:type="paragraph" w:styleId="Nzvylnk">
    <w:name w:val="Názvy článků"/>
    <w:basedOn w:val="Slalnk"/>
    <w:qFormat/>
    <w:pPr>
      <w:spacing w:before="60" w:after="16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12</TotalTime>
  <Application>LibreOffice/7.2.4.1$Windows_X86_64 LibreOffice_project/27d75539669ac387bb498e35313b970b7fe9c4f9</Application>
  <AppVersion>15.0000</AppVersion>
  <Pages>2</Pages>
  <Words>458</Words>
  <Characters>2372</Characters>
  <CharactersWithSpaces>2914</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2022-12-02T14:26:00Z</dcterms:created>
  <dc:creator>JaromirL</dc:creator>
  <dc:description/>
  <dc:language>cs-CZ</dc:language>
  <cp:lastModifiedBy/>
  <cp:lastPrinted>2022-12-21T14:34:00Z</cp:lastPrinted>
  <dcterms:modified xsi:type="dcterms:W3CDTF">2022-12-21T14:34:26Z</dcterms:modified>
  <cp:revision>7</cp:revision>
  <dc:subject/>
  <dc:title>Obecně závazná vyhláška č</dc:title>
</cp:coreProperties>
</file>