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 xml:space="preserve">vyhláška </w:t>
      </w:r>
      <w:r w:rsidR="001E6ACF">
        <w:rPr>
          <w:sz w:val="32"/>
        </w:rPr>
        <w:t>statutárního</w:t>
      </w:r>
      <w:r w:rsidRPr="009C0D3F">
        <w:rPr>
          <w:sz w:val="32"/>
        </w:rPr>
        <w:t xml:space="preserve"> města Plzně</w:t>
      </w:r>
      <w:bookmarkEnd w:id="0"/>
      <w:bookmarkEnd w:id="1"/>
    </w:p>
    <w:p w:rsidR="00762129" w:rsidRPr="009C0D3F" w:rsidRDefault="00E45DB4">
      <w:pPr>
        <w:spacing w:after="120"/>
        <w:jc w:val="center"/>
        <w:rPr>
          <w:rFonts w:ascii="Goudy Old Style ATT" w:hAnsi="Goudy Old Style ATT"/>
          <w:b/>
          <w:color w:val="000000"/>
          <w:sz w:val="30"/>
        </w:rPr>
      </w:pPr>
      <w:r>
        <w:rPr>
          <w:rFonts w:ascii="Goudy Old Style ATT" w:hAnsi="Goudy Old Style ATT"/>
          <w:b/>
          <w:color w:val="000000"/>
          <w:sz w:val="30"/>
        </w:rPr>
        <w:t xml:space="preserve"> č. </w:t>
      </w:r>
      <w:r w:rsidR="008C0353">
        <w:rPr>
          <w:rFonts w:ascii="Goudy Old Style ATT" w:hAnsi="Goudy Old Style ATT"/>
          <w:b/>
          <w:color w:val="000000"/>
          <w:sz w:val="30"/>
        </w:rPr>
        <w:t>5</w:t>
      </w:r>
      <w:r>
        <w:rPr>
          <w:rFonts w:ascii="Goudy Old Style ATT" w:hAnsi="Goudy Old Style ATT"/>
          <w:b/>
          <w:color w:val="000000"/>
          <w:sz w:val="30"/>
        </w:rPr>
        <w:t>/2017</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9E515D">
        <w:rPr>
          <w:rFonts w:ascii="Goudy Old Style ATT" w:hAnsi="Goudy Old Style ATT"/>
          <w:color w:val="000000"/>
          <w:spacing w:val="4"/>
          <w:sz w:val="26"/>
        </w:rPr>
        <w:t xml:space="preserve">ně svým usnesením č. </w:t>
      </w:r>
      <w:r w:rsidR="008C0353">
        <w:rPr>
          <w:rFonts w:ascii="Goudy Old Style ATT" w:hAnsi="Goudy Old Style ATT"/>
          <w:color w:val="000000"/>
          <w:spacing w:val="4"/>
          <w:sz w:val="26"/>
        </w:rPr>
        <w:t>527</w:t>
      </w:r>
      <w:r w:rsidR="00E47564">
        <w:rPr>
          <w:rFonts w:ascii="Goudy Old Style ATT" w:hAnsi="Goudy Old Style ATT"/>
          <w:color w:val="000000"/>
          <w:spacing w:val="4"/>
          <w:sz w:val="26"/>
        </w:rPr>
        <w:t xml:space="preserve"> </w:t>
      </w:r>
      <w:r w:rsidR="009B21A5">
        <w:rPr>
          <w:rFonts w:ascii="Goudy Old Style ATT" w:hAnsi="Goudy Old Style ATT"/>
          <w:color w:val="000000"/>
          <w:spacing w:val="4"/>
          <w:sz w:val="26"/>
        </w:rPr>
        <w:t xml:space="preserve">ze dne </w:t>
      </w:r>
      <w:r w:rsidR="008C0353">
        <w:rPr>
          <w:rFonts w:ascii="Goudy Old Style ATT" w:hAnsi="Goudy Old Style ATT"/>
          <w:color w:val="000000"/>
          <w:spacing w:val="4"/>
          <w:sz w:val="26"/>
        </w:rPr>
        <w:t xml:space="preserve">14. 12. </w:t>
      </w:r>
      <w:r w:rsidR="00E45DB4">
        <w:rPr>
          <w:rFonts w:ascii="Goudy Old Style ATT" w:hAnsi="Goudy Old Style ATT"/>
          <w:color w:val="000000"/>
          <w:spacing w:val="4"/>
          <w:sz w:val="26"/>
        </w:rPr>
        <w:t>2017</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9E515D">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1E6ACF">
        <w:rPr>
          <w:rFonts w:ascii="Goudy Old Style ATT" w:hAnsi="Goudy Old Style ATT"/>
        </w:rPr>
        <w:t>,</w:t>
      </w:r>
      <w:r w:rsidR="00DE6C2D">
        <w:rPr>
          <w:rFonts w:ascii="Goudy Old Style ATT" w:hAnsi="Goudy Old Style ATT"/>
        </w:rPr>
        <w:t xml:space="preserve"> vyhlášky č. 3/2013, </w:t>
      </w:r>
      <w:r w:rsidR="00E47564">
        <w:rPr>
          <w:rFonts w:ascii="Goudy Old Style ATT" w:hAnsi="Goudy Old Style ATT"/>
        </w:rPr>
        <w:t xml:space="preserve">vyhlášky č. 11/2013, </w:t>
      </w:r>
      <w:r w:rsidR="00DE6C2D">
        <w:rPr>
          <w:rFonts w:ascii="Goudy Old Style ATT" w:hAnsi="Goudy Old Style ATT"/>
        </w:rPr>
        <w:t>vyhlášky č. 7/2014</w:t>
      </w:r>
      <w:r w:rsidR="00666F5C">
        <w:rPr>
          <w:rFonts w:ascii="Goudy Old Style ATT" w:hAnsi="Goudy Old Style ATT"/>
        </w:rPr>
        <w:t>,</w:t>
      </w:r>
      <w:r w:rsidR="00E47564">
        <w:rPr>
          <w:rFonts w:ascii="Goudy Old Style ATT" w:hAnsi="Goudy Old Style ATT"/>
        </w:rPr>
        <w:t xml:space="preserve"> vyhlášky č. 4/2015</w:t>
      </w:r>
      <w:r w:rsidR="00E45DB4">
        <w:rPr>
          <w:rFonts w:ascii="Goudy Old Style ATT" w:hAnsi="Goudy Old Style ATT"/>
        </w:rPr>
        <w:t>,</w:t>
      </w:r>
      <w:r w:rsidR="00666F5C">
        <w:rPr>
          <w:rFonts w:ascii="Goudy Old Style ATT" w:hAnsi="Goudy Old Style ATT"/>
        </w:rPr>
        <w:t xml:space="preserve"> vyhlášky č. 9/2015 </w:t>
      </w:r>
      <w:r w:rsidR="00E45DB4">
        <w:rPr>
          <w:rFonts w:ascii="Goudy Old Style ATT" w:hAnsi="Goudy Old Style ATT"/>
        </w:rPr>
        <w:t xml:space="preserve">a vyhlášky č. 5/2016 </w:t>
      </w:r>
      <w:r w:rsidRPr="009C0D3F">
        <w:rPr>
          <w:rFonts w:ascii="Goudy Old Style ATT" w:hAnsi="Goudy Old Style ATT"/>
        </w:rPr>
        <w:t>se mění a doplňuje takto:</w:t>
      </w:r>
    </w:p>
    <w:p w:rsidR="007E5B1A" w:rsidRDefault="007E5B1A">
      <w:pPr>
        <w:pStyle w:val="Zkladntext2"/>
        <w:spacing w:after="120"/>
        <w:rPr>
          <w:rFonts w:ascii="Goudy Old Style ATT" w:hAnsi="Goudy Old Style ATT"/>
        </w:rPr>
      </w:pPr>
    </w:p>
    <w:p w:rsidR="009959FD" w:rsidRDefault="009959FD" w:rsidP="00666F5C">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3 odst. 1 bod 5. zní:</w:t>
      </w:r>
    </w:p>
    <w:p w:rsidR="009959FD" w:rsidRDefault="009959FD" w:rsidP="009959FD">
      <w:pPr>
        <w:spacing w:after="120"/>
        <w:ind w:left="425"/>
        <w:jc w:val="both"/>
        <w:rPr>
          <w:rFonts w:ascii="Goudy Old Style ATT" w:hAnsi="Goudy Old Style ATT"/>
          <w:color w:val="000000"/>
        </w:rPr>
      </w:pPr>
      <w:r>
        <w:rPr>
          <w:rFonts w:ascii="Goudy Old Style ATT" w:hAnsi="Goudy Old Style ATT"/>
          <w:color w:val="000000"/>
        </w:rPr>
        <w:t>„5.  Plzeň 5-Křimice (</w:t>
      </w:r>
      <w:r w:rsidRPr="009959FD">
        <w:rPr>
          <w:rFonts w:ascii="Goudy Old Style ATT" w:hAnsi="Goudy Old Style ATT"/>
          <w:i/>
          <w:color w:val="000000"/>
        </w:rPr>
        <w:t>katastrální území Křimice</w:t>
      </w:r>
      <w:r>
        <w:rPr>
          <w:rFonts w:ascii="Goudy Old Style ATT" w:hAnsi="Goudy Old Style ATT"/>
          <w:color w:val="000000"/>
        </w:rPr>
        <w:t>),“.</w:t>
      </w:r>
    </w:p>
    <w:p w:rsidR="009959FD" w:rsidRDefault="009959FD" w:rsidP="009959FD">
      <w:pPr>
        <w:spacing w:after="120"/>
        <w:ind w:left="425"/>
        <w:jc w:val="both"/>
        <w:rPr>
          <w:rFonts w:ascii="Goudy Old Style ATT" w:hAnsi="Goudy Old Style ATT"/>
          <w:color w:val="000000"/>
        </w:rPr>
      </w:pPr>
    </w:p>
    <w:p w:rsidR="009959FD" w:rsidRDefault="009959FD" w:rsidP="00666F5C">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3 odst. 1 bod 7. zní:</w:t>
      </w:r>
    </w:p>
    <w:p w:rsidR="009959FD" w:rsidRDefault="009959FD" w:rsidP="009959FD">
      <w:pPr>
        <w:spacing w:after="120"/>
        <w:ind w:left="425"/>
        <w:jc w:val="both"/>
        <w:rPr>
          <w:rFonts w:ascii="Goudy Old Style ATT" w:hAnsi="Goudy Old Style ATT"/>
          <w:color w:val="000000"/>
        </w:rPr>
      </w:pPr>
      <w:r>
        <w:rPr>
          <w:rFonts w:ascii="Goudy Old Style ATT" w:hAnsi="Goudy Old Style ATT"/>
          <w:color w:val="000000"/>
        </w:rPr>
        <w:t>„7.  Plzeň 7-Radčice (</w:t>
      </w:r>
      <w:r w:rsidRPr="009959FD">
        <w:rPr>
          <w:rFonts w:ascii="Goudy Old Style ATT" w:hAnsi="Goudy Old Style ATT"/>
          <w:i/>
          <w:color w:val="000000"/>
        </w:rPr>
        <w:t>katastrální území Radčice u Plzně</w:t>
      </w:r>
      <w:r>
        <w:rPr>
          <w:rFonts w:ascii="Goudy Old Style ATT" w:hAnsi="Goudy Old Style ATT"/>
          <w:color w:val="000000"/>
        </w:rPr>
        <w:t>),“.</w:t>
      </w:r>
    </w:p>
    <w:p w:rsidR="009959FD" w:rsidRDefault="009959FD" w:rsidP="009959FD">
      <w:pPr>
        <w:spacing w:after="120"/>
        <w:ind w:left="425"/>
        <w:jc w:val="both"/>
        <w:rPr>
          <w:rFonts w:ascii="Goudy Old Style ATT" w:hAnsi="Goudy Old Style ATT"/>
          <w:color w:val="000000"/>
        </w:rPr>
      </w:pPr>
    </w:p>
    <w:p w:rsidR="00A54C2E" w:rsidRPr="006A0612" w:rsidRDefault="00A54C2E" w:rsidP="00D803F9">
      <w:pPr>
        <w:numPr>
          <w:ilvl w:val="0"/>
          <w:numId w:val="1"/>
        </w:numPr>
        <w:spacing w:after="120"/>
        <w:ind w:firstLine="425"/>
        <w:jc w:val="both"/>
        <w:rPr>
          <w:rFonts w:ascii="Goudy Old Style ATT" w:hAnsi="Goudy Old Style ATT"/>
          <w:color w:val="000000"/>
        </w:rPr>
      </w:pPr>
      <w:r w:rsidRPr="006A0612">
        <w:rPr>
          <w:rFonts w:ascii="Goudy Old Style ATT" w:hAnsi="Goudy Old Style ATT"/>
          <w:color w:val="000000"/>
        </w:rPr>
        <w:t xml:space="preserve">V čl. </w:t>
      </w:r>
      <w:proofErr w:type="gramStart"/>
      <w:r w:rsidRPr="006A0612">
        <w:rPr>
          <w:rFonts w:ascii="Goudy Old Style ATT" w:hAnsi="Goudy Old Style ATT"/>
          <w:color w:val="000000"/>
        </w:rPr>
        <w:t>28a</w:t>
      </w:r>
      <w:proofErr w:type="gramEnd"/>
      <w:r w:rsidRPr="006A0612">
        <w:rPr>
          <w:rFonts w:ascii="Goudy Old Style ATT" w:hAnsi="Goudy Old Style ATT"/>
          <w:color w:val="000000"/>
        </w:rPr>
        <w:t xml:space="preserve"> odst. 5 písmenu c) se v celém textu za slovo „pronájmu“ vkládají slova „a pachtu“. </w:t>
      </w:r>
    </w:p>
    <w:p w:rsidR="00A54C2E" w:rsidRPr="006A0612" w:rsidRDefault="00A54C2E" w:rsidP="00A54C2E">
      <w:pPr>
        <w:spacing w:after="120"/>
        <w:ind w:left="425"/>
        <w:jc w:val="both"/>
        <w:rPr>
          <w:rFonts w:ascii="Goudy Old Style ATT" w:hAnsi="Goudy Old Style ATT"/>
          <w:color w:val="000000"/>
        </w:rPr>
      </w:pPr>
    </w:p>
    <w:p w:rsidR="00A54C2E" w:rsidRPr="006A0612" w:rsidRDefault="00A54C2E" w:rsidP="00D803F9">
      <w:pPr>
        <w:numPr>
          <w:ilvl w:val="0"/>
          <w:numId w:val="1"/>
        </w:numPr>
        <w:spacing w:after="120"/>
        <w:ind w:firstLine="425"/>
        <w:jc w:val="both"/>
        <w:rPr>
          <w:rFonts w:ascii="Goudy Old Style ATT" w:hAnsi="Goudy Old Style ATT"/>
          <w:color w:val="000000"/>
        </w:rPr>
      </w:pPr>
      <w:r w:rsidRPr="006A0612">
        <w:rPr>
          <w:rFonts w:ascii="Goudy Old Style ATT" w:hAnsi="Goudy Old Style ATT"/>
          <w:color w:val="000000"/>
        </w:rPr>
        <w:t xml:space="preserve">V čl. </w:t>
      </w:r>
      <w:proofErr w:type="gramStart"/>
      <w:r w:rsidRPr="006A0612">
        <w:rPr>
          <w:rFonts w:ascii="Goudy Old Style ATT" w:hAnsi="Goudy Old Style ATT"/>
          <w:color w:val="000000"/>
        </w:rPr>
        <w:t>28a</w:t>
      </w:r>
      <w:proofErr w:type="gramEnd"/>
      <w:r w:rsidRPr="006A0612">
        <w:rPr>
          <w:rFonts w:ascii="Goudy Old Style ATT" w:hAnsi="Goudy Old Style ATT"/>
          <w:color w:val="000000"/>
        </w:rPr>
        <w:t xml:space="preserve"> odst. 5 písmenu d) se v celém textu za slovo „pronájmu“ vkládají slova „a pachtu“ a za slovo „pozemků“ se vkládají slova „a místních komunikací“.</w:t>
      </w:r>
    </w:p>
    <w:p w:rsidR="00A54C2E" w:rsidRDefault="00A54C2E" w:rsidP="00A54C2E">
      <w:pPr>
        <w:spacing w:after="120"/>
        <w:jc w:val="both"/>
        <w:rPr>
          <w:rFonts w:ascii="Goudy Old Style ATT" w:hAnsi="Goudy Old Style ATT"/>
          <w:color w:val="000000"/>
        </w:rPr>
      </w:pPr>
    </w:p>
    <w:p w:rsidR="00666F5C" w:rsidRDefault="00F30ADD"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w:t>
      </w:r>
      <w:r w:rsidR="00D803F9">
        <w:rPr>
          <w:rFonts w:ascii="Goudy Old Style ATT" w:hAnsi="Goudy Old Style ATT"/>
          <w:color w:val="000000"/>
        </w:rPr>
        <w:t xml:space="preserve"> čl. 28c odst. 2 se slova „podle zásad a harmonogramu jeho zpracování, stanovených radou města zpravidla do 30. 6. kalendářního roku“ zrušují. </w:t>
      </w:r>
    </w:p>
    <w:p w:rsidR="00D803F9" w:rsidRDefault="00D803F9" w:rsidP="00D803F9">
      <w:pPr>
        <w:spacing w:after="120"/>
        <w:ind w:left="425"/>
        <w:jc w:val="both"/>
        <w:rPr>
          <w:rFonts w:ascii="Goudy Old Style ATT" w:hAnsi="Goudy Old Style ATT"/>
          <w:color w:val="000000"/>
        </w:rPr>
      </w:pPr>
    </w:p>
    <w:p w:rsidR="008B30B6" w:rsidRDefault="008B30B6"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w:t>
      </w:r>
      <w:r w:rsidR="00D803F9">
        <w:rPr>
          <w:rFonts w:ascii="Goudy Old Style ATT" w:hAnsi="Goudy Old Style ATT"/>
          <w:color w:val="000000"/>
        </w:rPr>
        <w:t xml:space="preserve"> 28c odst. 3 se v první větě na konec věty za slova „střednědobý výhled“ vkládá slovo „rozpočtu“. </w:t>
      </w:r>
      <w:r>
        <w:rPr>
          <w:rFonts w:ascii="Goudy Old Style ATT" w:hAnsi="Goudy Old Style ATT"/>
          <w:color w:val="000000"/>
        </w:rPr>
        <w:t xml:space="preserve"> </w:t>
      </w:r>
    </w:p>
    <w:p w:rsidR="00D803F9" w:rsidRDefault="00D803F9" w:rsidP="00D803F9">
      <w:pPr>
        <w:spacing w:after="120"/>
        <w:ind w:left="425"/>
        <w:jc w:val="both"/>
        <w:rPr>
          <w:rFonts w:ascii="Goudy Old Style ATT" w:hAnsi="Goudy Old Style ATT"/>
          <w:color w:val="000000"/>
        </w:rPr>
      </w:pPr>
    </w:p>
    <w:p w:rsidR="00D803F9" w:rsidRDefault="00D803F9"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28c odst. 4 se slova „z rozpočtového výhledu“ nahrazují slovy „ze střednědobého výhledu rozpočtu“.</w:t>
      </w:r>
    </w:p>
    <w:p w:rsidR="00D803F9" w:rsidRDefault="00D803F9" w:rsidP="00D803F9">
      <w:pPr>
        <w:pStyle w:val="Odstavecseseznamem"/>
        <w:rPr>
          <w:rFonts w:ascii="Goudy Old Style ATT" w:hAnsi="Goudy Old Style ATT"/>
          <w:color w:val="000000"/>
        </w:rPr>
      </w:pPr>
    </w:p>
    <w:p w:rsidR="00D05FAD" w:rsidRDefault="00D05FAD"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lastRenderedPageBreak/>
        <w:t xml:space="preserve"> </w:t>
      </w:r>
      <w:r w:rsidR="00D803F9">
        <w:rPr>
          <w:rFonts w:ascii="Goudy Old Style ATT" w:hAnsi="Goudy Old Style ATT"/>
          <w:color w:val="000000"/>
        </w:rPr>
        <w:t xml:space="preserve">V čl. 28c odst. 5 se slova „Rozpočtový výhled“ nahrazují slovy „Střednědobý výhled rozpočtu“. </w:t>
      </w:r>
    </w:p>
    <w:p w:rsidR="00D803F9" w:rsidRDefault="00D803F9" w:rsidP="00D803F9">
      <w:pPr>
        <w:pStyle w:val="Odstavecseseznamem"/>
        <w:rPr>
          <w:rFonts w:ascii="Goudy Old Style ATT" w:hAnsi="Goudy Old Style ATT"/>
          <w:color w:val="000000"/>
        </w:rPr>
      </w:pPr>
    </w:p>
    <w:p w:rsidR="00D803F9" w:rsidRDefault="00D803F9" w:rsidP="00D803F9">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29 odst. 9 se v poslední větě slova „, které jsou příspěvkovými organizacemi zřízenými městem,“ zrušují a na konec odstavce se vkládá věta</w:t>
      </w:r>
      <w:r w:rsidR="00F94FED">
        <w:rPr>
          <w:rFonts w:ascii="Goudy Old Style ATT" w:hAnsi="Goudy Old Style ATT"/>
          <w:color w:val="000000"/>
        </w:rPr>
        <w:t xml:space="preserve"> ve znění</w:t>
      </w:r>
      <w:r>
        <w:rPr>
          <w:rFonts w:ascii="Goudy Old Style ATT" w:hAnsi="Goudy Old Style ATT"/>
          <w:color w:val="000000"/>
        </w:rPr>
        <w:t xml:space="preserve">: „V případě městských obvodů </w:t>
      </w:r>
      <w:proofErr w:type="gramStart"/>
      <w:r>
        <w:rPr>
          <w:rFonts w:ascii="Goudy Old Style ATT" w:hAnsi="Goudy Old Style ATT"/>
          <w:color w:val="000000"/>
        </w:rPr>
        <w:t>5 – 10</w:t>
      </w:r>
      <w:proofErr w:type="gramEnd"/>
      <w:r>
        <w:rPr>
          <w:rFonts w:ascii="Goudy Old Style ATT" w:hAnsi="Goudy Old Style ATT"/>
          <w:color w:val="000000"/>
        </w:rPr>
        <w:t xml:space="preserve"> musí být účetní závěrky mateřských škol projednány nejpozději do 30. června následujícího roku v zastupitelstvu městského obvodu.“. </w:t>
      </w:r>
    </w:p>
    <w:p w:rsidR="001505F3" w:rsidRDefault="001505F3" w:rsidP="001505F3">
      <w:pPr>
        <w:spacing w:after="120"/>
        <w:jc w:val="both"/>
        <w:rPr>
          <w:rFonts w:ascii="Goudy Old Style ATT" w:hAnsi="Goudy Old Style ATT"/>
          <w:color w:val="000000"/>
        </w:rPr>
      </w:pPr>
    </w:p>
    <w:p w:rsidR="008B30B6" w:rsidRPr="00D803F9" w:rsidRDefault="00D803F9" w:rsidP="00D803F9">
      <w:pPr>
        <w:numPr>
          <w:ilvl w:val="0"/>
          <w:numId w:val="1"/>
        </w:numPr>
        <w:spacing w:after="120"/>
        <w:ind w:firstLine="425"/>
        <w:jc w:val="both"/>
        <w:rPr>
          <w:rFonts w:ascii="Goudy Old Style ATT" w:hAnsi="Goudy Old Style ATT"/>
          <w:color w:val="000000"/>
        </w:rPr>
      </w:pPr>
      <w:r w:rsidRPr="00D803F9">
        <w:rPr>
          <w:rFonts w:ascii="Goudy Old Style ATT" w:hAnsi="Goudy Old Style ATT"/>
          <w:color w:val="000000"/>
        </w:rPr>
        <w:t xml:space="preserve">V čl. 29 se odstavec 10 zrušuje. </w:t>
      </w:r>
    </w:p>
    <w:p w:rsidR="00D803F9" w:rsidRPr="00D803F9" w:rsidRDefault="00D803F9" w:rsidP="00D803F9">
      <w:pPr>
        <w:spacing w:after="120"/>
        <w:ind w:left="850"/>
        <w:jc w:val="both"/>
        <w:rPr>
          <w:rFonts w:ascii="Goudy Old Style ATT" w:hAnsi="Goudy Old Style ATT"/>
          <w:color w:val="000000"/>
        </w:rPr>
      </w:pPr>
    </w:p>
    <w:p w:rsidR="008B30B6" w:rsidRDefault="008B30B6" w:rsidP="00E4756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w:t>
      </w:r>
      <w:r w:rsidR="00F94FED">
        <w:rPr>
          <w:rFonts w:ascii="Goudy Old Style ATT" w:hAnsi="Goudy Old Style ATT"/>
          <w:color w:val="000000"/>
        </w:rPr>
        <w:t>30 odst. 3 písm. a</w:t>
      </w:r>
      <w:r w:rsidR="00423D00">
        <w:rPr>
          <w:rFonts w:ascii="Goudy Old Style ATT" w:hAnsi="Goudy Old Style ATT"/>
          <w:color w:val="000000"/>
        </w:rPr>
        <w:t xml:space="preserve">) </w:t>
      </w:r>
      <w:r w:rsidR="00F94FED">
        <w:rPr>
          <w:rFonts w:ascii="Goudy Old Style ATT" w:hAnsi="Goudy Old Style ATT"/>
          <w:color w:val="000000"/>
        </w:rPr>
        <w:t>se za slova „vyjma zatěžování tohoto majetku právem stavby“ vkládají slova „a zákazem zcizení a zatížení“.</w:t>
      </w:r>
    </w:p>
    <w:p w:rsidR="008B30B6" w:rsidRDefault="008B30B6" w:rsidP="008B30B6">
      <w:pPr>
        <w:pStyle w:val="Odstavecseseznamem"/>
        <w:rPr>
          <w:rFonts w:ascii="Goudy Old Style ATT" w:hAnsi="Goudy Old Style ATT"/>
          <w:color w:val="000000"/>
        </w:rPr>
      </w:pPr>
    </w:p>
    <w:p w:rsidR="00C3136F" w:rsidRDefault="00C3136F" w:rsidP="005211C6">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 xml:space="preserve">V čl. </w:t>
      </w:r>
      <w:r w:rsidR="00F94FED">
        <w:rPr>
          <w:rFonts w:ascii="Goudy Old Style ATT" w:hAnsi="Goudy Old Style ATT"/>
          <w:color w:val="000000"/>
        </w:rPr>
        <w:t>30</w:t>
      </w:r>
      <w:r>
        <w:rPr>
          <w:rFonts w:ascii="Goudy Old Style ATT" w:hAnsi="Goudy Old Style ATT"/>
          <w:color w:val="000000"/>
        </w:rPr>
        <w:t xml:space="preserve"> </w:t>
      </w:r>
      <w:r w:rsidR="00F94FED">
        <w:rPr>
          <w:rFonts w:ascii="Goudy Old Style ATT" w:hAnsi="Goudy Old Style ATT"/>
          <w:color w:val="000000"/>
        </w:rPr>
        <w:t>odst. 7</w:t>
      </w:r>
      <w:r>
        <w:rPr>
          <w:rFonts w:ascii="Goudy Old Style ATT" w:hAnsi="Goudy Old Style ATT"/>
          <w:color w:val="000000"/>
        </w:rPr>
        <w:t xml:space="preserve"> </w:t>
      </w:r>
      <w:r w:rsidR="00F94FED">
        <w:rPr>
          <w:rFonts w:ascii="Goudy Old Style ATT" w:hAnsi="Goudy Old Style ATT"/>
          <w:color w:val="000000"/>
        </w:rPr>
        <w:t>poslední věta zní: „K odnětí trvalé správy nemovitého majetku uvedeného v příloze č. 3 Statutu obvodům je nutná změna přílohy č. 3 Statutu.</w:t>
      </w:r>
      <w:r>
        <w:rPr>
          <w:rFonts w:ascii="Goudy Old Style ATT" w:hAnsi="Goudy Old Style ATT"/>
          <w:color w:val="000000"/>
        </w:rPr>
        <w:t>“.</w:t>
      </w:r>
    </w:p>
    <w:p w:rsidR="00C3136F" w:rsidRDefault="00C3136F" w:rsidP="00C3136F">
      <w:pPr>
        <w:pStyle w:val="Odstavecseseznamem"/>
        <w:rPr>
          <w:rFonts w:ascii="Goudy Old Style ATT" w:hAnsi="Goudy Old Style ATT"/>
          <w:color w:val="000000"/>
        </w:rPr>
      </w:pPr>
    </w:p>
    <w:p w:rsidR="00273854" w:rsidRPr="006A0612" w:rsidRDefault="00273854" w:rsidP="00273854">
      <w:pPr>
        <w:numPr>
          <w:ilvl w:val="0"/>
          <w:numId w:val="1"/>
        </w:numPr>
        <w:spacing w:after="120"/>
        <w:ind w:firstLine="425"/>
        <w:jc w:val="both"/>
        <w:rPr>
          <w:rFonts w:ascii="Goudy Old Style ATT" w:hAnsi="Goudy Old Style ATT"/>
          <w:color w:val="000000"/>
        </w:rPr>
      </w:pPr>
      <w:r w:rsidRPr="006A0612">
        <w:rPr>
          <w:rFonts w:ascii="Goudy Old Style ATT" w:hAnsi="Goudy Old Style ATT"/>
          <w:color w:val="000000"/>
        </w:rPr>
        <w:t>V čl. 30 odstavec 10 zní:</w:t>
      </w:r>
    </w:p>
    <w:p w:rsidR="00273854" w:rsidRDefault="00273854" w:rsidP="00273854">
      <w:pPr>
        <w:widowControl w:val="0"/>
        <w:spacing w:after="120" w:line="276" w:lineRule="auto"/>
        <w:ind w:firstLine="709"/>
        <w:jc w:val="both"/>
        <w:rPr>
          <w:rFonts w:ascii="Goudy Old Style ATT" w:hAnsi="Goudy Old Style ATT"/>
          <w:color w:val="000000"/>
        </w:rPr>
      </w:pPr>
      <w:r w:rsidRPr="006A0612">
        <w:rPr>
          <w:rFonts w:ascii="Goudy Old Style ATT" w:hAnsi="Goudy Old Style ATT"/>
          <w:color w:val="000000"/>
        </w:rPr>
        <w:t>„(10) Městské obvody mají právo rozhodovat o pronájmu a pachtu pozemků a místních komunikací v majetku Plzně na území obvodu s předchozím souhlasem magistrátu, nejde-li o užívání pozemku či místních komunikací ke zřízení trvalé stavby nebo o užívání pozemku či místní komunikace ke zřízení dočasné stavby na dobu delší než 5 let nebo o užívání pozemku či místní komunikace za účelem dodatečného povolení již existující stavby na dobu delší než 5 let. V případě rozporu stanoviska magistrátu se záměrem rady obvodu rozhoduje o pronájmu a pachtu pozemků a místních komunikací rada města. Z této působnosti obvodů mohou být rozhodnutím zastupitelstva města vyňaty pozemky a místní komunikace v zónách zásadního celoměstského zájmu. Městské obvody nemají právo rozhodovat o pronájmu budovy, a to ani v případě, že je součástí pozemku.“.</w:t>
      </w:r>
    </w:p>
    <w:p w:rsidR="00273854" w:rsidRDefault="00273854" w:rsidP="00273854">
      <w:pPr>
        <w:pStyle w:val="Odstavecseseznamem"/>
        <w:rPr>
          <w:rFonts w:ascii="Goudy Old Style ATT" w:hAnsi="Goudy Old Style ATT"/>
          <w:color w:val="000000"/>
        </w:rPr>
      </w:pPr>
    </w:p>
    <w:p w:rsidR="005211C6" w:rsidRDefault="00F94FED" w:rsidP="00273854">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30 odst. 11 poslední věta zní: „O zřizování a rušení práva stavby, zástavního práva a zákazu zcizení a zatížení k nemovitostem rozhodují výhradně orgány celoměstské.“</w:t>
      </w:r>
      <w:r w:rsidR="005211C6" w:rsidRPr="00F94FED">
        <w:rPr>
          <w:rFonts w:ascii="Goudy Old Style ATT" w:hAnsi="Goudy Old Style ATT"/>
          <w:color w:val="000000"/>
        </w:rPr>
        <w:t>.</w:t>
      </w:r>
    </w:p>
    <w:p w:rsidR="003B120E" w:rsidRPr="00F94FED" w:rsidRDefault="003B120E" w:rsidP="00273854">
      <w:pPr>
        <w:jc w:val="both"/>
        <w:rPr>
          <w:rFonts w:ascii="Goudy Old Style ATT" w:hAnsi="Goudy Old Style ATT"/>
          <w:color w:val="000000"/>
        </w:rPr>
      </w:pPr>
    </w:p>
    <w:p w:rsidR="006D4741" w:rsidRPr="006D4741" w:rsidRDefault="006D4741" w:rsidP="003B120E">
      <w:pPr>
        <w:numPr>
          <w:ilvl w:val="0"/>
          <w:numId w:val="1"/>
        </w:numPr>
        <w:spacing w:after="120"/>
        <w:ind w:firstLine="425"/>
        <w:jc w:val="both"/>
        <w:rPr>
          <w:rFonts w:ascii="Goudy Old Style ATT" w:hAnsi="Goudy Old Style ATT"/>
        </w:rPr>
      </w:pPr>
      <w:r w:rsidRPr="006D4741">
        <w:rPr>
          <w:rFonts w:ascii="Goudy Old Style ATT" w:hAnsi="Goudy Old Style ATT"/>
        </w:rPr>
        <w:t>V příloze č. 3</w:t>
      </w:r>
      <w:r>
        <w:rPr>
          <w:rFonts w:ascii="Goudy Old Style ATT" w:hAnsi="Goudy Old Style ATT"/>
        </w:rPr>
        <w:t>, čl. 1 bodu 9. se slova „centrální p</w:t>
      </w:r>
      <w:r w:rsidR="00206F28">
        <w:rPr>
          <w:rFonts w:ascii="Goudy Old Style ATT" w:hAnsi="Goudy Old Style ATT"/>
        </w:rPr>
        <w:t>ark Lochotín“ nahrazují slovy „P</w:t>
      </w:r>
      <w:r>
        <w:rPr>
          <w:rFonts w:ascii="Goudy Old Style ATT" w:hAnsi="Goudy Old Style ATT"/>
        </w:rPr>
        <w:t>ark U Bazénu“.</w:t>
      </w:r>
      <w:r w:rsidRPr="006D4741">
        <w:rPr>
          <w:rFonts w:ascii="Goudy Old Style ATT" w:hAnsi="Goudy Old Style ATT"/>
        </w:rPr>
        <w:t xml:space="preserve"> </w:t>
      </w:r>
    </w:p>
    <w:p w:rsidR="006D4741" w:rsidRDefault="006D4741" w:rsidP="006D4741">
      <w:pPr>
        <w:pStyle w:val="Odstavecseseznamem"/>
        <w:rPr>
          <w:rFonts w:ascii="Goudy Old Style ATT" w:hAnsi="Goudy Old Style ATT"/>
        </w:rPr>
      </w:pPr>
    </w:p>
    <w:p w:rsidR="00647056" w:rsidRPr="00647056" w:rsidRDefault="00647056" w:rsidP="003B120E">
      <w:pPr>
        <w:numPr>
          <w:ilvl w:val="0"/>
          <w:numId w:val="1"/>
        </w:numPr>
        <w:spacing w:after="120"/>
        <w:ind w:firstLine="425"/>
        <w:jc w:val="both"/>
        <w:rPr>
          <w:rFonts w:ascii="Goudy Old Style ATT" w:hAnsi="Goudy Old Style ATT"/>
        </w:rPr>
      </w:pPr>
      <w:r w:rsidRPr="00206F28">
        <w:rPr>
          <w:rFonts w:ascii="Goudy Old Style ATT" w:hAnsi="Goudy Old Style ATT"/>
        </w:rPr>
        <w:t>V</w:t>
      </w:r>
      <w:r>
        <w:rPr>
          <w:rFonts w:ascii="Goudy Old Style ATT" w:hAnsi="Goudy Old Style ATT"/>
        </w:rPr>
        <w:t> </w:t>
      </w:r>
      <w:r w:rsidRPr="00647056">
        <w:rPr>
          <w:rFonts w:ascii="Goudy Old Style ATT" w:hAnsi="Goudy Old Style ATT"/>
        </w:rPr>
        <w:t>příloze</w:t>
      </w:r>
      <w:r>
        <w:rPr>
          <w:rFonts w:ascii="Goudy Old Style ATT" w:hAnsi="Goudy Old Style ATT"/>
        </w:rPr>
        <w:t xml:space="preserve"> č. 3, čl. 2</w:t>
      </w:r>
      <w:r w:rsidR="007F6345">
        <w:rPr>
          <w:rFonts w:ascii="Goudy Old Style ATT" w:hAnsi="Goudy Old Style ATT"/>
        </w:rPr>
        <w:t xml:space="preserve"> bod 21. zní:</w:t>
      </w:r>
      <w:r>
        <w:rPr>
          <w:rFonts w:ascii="Goudy Old Style ATT" w:hAnsi="Goudy Old Style ATT"/>
        </w:rPr>
        <w:t xml:space="preserve"> </w:t>
      </w:r>
    </w:p>
    <w:p w:rsidR="007F6345" w:rsidRPr="000F3E23" w:rsidRDefault="007F6345" w:rsidP="007F6345">
      <w:pPr>
        <w:spacing w:after="120" w:line="276" w:lineRule="auto"/>
        <w:ind w:left="709" w:hanging="567"/>
        <w:contextualSpacing/>
        <w:jc w:val="both"/>
        <w:rPr>
          <w:rFonts w:ascii="Goudy Old Style ATT" w:hAnsi="Goudy Old Style ATT"/>
          <w:color w:val="000000"/>
        </w:rPr>
      </w:pPr>
      <w:r>
        <w:rPr>
          <w:rFonts w:ascii="Goudy Old Style ATT" w:hAnsi="Goudy Old Style ATT"/>
          <w:color w:val="000000"/>
        </w:rPr>
        <w:t xml:space="preserve">„21. </w:t>
      </w:r>
      <w:r>
        <w:rPr>
          <w:rFonts w:ascii="Goudy Old Style ATT" w:hAnsi="Goudy Old Style ATT"/>
          <w:color w:val="000000"/>
        </w:rPr>
        <w:tab/>
      </w:r>
      <w:r w:rsidRPr="000F3E23">
        <w:rPr>
          <w:rFonts w:ascii="Goudy Old Style ATT" w:hAnsi="Goudy Old Style ATT"/>
          <w:color w:val="000000"/>
        </w:rPr>
        <w:t>Pozemky patřící k areálu „Božkovský ostrov“ p. č. 1188, p. č. 1189, p. č. 255/10, p. č. 1387/1</w:t>
      </w:r>
      <w:r>
        <w:rPr>
          <w:rFonts w:ascii="Goudy Old Style ATT" w:hAnsi="Goudy Old Style ATT"/>
          <w:color w:val="000000"/>
        </w:rPr>
        <w:t>,</w:t>
      </w:r>
      <w:r w:rsidRPr="000F3E23">
        <w:rPr>
          <w:rFonts w:ascii="Goudy Old Style ATT" w:hAnsi="Goudy Old Style ATT"/>
          <w:color w:val="000000"/>
        </w:rPr>
        <w:t xml:space="preserve"> spoluvlastnický podíl k pozemku </w:t>
      </w:r>
      <w:r>
        <w:rPr>
          <w:rFonts w:ascii="Goudy Old Style ATT" w:hAnsi="Goudy Old Style ATT"/>
          <w:color w:val="000000"/>
        </w:rPr>
        <w:t xml:space="preserve">p. č. </w:t>
      </w:r>
      <w:r w:rsidRPr="000F3E23">
        <w:rPr>
          <w:rFonts w:ascii="Goudy Old Style ATT" w:hAnsi="Goudy Old Style ATT"/>
          <w:color w:val="000000"/>
        </w:rPr>
        <w:t xml:space="preserve">255/2 ve výši 36/40, </w:t>
      </w:r>
      <w:r>
        <w:rPr>
          <w:rFonts w:ascii="Goudy Old Style ATT" w:hAnsi="Goudy Old Style ATT"/>
          <w:color w:val="000000"/>
        </w:rPr>
        <w:t>pozemek p. č. 252/2, jehož součástí je stavba bez čp/</w:t>
      </w:r>
      <w:proofErr w:type="spellStart"/>
      <w:r>
        <w:rPr>
          <w:rFonts w:ascii="Goudy Old Style ATT" w:hAnsi="Goudy Old Style ATT"/>
          <w:color w:val="000000"/>
        </w:rPr>
        <w:t>če</w:t>
      </w:r>
      <w:proofErr w:type="spellEnd"/>
      <w:r>
        <w:rPr>
          <w:rFonts w:ascii="Goudy Old Style ATT" w:hAnsi="Goudy Old Style ATT"/>
          <w:color w:val="000000"/>
        </w:rPr>
        <w:t xml:space="preserve">, jiná stavba, a pozemek p. č. 1191/5, </w:t>
      </w:r>
      <w:r w:rsidRPr="000F3E23">
        <w:rPr>
          <w:rFonts w:ascii="Goudy Old Style ATT" w:hAnsi="Goudy Old Style ATT"/>
          <w:color w:val="000000"/>
        </w:rPr>
        <w:t xml:space="preserve">vše k. </w:t>
      </w:r>
      <w:proofErr w:type="spellStart"/>
      <w:r w:rsidRPr="000F3E23">
        <w:rPr>
          <w:rFonts w:ascii="Goudy Old Style ATT" w:hAnsi="Goudy Old Style ATT"/>
          <w:color w:val="000000"/>
        </w:rPr>
        <w:t>ú.</w:t>
      </w:r>
      <w:proofErr w:type="spellEnd"/>
      <w:r w:rsidRPr="000F3E23">
        <w:rPr>
          <w:rFonts w:ascii="Goudy Old Style ATT" w:hAnsi="Goudy Old Style ATT"/>
          <w:color w:val="000000"/>
        </w:rPr>
        <w:t xml:space="preserve"> </w:t>
      </w:r>
      <w:proofErr w:type="spellStart"/>
      <w:r w:rsidRPr="000F3E23">
        <w:rPr>
          <w:rFonts w:ascii="Goudy Old Style ATT" w:hAnsi="Goudy Old Style ATT"/>
          <w:color w:val="000000"/>
        </w:rPr>
        <w:t>Božkov</w:t>
      </w:r>
      <w:proofErr w:type="spellEnd"/>
      <w:r w:rsidRPr="000F3E23">
        <w:rPr>
          <w:rFonts w:ascii="Goudy Old Style ATT" w:hAnsi="Goudy Old Style ATT"/>
          <w:color w:val="000000"/>
        </w:rPr>
        <w:t>.</w:t>
      </w:r>
      <w:r>
        <w:rPr>
          <w:rFonts w:ascii="Goudy Old Style ATT" w:hAnsi="Goudy Old Style ATT"/>
          <w:color w:val="000000"/>
        </w:rPr>
        <w:t>“.</w:t>
      </w:r>
    </w:p>
    <w:p w:rsidR="00647056" w:rsidRDefault="00647056" w:rsidP="00647056">
      <w:pPr>
        <w:pStyle w:val="Odstavecseseznamem"/>
        <w:rPr>
          <w:rFonts w:ascii="Goudy Old Style ATT" w:hAnsi="Goudy Old Style ATT"/>
        </w:rPr>
      </w:pPr>
    </w:p>
    <w:p w:rsidR="007F6345" w:rsidRDefault="007F6345" w:rsidP="003B120E">
      <w:pPr>
        <w:numPr>
          <w:ilvl w:val="0"/>
          <w:numId w:val="1"/>
        </w:numPr>
        <w:spacing w:after="120"/>
        <w:ind w:firstLine="425"/>
        <w:jc w:val="both"/>
        <w:rPr>
          <w:rFonts w:ascii="Goudy Old Style ATT" w:hAnsi="Goudy Old Style ATT"/>
        </w:rPr>
      </w:pPr>
      <w:r w:rsidRPr="00206F28">
        <w:rPr>
          <w:rFonts w:ascii="Goudy Old Style ATT" w:hAnsi="Goudy Old Style ATT"/>
        </w:rPr>
        <w:t>V</w:t>
      </w:r>
      <w:r w:rsidRPr="007F6345">
        <w:rPr>
          <w:rFonts w:ascii="Goudy Old Style ATT" w:hAnsi="Goudy Old Style ATT"/>
        </w:rPr>
        <w:t xml:space="preserve"> příloze č. </w:t>
      </w:r>
      <w:r>
        <w:rPr>
          <w:rFonts w:ascii="Goudy Old Style ATT" w:hAnsi="Goudy Old Style ATT"/>
        </w:rPr>
        <w:t xml:space="preserve">3, čl. 3 se bod 1. </w:t>
      </w:r>
      <w:r w:rsidR="00B802DA">
        <w:rPr>
          <w:rFonts w:ascii="Goudy Old Style ATT" w:hAnsi="Goudy Old Style ATT"/>
        </w:rPr>
        <w:t>zrušuje</w:t>
      </w:r>
      <w:r>
        <w:rPr>
          <w:rFonts w:ascii="Goudy Old Style ATT" w:hAnsi="Goudy Old Style ATT"/>
        </w:rPr>
        <w:t>.</w:t>
      </w:r>
    </w:p>
    <w:p w:rsidR="007F6345" w:rsidRPr="007F6345" w:rsidRDefault="007F6345" w:rsidP="007F6345">
      <w:pPr>
        <w:spacing w:after="120"/>
        <w:ind w:left="425"/>
        <w:jc w:val="both"/>
        <w:rPr>
          <w:rFonts w:ascii="Goudy Old Style ATT" w:hAnsi="Goudy Old Style ATT"/>
        </w:rPr>
      </w:pPr>
      <w:r>
        <w:rPr>
          <w:rFonts w:ascii="Goudy Old Style ATT" w:hAnsi="Goudy Old Style ATT"/>
        </w:rPr>
        <w:t>Dosavadní body 2. až 38. se označují jako body 1. až 37.</w:t>
      </w:r>
    </w:p>
    <w:p w:rsidR="00206F28" w:rsidRPr="00206F28" w:rsidRDefault="00206F28" w:rsidP="003B120E">
      <w:pPr>
        <w:numPr>
          <w:ilvl w:val="0"/>
          <w:numId w:val="1"/>
        </w:numPr>
        <w:spacing w:after="120"/>
        <w:ind w:firstLine="425"/>
        <w:jc w:val="both"/>
        <w:rPr>
          <w:rFonts w:ascii="Goudy Old Style ATT" w:hAnsi="Goudy Old Style ATT"/>
          <w:b/>
        </w:rPr>
      </w:pPr>
      <w:r w:rsidRPr="00206F28">
        <w:rPr>
          <w:rFonts w:ascii="Goudy Old Style ATT" w:hAnsi="Goudy Old Style ATT"/>
        </w:rPr>
        <w:lastRenderedPageBreak/>
        <w:t>V příloze</w:t>
      </w:r>
      <w:r>
        <w:rPr>
          <w:rFonts w:ascii="Goudy Old Style ATT" w:hAnsi="Goudy Old Style ATT"/>
        </w:rPr>
        <w:t xml:space="preserve"> č. 3, čl. 5 se za bod 8. vkládá nový bod 9. ve znění:</w:t>
      </w:r>
    </w:p>
    <w:p w:rsidR="00206F28" w:rsidRDefault="00206F28" w:rsidP="00206F28">
      <w:pPr>
        <w:spacing w:after="120"/>
        <w:ind w:left="425"/>
        <w:jc w:val="both"/>
        <w:rPr>
          <w:rFonts w:ascii="Goudy Old Style ATT" w:hAnsi="Goudy Old Style ATT"/>
        </w:rPr>
      </w:pPr>
      <w:r>
        <w:rPr>
          <w:rFonts w:ascii="Goudy Old Style ATT" w:hAnsi="Goudy Old Style ATT"/>
        </w:rPr>
        <w:t xml:space="preserve">„9. Pozemek p. č. 1880, k. </w:t>
      </w:r>
      <w:proofErr w:type="spellStart"/>
      <w:r>
        <w:rPr>
          <w:rFonts w:ascii="Goudy Old Style ATT" w:hAnsi="Goudy Old Style ATT"/>
        </w:rPr>
        <w:t>ú.</w:t>
      </w:r>
      <w:proofErr w:type="spellEnd"/>
      <w:r>
        <w:rPr>
          <w:rFonts w:ascii="Goudy Old Style ATT" w:hAnsi="Goudy Old Style ATT"/>
        </w:rPr>
        <w:t xml:space="preserve"> Křimice.“.</w:t>
      </w:r>
    </w:p>
    <w:p w:rsidR="00206F28" w:rsidRPr="00206F28" w:rsidRDefault="00206F28" w:rsidP="00206F28">
      <w:pPr>
        <w:ind w:left="425"/>
        <w:jc w:val="both"/>
        <w:rPr>
          <w:rFonts w:ascii="Goudy Old Style ATT" w:hAnsi="Goudy Old Style ATT"/>
          <w:b/>
        </w:rPr>
      </w:pPr>
      <w:r>
        <w:rPr>
          <w:rFonts w:ascii="Goudy Old Style ATT" w:hAnsi="Goudy Old Style ATT"/>
        </w:rPr>
        <w:t xml:space="preserve"> </w:t>
      </w:r>
    </w:p>
    <w:p w:rsidR="00526055" w:rsidRPr="00813E62" w:rsidRDefault="00526055" w:rsidP="003B120E">
      <w:pPr>
        <w:numPr>
          <w:ilvl w:val="0"/>
          <w:numId w:val="1"/>
        </w:numPr>
        <w:spacing w:after="120"/>
        <w:ind w:firstLine="425"/>
        <w:jc w:val="both"/>
        <w:rPr>
          <w:rFonts w:ascii="Goudy Old Style ATT" w:hAnsi="Goudy Old Style ATT"/>
        </w:rPr>
      </w:pPr>
      <w:r w:rsidRPr="00813E62">
        <w:rPr>
          <w:rFonts w:ascii="Goudy Old Style ATT" w:hAnsi="Goudy Old Style ATT"/>
        </w:rPr>
        <w:t>V příloze č. 3, čl. 6 bod 3. zní:</w:t>
      </w:r>
    </w:p>
    <w:p w:rsidR="00526055" w:rsidRPr="00F96B8F" w:rsidRDefault="00526055" w:rsidP="00526055">
      <w:pPr>
        <w:spacing w:after="120" w:line="276" w:lineRule="auto"/>
        <w:ind w:left="709" w:hanging="567"/>
        <w:contextualSpacing/>
        <w:jc w:val="both"/>
        <w:rPr>
          <w:rFonts w:ascii="Goudy Old Style ATT" w:hAnsi="Goudy Old Style ATT"/>
          <w:color w:val="000000"/>
        </w:rPr>
      </w:pPr>
      <w:r w:rsidRPr="00813E62">
        <w:rPr>
          <w:rFonts w:ascii="Goudy Old Style ATT" w:hAnsi="Goudy Old Style ATT"/>
        </w:rPr>
        <w:t xml:space="preserve">„3. </w:t>
      </w:r>
      <w:r w:rsidRPr="00813E62">
        <w:rPr>
          <w:rFonts w:ascii="Goudy Old Style ATT" w:hAnsi="Goudy Old Style ATT"/>
        </w:rPr>
        <w:tab/>
      </w:r>
      <w:r w:rsidRPr="00813E62">
        <w:rPr>
          <w:rFonts w:ascii="Goudy Old Style ATT" w:hAnsi="Goudy Old Style ATT"/>
          <w:color w:val="000000"/>
        </w:rPr>
        <w:t xml:space="preserve">Areál mateřské školy Budilovo náměstí 72 sestávající z pozemku st. 4, jehož součástí je stavba Litice č. p. 72, a pozemku p. č. 21/1, vše k. </w:t>
      </w:r>
      <w:proofErr w:type="spellStart"/>
      <w:r w:rsidRPr="00813E62">
        <w:rPr>
          <w:rFonts w:ascii="Goudy Old Style ATT" w:hAnsi="Goudy Old Style ATT"/>
          <w:color w:val="000000"/>
        </w:rPr>
        <w:t>ú.</w:t>
      </w:r>
      <w:proofErr w:type="spellEnd"/>
      <w:r w:rsidRPr="00813E62">
        <w:rPr>
          <w:rFonts w:ascii="Goudy Old Style ATT" w:hAnsi="Goudy Old Style ATT"/>
          <w:color w:val="000000"/>
        </w:rPr>
        <w:t xml:space="preserve"> Litice u Plzně.“.</w:t>
      </w:r>
    </w:p>
    <w:p w:rsidR="00526055" w:rsidRPr="00526055" w:rsidRDefault="00526055" w:rsidP="00526055">
      <w:pPr>
        <w:spacing w:after="120"/>
        <w:ind w:left="425"/>
        <w:jc w:val="both"/>
        <w:rPr>
          <w:rFonts w:ascii="Goudy Old Style ATT" w:hAnsi="Goudy Old Style ATT"/>
        </w:rPr>
      </w:pPr>
      <w:r w:rsidRPr="00526055">
        <w:rPr>
          <w:rFonts w:ascii="Goudy Old Style ATT" w:hAnsi="Goudy Old Style ATT"/>
        </w:rPr>
        <w:t xml:space="preserve"> </w:t>
      </w:r>
    </w:p>
    <w:p w:rsidR="003B120E" w:rsidRPr="003B120E" w:rsidRDefault="003B120E" w:rsidP="003B120E">
      <w:pPr>
        <w:numPr>
          <w:ilvl w:val="0"/>
          <w:numId w:val="1"/>
        </w:numPr>
        <w:spacing w:after="120"/>
        <w:ind w:firstLine="425"/>
        <w:jc w:val="both"/>
        <w:rPr>
          <w:rFonts w:ascii="Goudy Old Style ATT" w:hAnsi="Goudy Old Style ATT"/>
          <w:b/>
        </w:rPr>
      </w:pPr>
      <w:r>
        <w:rPr>
          <w:rFonts w:ascii="Goudy Old Style ATT" w:hAnsi="Goudy Old Style ATT"/>
        </w:rPr>
        <w:t>V příloze č. 3, čl. 7 bodu 2. se slova „p. č. 6/9,“ zrušují.</w:t>
      </w:r>
    </w:p>
    <w:p w:rsidR="003B120E" w:rsidRDefault="003B120E" w:rsidP="003B120E">
      <w:pPr>
        <w:pStyle w:val="Odstavecseseznamem"/>
        <w:rPr>
          <w:rFonts w:ascii="Goudy Old Style ATT" w:hAnsi="Goudy Old Style ATT"/>
          <w:b/>
        </w:rPr>
      </w:pPr>
    </w:p>
    <w:p w:rsidR="000166D5" w:rsidRPr="00273854" w:rsidRDefault="000166D5" w:rsidP="00273854">
      <w:pPr>
        <w:numPr>
          <w:ilvl w:val="0"/>
          <w:numId w:val="1"/>
        </w:numPr>
        <w:spacing w:after="120"/>
        <w:ind w:firstLine="425"/>
        <w:jc w:val="both"/>
        <w:rPr>
          <w:rFonts w:ascii="Goudy Old Style ATT" w:hAnsi="Goudy Old Style ATT"/>
        </w:rPr>
      </w:pPr>
      <w:r>
        <w:rPr>
          <w:rFonts w:ascii="Goudy Old Style ATT" w:hAnsi="Goudy Old Style ATT"/>
        </w:rPr>
        <w:t>V příloze č. 6, čl. 2 se za odstavec 2 vkládá nový odstavec 3 ve znění:</w:t>
      </w:r>
    </w:p>
    <w:p w:rsidR="000166D5" w:rsidRDefault="000166D5" w:rsidP="000166D5">
      <w:pPr>
        <w:spacing w:after="120"/>
        <w:ind w:firstLine="426"/>
        <w:jc w:val="both"/>
        <w:rPr>
          <w:rFonts w:ascii="Goudy Old Style ATT" w:hAnsi="Goudy Old Style ATT"/>
        </w:rPr>
      </w:pPr>
      <w:r>
        <w:rPr>
          <w:rFonts w:ascii="Goudy Old Style ATT" w:hAnsi="Goudy Old Style ATT"/>
        </w:rPr>
        <w:t>„(3) Vydávají rozhodnutí v rámci územního řízení s posouzením vlivů na životní prostředí. Vydávají rozhodnutí v rámci společného územního a stavebního řízení s posouzením vlivů na životní prostředí.“.</w:t>
      </w:r>
    </w:p>
    <w:p w:rsidR="000166D5" w:rsidRDefault="000166D5" w:rsidP="000166D5">
      <w:pPr>
        <w:spacing w:after="120"/>
        <w:ind w:firstLine="426"/>
        <w:jc w:val="both"/>
        <w:rPr>
          <w:rFonts w:ascii="Goudy Old Style ATT" w:hAnsi="Goudy Old Style ATT"/>
        </w:rPr>
      </w:pPr>
      <w:r>
        <w:rPr>
          <w:rFonts w:ascii="Goudy Old Style ATT" w:hAnsi="Goudy Old Style ATT"/>
        </w:rPr>
        <w:t>Dosavadní odstavce 3 až 11 se označují jako odstavce 4 až 12.</w:t>
      </w:r>
    </w:p>
    <w:p w:rsidR="000166D5" w:rsidRDefault="000166D5" w:rsidP="000166D5">
      <w:pPr>
        <w:pStyle w:val="Odstavecseseznamem"/>
        <w:rPr>
          <w:rFonts w:ascii="Goudy Old Style ATT" w:hAnsi="Goudy Old Style ATT"/>
        </w:rPr>
      </w:pPr>
    </w:p>
    <w:p w:rsidR="006A0612" w:rsidRPr="006A0612" w:rsidRDefault="006A0612" w:rsidP="005900AE">
      <w:pPr>
        <w:numPr>
          <w:ilvl w:val="0"/>
          <w:numId w:val="1"/>
        </w:numPr>
        <w:spacing w:after="120"/>
        <w:ind w:firstLine="425"/>
        <w:jc w:val="both"/>
        <w:rPr>
          <w:rFonts w:ascii="Goudy Old Style ATT" w:hAnsi="Goudy Old Style ATT"/>
        </w:rPr>
      </w:pPr>
      <w:r w:rsidRPr="006A0612">
        <w:rPr>
          <w:rFonts w:ascii="Goudy Old Style ATT" w:hAnsi="Goudy Old Style ATT"/>
        </w:rPr>
        <w:t>V příloze č. 6, čl. 5 odst. 1 se slova „</w:t>
      </w:r>
      <w:r w:rsidRPr="006A0612">
        <w:rPr>
          <w:rFonts w:ascii="Goudy Old Style ATT" w:hAnsi="Goudy Old Style ATT"/>
          <w:kern w:val="20"/>
        </w:rPr>
        <w:t>nejedná-li se o ukládání pokut podle § 87 odst. 3 písm. i), § 88 odst. 1 písm. n) a odst. 2 písm. k)“ nahrazují slovy „nejedná-li se o ukládání pokut podle § 87 odst. 3 písm. i) a m), § 88 odst. 1 písm. i) a n) a odst. 2 písm. b) a k)“.</w:t>
      </w:r>
    </w:p>
    <w:p w:rsidR="006A0612" w:rsidRDefault="006A0612" w:rsidP="006A0612">
      <w:pPr>
        <w:ind w:left="425"/>
        <w:jc w:val="both"/>
        <w:rPr>
          <w:rFonts w:ascii="Goudy Old Style ATT" w:hAnsi="Goudy Old Style ATT"/>
        </w:rPr>
      </w:pPr>
    </w:p>
    <w:p w:rsidR="00D76DED" w:rsidRPr="00FB2105" w:rsidRDefault="00D76DED" w:rsidP="00D76DED">
      <w:pPr>
        <w:numPr>
          <w:ilvl w:val="0"/>
          <w:numId w:val="1"/>
        </w:numPr>
        <w:spacing w:after="120"/>
        <w:ind w:firstLine="425"/>
        <w:jc w:val="both"/>
        <w:rPr>
          <w:rFonts w:ascii="Goudy Old Style ATT" w:hAnsi="Goudy Old Style ATT"/>
        </w:rPr>
      </w:pPr>
      <w:r w:rsidRPr="00FB2105">
        <w:rPr>
          <w:rFonts w:ascii="Goudy Old Style ATT" w:hAnsi="Goudy Old Style ATT"/>
        </w:rPr>
        <w:t>V příloze č. 6, čl. 6 odstavec 4 zní:</w:t>
      </w:r>
    </w:p>
    <w:p w:rsidR="00D76DED" w:rsidRPr="00D76DED" w:rsidRDefault="00D76DED" w:rsidP="00D76DED">
      <w:pPr>
        <w:spacing w:after="120" w:line="276" w:lineRule="auto"/>
        <w:ind w:firstLine="425"/>
        <w:jc w:val="both"/>
        <w:rPr>
          <w:rFonts w:ascii="Goudy Old Style ATT" w:hAnsi="Goudy Old Style ATT"/>
          <w:kern w:val="20"/>
        </w:rPr>
      </w:pPr>
      <w:r w:rsidRPr="00FB2105">
        <w:rPr>
          <w:rFonts w:ascii="Goudy Old Style ATT" w:hAnsi="Goudy Old Style ATT"/>
          <w:kern w:val="20"/>
          <w:szCs w:val="23"/>
        </w:rPr>
        <w:t>„(4) Plní úkoly obce v souvislosti se zapečetěním prostor, kde bylo chováno zvíře či zvířata, podle zákona č. 246/1992 Sb., na ochranu zvířat proti týrání, a dále plní úkoly obecního úřadu obce s rozšířenou působností podle zákona č. 246/1992 Sb., na ochranu zvířat proti týrání, vyjma projednávání přestupků fyzických osob, nejde-li o projednání přestupku, s nímž je spojeno uložení zvláštního opatření dle tohoto zákona, a dále vyjma projednávání přestupků právnických a podnikajících fyzických osob podle § 27a odst. 1 písm. n) tohoto zákona.“.</w:t>
      </w:r>
    </w:p>
    <w:p w:rsidR="00D76DED" w:rsidRDefault="00D76DED" w:rsidP="00D76DED">
      <w:pPr>
        <w:pStyle w:val="Odstavecseseznamem"/>
        <w:rPr>
          <w:rFonts w:ascii="Goudy Old Style ATT" w:hAnsi="Goudy Old Style ATT"/>
        </w:rPr>
      </w:pPr>
    </w:p>
    <w:p w:rsidR="00E424B9" w:rsidRDefault="003B120E" w:rsidP="005900AE">
      <w:pPr>
        <w:numPr>
          <w:ilvl w:val="0"/>
          <w:numId w:val="1"/>
        </w:numPr>
        <w:spacing w:after="120"/>
        <w:ind w:firstLine="425"/>
        <w:jc w:val="both"/>
        <w:rPr>
          <w:rFonts w:ascii="Goudy Old Style ATT" w:hAnsi="Goudy Old Style ATT"/>
        </w:rPr>
      </w:pPr>
      <w:r>
        <w:rPr>
          <w:rFonts w:ascii="Goudy Old Style ATT" w:hAnsi="Goudy Old Style ATT"/>
        </w:rPr>
        <w:t>V příloze č. 6, čl. 9 odst. 3</w:t>
      </w:r>
      <w:r w:rsidR="00E424B9">
        <w:rPr>
          <w:rFonts w:ascii="Goudy Old Style ATT" w:hAnsi="Goudy Old Style ATT"/>
        </w:rPr>
        <w:t xml:space="preserve"> se slova „</w:t>
      </w:r>
      <w:r>
        <w:rPr>
          <w:rFonts w:ascii="Goudy Old Style ATT" w:hAnsi="Goudy Old Style ATT"/>
        </w:rPr>
        <w:t>správních deliktů</w:t>
      </w:r>
      <w:r w:rsidR="00E424B9">
        <w:rPr>
          <w:rFonts w:ascii="Goudy Old Style ATT" w:hAnsi="Goudy Old Style ATT"/>
        </w:rPr>
        <w:t>“ nahrazují slovy „</w:t>
      </w:r>
      <w:r>
        <w:rPr>
          <w:rFonts w:ascii="Goudy Old Style ATT" w:hAnsi="Goudy Old Style ATT"/>
          <w:kern w:val="20"/>
          <w:szCs w:val="23"/>
        </w:rPr>
        <w:t>přestupků</w:t>
      </w:r>
      <w:r w:rsidR="00E424B9">
        <w:rPr>
          <w:rFonts w:ascii="Goudy Old Style ATT" w:hAnsi="Goudy Old Style ATT"/>
          <w:kern w:val="20"/>
          <w:szCs w:val="23"/>
        </w:rPr>
        <w:t>“.</w:t>
      </w:r>
    </w:p>
    <w:p w:rsidR="00E424B9" w:rsidRDefault="00E424B9" w:rsidP="00E424B9">
      <w:pPr>
        <w:pStyle w:val="Odstavecseseznamem"/>
        <w:rPr>
          <w:rFonts w:ascii="Goudy Old Style ATT" w:hAnsi="Goudy Old Style ATT"/>
        </w:rPr>
      </w:pPr>
    </w:p>
    <w:p w:rsidR="005900AE" w:rsidRDefault="005900AE" w:rsidP="005900AE">
      <w:pPr>
        <w:numPr>
          <w:ilvl w:val="0"/>
          <w:numId w:val="1"/>
        </w:numPr>
        <w:spacing w:after="120"/>
        <w:ind w:firstLine="425"/>
        <w:jc w:val="both"/>
        <w:rPr>
          <w:rFonts w:ascii="Goudy Old Style ATT" w:hAnsi="Goudy Old Style ATT"/>
        </w:rPr>
      </w:pPr>
      <w:r w:rsidRPr="005900AE">
        <w:rPr>
          <w:rFonts w:ascii="Goudy Old Style ATT" w:hAnsi="Goudy Old Style ATT"/>
        </w:rPr>
        <w:t>V příloze č.</w:t>
      </w:r>
      <w:r w:rsidR="003B120E">
        <w:rPr>
          <w:rFonts w:ascii="Goudy Old Style ATT" w:hAnsi="Goudy Old Style ATT"/>
        </w:rPr>
        <w:t xml:space="preserve"> 6 článek 13, včetně poznám</w:t>
      </w:r>
      <w:r>
        <w:rPr>
          <w:rFonts w:ascii="Goudy Old Style ATT" w:hAnsi="Goudy Old Style ATT"/>
        </w:rPr>
        <w:t>k</w:t>
      </w:r>
      <w:r w:rsidR="003B120E">
        <w:rPr>
          <w:rFonts w:ascii="Goudy Old Style ATT" w:hAnsi="Goudy Old Style ATT"/>
        </w:rPr>
        <w:t>y</w:t>
      </w:r>
      <w:r>
        <w:rPr>
          <w:rFonts w:ascii="Goudy Old Style ATT" w:hAnsi="Goudy Old Style ATT"/>
        </w:rPr>
        <w:t xml:space="preserve"> pod čarou</w:t>
      </w:r>
      <w:r w:rsidR="003B120E">
        <w:rPr>
          <w:rFonts w:ascii="Goudy Old Style ATT" w:hAnsi="Goudy Old Style ATT"/>
        </w:rPr>
        <w:t xml:space="preserve"> č. 38</w:t>
      </w:r>
      <w:r>
        <w:rPr>
          <w:rFonts w:ascii="Goudy Old Style ATT" w:hAnsi="Goudy Old Style ATT"/>
        </w:rPr>
        <w:t>, zní:</w:t>
      </w:r>
    </w:p>
    <w:p w:rsidR="003B120E" w:rsidRDefault="003B120E" w:rsidP="003B120E">
      <w:pPr>
        <w:pStyle w:val="Nadpis4"/>
        <w:spacing w:before="240" w:after="120"/>
        <w:rPr>
          <w:rFonts w:ascii="Goudy Old Style ATT" w:hAnsi="Goudy Old Style ATT"/>
          <w:spacing w:val="4"/>
        </w:rPr>
      </w:pPr>
      <w:bookmarkStart w:id="2" w:name="_Toc465489624"/>
      <w:bookmarkStart w:id="3" w:name="_Toc466430538"/>
      <w:bookmarkStart w:id="4" w:name="_Toc528061765"/>
      <w:r w:rsidRPr="003B120E">
        <w:rPr>
          <w:rFonts w:ascii="Goudy Old Style ATT" w:hAnsi="Goudy Old Style ATT"/>
          <w:b w:val="0"/>
          <w:spacing w:val="4"/>
        </w:rPr>
        <w:t>„</w:t>
      </w:r>
      <w:r>
        <w:rPr>
          <w:rFonts w:ascii="Goudy Old Style ATT" w:hAnsi="Goudy Old Style ATT"/>
          <w:spacing w:val="4"/>
        </w:rPr>
        <w:t>Článek 13</w:t>
      </w:r>
      <w:r>
        <w:rPr>
          <w:rFonts w:ascii="Goudy Old Style ATT" w:hAnsi="Goudy Old Style ATT"/>
          <w:spacing w:val="4"/>
        </w:rPr>
        <w:br/>
        <w:t>Zdravotnictví</w:t>
      </w:r>
      <w:bookmarkEnd w:id="2"/>
      <w:bookmarkEnd w:id="3"/>
      <w:bookmarkEnd w:id="4"/>
    </w:p>
    <w:p w:rsidR="003B120E" w:rsidRPr="00E967DA" w:rsidRDefault="003B120E" w:rsidP="00E967DA">
      <w:pPr>
        <w:jc w:val="both"/>
        <w:rPr>
          <w:rFonts w:ascii="Goudy Old Style ATT" w:hAnsi="Goudy Old Style ATT"/>
          <w:vertAlign w:val="superscript"/>
        </w:rPr>
      </w:pPr>
      <w:r>
        <w:rPr>
          <w:rFonts w:ascii="Goudy Old Style ATT" w:hAnsi="Goudy Old Style ATT"/>
          <w:kern w:val="20"/>
        </w:rPr>
        <w:tab/>
        <w:t>Plní úkoly na úseku zdravotnictví vyjma</w:t>
      </w:r>
      <w:r>
        <w:rPr>
          <w:rFonts w:ascii="Goudy Old Style ATT" w:hAnsi="Goudy Old Style ATT"/>
        </w:rPr>
        <w:t xml:space="preserve"> úkolů obce v přenesené působnosti na úseku ochrany zdraví před škodlivými účinky návykových látek podle zvláštního právního</w:t>
      </w:r>
      <w:r w:rsidR="00E967DA">
        <w:rPr>
          <w:rFonts w:ascii="Goudy Old Style ATT" w:hAnsi="Goudy Old Style ATT"/>
        </w:rPr>
        <w:t xml:space="preserve"> </w:t>
      </w:r>
      <w:r>
        <w:rPr>
          <w:rFonts w:ascii="Goudy Old Style ATT" w:hAnsi="Goudy Old Style ATT"/>
        </w:rPr>
        <w:t>předpisu.</w:t>
      </w:r>
      <w:r w:rsidR="00E967DA">
        <w:rPr>
          <w:rFonts w:ascii="Goudy Old Style ATT" w:hAnsi="Goudy Old Style ATT"/>
          <w:vertAlign w:val="superscript"/>
        </w:rPr>
        <w:t>38</w:t>
      </w:r>
    </w:p>
    <w:p w:rsidR="003B120E" w:rsidRDefault="003B120E" w:rsidP="003B120E">
      <w:pPr>
        <w:rPr>
          <w:rFonts w:ascii="Goudy Old Style ATT" w:hAnsi="Goudy Old Style ATT"/>
        </w:rPr>
      </w:pPr>
    </w:p>
    <w:p w:rsidR="00140D73" w:rsidRPr="00140D73" w:rsidRDefault="00140D73" w:rsidP="00E967DA">
      <w:pPr>
        <w:spacing w:after="120"/>
        <w:rPr>
          <w:rFonts w:ascii="Goudy Old Style ATT" w:hAnsi="Goudy Old Style ATT"/>
        </w:rPr>
      </w:pPr>
      <w:r>
        <w:rPr>
          <w:rFonts w:ascii="Goudy Old Style ATT" w:hAnsi="Goudy Old Style ATT"/>
          <w:vertAlign w:val="superscript"/>
        </w:rPr>
        <w:t>3</w:t>
      </w:r>
      <w:r w:rsidR="00E967DA">
        <w:rPr>
          <w:rFonts w:ascii="Goudy Old Style ATT" w:hAnsi="Goudy Old Style ATT"/>
          <w:vertAlign w:val="superscript"/>
        </w:rPr>
        <w:t>8</w:t>
      </w:r>
      <w:r>
        <w:rPr>
          <w:rFonts w:ascii="Goudy Old Style ATT" w:hAnsi="Goudy Old Style ATT"/>
        </w:rPr>
        <w:t xml:space="preserve"> </w:t>
      </w:r>
      <w:r w:rsidR="00E967DA">
        <w:t>Zákon č. 65/2017 Sb., o ochraně zdraví před škodlivými účinky návykových látek.</w:t>
      </w:r>
      <w:r w:rsidR="00E967DA">
        <w:rPr>
          <w:rFonts w:ascii="Goudy Old Style ATT" w:hAnsi="Goudy Old Style ATT"/>
        </w:rPr>
        <w:t>“.</w:t>
      </w:r>
    </w:p>
    <w:p w:rsidR="00140D73" w:rsidRDefault="00140D73" w:rsidP="00BB6E0C">
      <w:pPr>
        <w:spacing w:after="120"/>
        <w:ind w:left="425"/>
        <w:jc w:val="both"/>
        <w:rPr>
          <w:rFonts w:ascii="Goudy Old Style ATT" w:hAnsi="Goudy Old Style ATT"/>
        </w:rPr>
      </w:pPr>
    </w:p>
    <w:p w:rsidR="00E967DA" w:rsidRPr="00E967DA" w:rsidRDefault="00E967DA" w:rsidP="00E967DA">
      <w:pPr>
        <w:numPr>
          <w:ilvl w:val="0"/>
          <w:numId w:val="1"/>
        </w:numPr>
        <w:spacing w:after="120"/>
        <w:ind w:firstLine="425"/>
        <w:jc w:val="both"/>
      </w:pPr>
      <w:r>
        <w:rPr>
          <w:rFonts w:ascii="Goudy Old Style ATT" w:hAnsi="Goudy Old Style ATT"/>
        </w:rPr>
        <w:t>V příloze č. 6, čl. 15</w:t>
      </w:r>
      <w:r w:rsidR="00140D73">
        <w:rPr>
          <w:rFonts w:ascii="Goudy Old Style ATT" w:hAnsi="Goudy Old Style ATT"/>
        </w:rPr>
        <w:t xml:space="preserve"> </w:t>
      </w:r>
      <w:r>
        <w:rPr>
          <w:rFonts w:ascii="Goudy Old Style ATT" w:hAnsi="Goudy Old Style ATT"/>
        </w:rPr>
        <w:t>odst. 2 se slova „a správní delikty“ zrušují.</w:t>
      </w:r>
    </w:p>
    <w:p w:rsidR="00140D73" w:rsidRDefault="00E967DA" w:rsidP="00E967DA">
      <w:pPr>
        <w:spacing w:after="120"/>
        <w:ind w:left="425"/>
        <w:jc w:val="both"/>
      </w:pPr>
      <w:r>
        <w:t xml:space="preserve"> </w:t>
      </w:r>
    </w:p>
    <w:p w:rsidR="00E967DA" w:rsidRDefault="00E967DA" w:rsidP="00140D73">
      <w:pPr>
        <w:numPr>
          <w:ilvl w:val="0"/>
          <w:numId w:val="1"/>
        </w:numPr>
        <w:spacing w:after="120"/>
        <w:ind w:firstLine="425"/>
        <w:jc w:val="both"/>
        <w:rPr>
          <w:rFonts w:ascii="Goudy Old Style ATT" w:hAnsi="Goudy Old Style ATT"/>
        </w:rPr>
      </w:pPr>
      <w:r>
        <w:rPr>
          <w:rFonts w:ascii="Goudy Old Style ATT" w:hAnsi="Goudy Old Style ATT"/>
        </w:rPr>
        <w:t>V příloze č. 6, čl. 16</w:t>
      </w:r>
      <w:r w:rsidR="00D05FAD">
        <w:rPr>
          <w:rFonts w:ascii="Goudy Old Style ATT" w:hAnsi="Goudy Old Style ATT"/>
        </w:rPr>
        <w:t xml:space="preserve"> </w:t>
      </w:r>
      <w:r>
        <w:rPr>
          <w:rFonts w:ascii="Goudy Old Style ATT" w:hAnsi="Goudy Old Style ATT"/>
        </w:rPr>
        <w:t>odstavec 10 zní:</w:t>
      </w:r>
    </w:p>
    <w:p w:rsidR="00E967DA" w:rsidRDefault="00E967DA" w:rsidP="00E967DA">
      <w:pPr>
        <w:pStyle w:val="Odstavecseseznamem"/>
        <w:rPr>
          <w:rFonts w:ascii="Goudy Old Style ATT" w:hAnsi="Goudy Old Style ATT"/>
        </w:rPr>
      </w:pPr>
    </w:p>
    <w:p w:rsidR="00E967DA" w:rsidRDefault="00E967DA" w:rsidP="00E967DA">
      <w:pPr>
        <w:spacing w:after="120"/>
        <w:ind w:firstLine="709"/>
        <w:jc w:val="both"/>
        <w:rPr>
          <w:rFonts w:ascii="Goudy Old Style ATT" w:hAnsi="Goudy Old Style ATT"/>
          <w:kern w:val="20"/>
        </w:rPr>
      </w:pPr>
      <w:r>
        <w:rPr>
          <w:rFonts w:ascii="Goudy Old Style ATT" w:hAnsi="Goudy Old Style ATT"/>
        </w:rPr>
        <w:lastRenderedPageBreak/>
        <w:t xml:space="preserve">„(10) </w:t>
      </w:r>
      <w:r>
        <w:rPr>
          <w:rFonts w:ascii="Goudy Old Style ATT" w:hAnsi="Goudy Old Style ATT"/>
          <w:kern w:val="20"/>
        </w:rPr>
        <w:t>Rozhodují o přestupcích, k jejichž projednání nejsou příslušné orgány městských obvodů.“.</w:t>
      </w:r>
    </w:p>
    <w:p w:rsidR="00D05FAD" w:rsidRDefault="00E967DA" w:rsidP="00E967DA">
      <w:pPr>
        <w:spacing w:after="120"/>
        <w:ind w:left="425"/>
        <w:jc w:val="both"/>
        <w:rPr>
          <w:rFonts w:ascii="Goudy Old Style ATT" w:hAnsi="Goudy Old Style ATT"/>
        </w:rPr>
      </w:pPr>
      <w:r>
        <w:rPr>
          <w:rFonts w:ascii="Goudy Old Style ATT" w:hAnsi="Goudy Old Style ATT"/>
          <w:kern w:val="20"/>
        </w:rPr>
        <w:t xml:space="preserve"> </w:t>
      </w:r>
      <w:r w:rsidR="00D05FAD">
        <w:rPr>
          <w:rFonts w:ascii="Goudy Old Style ATT" w:hAnsi="Goudy Old Style ATT"/>
        </w:rPr>
        <w:t xml:space="preserve"> </w:t>
      </w:r>
    </w:p>
    <w:p w:rsidR="00FB2105" w:rsidRDefault="00FB2105"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2 odstavec</w:t>
      </w:r>
      <w:r w:rsidR="000166D5">
        <w:rPr>
          <w:rFonts w:ascii="Goudy Old Style ATT" w:hAnsi="Goudy Old Style ATT"/>
        </w:rPr>
        <w:t xml:space="preserve"> 4 </w:t>
      </w:r>
      <w:r>
        <w:rPr>
          <w:rFonts w:ascii="Goudy Old Style ATT" w:hAnsi="Goudy Old Style ATT"/>
        </w:rPr>
        <w:t>zní:</w:t>
      </w:r>
    </w:p>
    <w:p w:rsidR="000166D5" w:rsidRDefault="00FB2105" w:rsidP="00FB2105">
      <w:pPr>
        <w:spacing w:after="120"/>
        <w:ind w:firstLine="709"/>
        <w:jc w:val="both"/>
        <w:rPr>
          <w:rFonts w:ascii="Goudy Old Style ATT" w:hAnsi="Goudy Old Style ATT"/>
          <w:kern w:val="20"/>
        </w:rPr>
      </w:pPr>
      <w:r>
        <w:rPr>
          <w:rFonts w:ascii="Goudy Old Style ATT" w:hAnsi="Goudy Old Style ATT"/>
        </w:rPr>
        <w:t xml:space="preserve">„(4) </w:t>
      </w:r>
      <w:r w:rsidRPr="00FB0C2E">
        <w:rPr>
          <w:rFonts w:ascii="Goudy Old Style ATT" w:hAnsi="Goudy Old Style ATT"/>
          <w:kern w:val="20"/>
        </w:rPr>
        <w:t xml:space="preserve">Vydávají rozhodnutí v rámci </w:t>
      </w:r>
      <w:r>
        <w:rPr>
          <w:rFonts w:ascii="Goudy Old Style ATT" w:hAnsi="Goudy Old Style ATT"/>
          <w:kern w:val="20"/>
        </w:rPr>
        <w:t xml:space="preserve">společného </w:t>
      </w:r>
      <w:r w:rsidRPr="00FB0C2E">
        <w:rPr>
          <w:rFonts w:ascii="Goudy Old Style ATT" w:hAnsi="Goudy Old Style ATT"/>
          <w:kern w:val="20"/>
        </w:rPr>
        <w:t>územního a stavebního řízení</w:t>
      </w:r>
      <w:r>
        <w:rPr>
          <w:rFonts w:ascii="Goudy Old Style ATT" w:hAnsi="Goudy Old Style ATT"/>
          <w:kern w:val="20"/>
        </w:rPr>
        <w:t xml:space="preserve"> a územní rozhodnutí u záměrů, pro které stavební zákon nevyžaduje stavební povolení ani ohlášení</w:t>
      </w:r>
      <w:r w:rsidRPr="00FB0C2E">
        <w:rPr>
          <w:rFonts w:ascii="Goudy Old Style ATT" w:hAnsi="Goudy Old Style ATT"/>
          <w:kern w:val="20"/>
        </w:rPr>
        <w:t>.</w:t>
      </w:r>
      <w:r>
        <w:rPr>
          <w:rFonts w:ascii="Goudy Old Style ATT" w:hAnsi="Goudy Old Style ATT"/>
          <w:kern w:val="20"/>
        </w:rPr>
        <w:t>“.</w:t>
      </w:r>
    </w:p>
    <w:p w:rsidR="00FB2105" w:rsidRDefault="00FB2105" w:rsidP="00FB2105">
      <w:pPr>
        <w:spacing w:after="120"/>
        <w:ind w:firstLine="709"/>
        <w:jc w:val="both"/>
        <w:rPr>
          <w:rFonts w:ascii="Goudy Old Style ATT" w:hAnsi="Goudy Old Style ATT"/>
        </w:rPr>
      </w:pPr>
    </w:p>
    <w:p w:rsidR="006A0612" w:rsidRPr="006A0612" w:rsidRDefault="006A0612" w:rsidP="00140D73">
      <w:pPr>
        <w:numPr>
          <w:ilvl w:val="0"/>
          <w:numId w:val="1"/>
        </w:numPr>
        <w:spacing w:after="120"/>
        <w:ind w:firstLine="425"/>
        <w:jc w:val="both"/>
        <w:rPr>
          <w:rFonts w:ascii="Goudy Old Style ATT" w:hAnsi="Goudy Old Style ATT"/>
        </w:rPr>
      </w:pPr>
      <w:r w:rsidRPr="006A0612">
        <w:rPr>
          <w:rFonts w:ascii="Goudy Old Style ATT" w:hAnsi="Goudy Old Style ATT"/>
        </w:rPr>
        <w:t>V příloze č. 7, čl. 4 odst. 1 se slova „</w:t>
      </w:r>
      <w:r w:rsidRPr="006A0612">
        <w:rPr>
          <w:rFonts w:ascii="Goudy Old Style ATT" w:hAnsi="Goudy Old Style ATT"/>
          <w:kern w:val="20"/>
          <w:szCs w:val="23"/>
        </w:rPr>
        <w:t>vyjma § 87 odst. 3 písm. i), § 88 odst. 1 písm. n) a odst. 2 písm. k) tohoto zákona“ nahrazují slovy „vyjma § 87 odst. 3 písm. i) a m), § 88 odst. 1 písm. i) a n) a odst. 2 písm. b) a k) tohoto zákona“.</w:t>
      </w:r>
    </w:p>
    <w:p w:rsidR="006A0612" w:rsidRDefault="006A0612" w:rsidP="006A0612">
      <w:pPr>
        <w:pStyle w:val="Odstavecseseznamem"/>
        <w:rPr>
          <w:rFonts w:ascii="Goudy Old Style ATT" w:hAnsi="Goudy Old Style ATT"/>
        </w:rPr>
      </w:pPr>
    </w:p>
    <w:p w:rsidR="00D76DED" w:rsidRPr="00FB2105" w:rsidRDefault="00D76DED" w:rsidP="00140D73">
      <w:pPr>
        <w:numPr>
          <w:ilvl w:val="0"/>
          <w:numId w:val="1"/>
        </w:numPr>
        <w:spacing w:after="120"/>
        <w:ind w:firstLine="425"/>
        <w:jc w:val="both"/>
        <w:rPr>
          <w:rFonts w:ascii="Goudy Old Style ATT" w:hAnsi="Goudy Old Style ATT"/>
        </w:rPr>
      </w:pPr>
      <w:r w:rsidRPr="00FB2105">
        <w:rPr>
          <w:rFonts w:ascii="Goudy Old Style ATT" w:hAnsi="Goudy Old Style ATT"/>
        </w:rPr>
        <w:t>V příloze č. 7, čl. 5 odstavec 3 zní:</w:t>
      </w:r>
    </w:p>
    <w:p w:rsidR="00D76DED" w:rsidRDefault="00D76DED" w:rsidP="00D76DED">
      <w:pPr>
        <w:spacing w:after="120"/>
        <w:ind w:firstLine="425"/>
        <w:jc w:val="both"/>
        <w:rPr>
          <w:rFonts w:ascii="Goudy Old Style ATT" w:hAnsi="Goudy Old Style ATT"/>
        </w:rPr>
      </w:pPr>
      <w:r w:rsidRPr="00FB2105">
        <w:rPr>
          <w:rFonts w:ascii="Goudy Old Style ATT" w:hAnsi="Goudy Old Style ATT"/>
          <w:kern w:val="20"/>
          <w:szCs w:val="23"/>
        </w:rPr>
        <w:t xml:space="preserve">„(3) Projednávají přestupky fyzických osob podle zákona č. 246/1992 Sb., na ochranu zvířat proti týrání, nejde-li o projednání přestupku, s nímž je spojeno uložení zvláštního opatření dle tohoto zákona, a dále projednávají přestupky právnických a podnikajících fyzických osob podle § </w:t>
      </w:r>
      <w:proofErr w:type="gramStart"/>
      <w:r w:rsidRPr="00FB2105">
        <w:rPr>
          <w:rFonts w:ascii="Goudy Old Style ATT" w:hAnsi="Goudy Old Style ATT"/>
          <w:kern w:val="20"/>
          <w:szCs w:val="23"/>
        </w:rPr>
        <w:t>27a</w:t>
      </w:r>
      <w:proofErr w:type="gramEnd"/>
      <w:r w:rsidRPr="00FB2105">
        <w:rPr>
          <w:rFonts w:ascii="Goudy Old Style ATT" w:hAnsi="Goudy Old Style ATT"/>
          <w:kern w:val="20"/>
          <w:szCs w:val="23"/>
        </w:rPr>
        <w:t xml:space="preserve"> odst. 1 písm. n) tohoto zákona.“.</w:t>
      </w:r>
    </w:p>
    <w:p w:rsidR="00D76DED" w:rsidRDefault="00D76DED" w:rsidP="00D76DED">
      <w:pPr>
        <w:pStyle w:val="Odstavecseseznamem"/>
        <w:spacing w:after="120"/>
        <w:ind w:left="709"/>
        <w:rPr>
          <w:rFonts w:ascii="Goudy Old Style ATT" w:hAnsi="Goudy Old Style ATT"/>
        </w:rPr>
      </w:pPr>
    </w:p>
    <w:p w:rsidR="00140D73" w:rsidRDefault="00140D73"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w:t>
      </w:r>
      <w:r w:rsidR="00E967DA">
        <w:rPr>
          <w:rFonts w:ascii="Goudy Old Style ATT" w:hAnsi="Goudy Old Style ATT"/>
        </w:rPr>
        <w:t>l. 8 odstavec 2 zní:</w:t>
      </w:r>
    </w:p>
    <w:p w:rsidR="00E967DA" w:rsidRPr="006B6AA3" w:rsidRDefault="00E967DA" w:rsidP="00E967DA">
      <w:pPr>
        <w:pStyle w:val="Odstavecseseznamem"/>
        <w:spacing w:after="120"/>
        <w:ind w:left="0" w:firstLine="709"/>
        <w:jc w:val="both"/>
        <w:rPr>
          <w:rFonts w:ascii="Goudy Old Style ATT" w:hAnsi="Goudy Old Style ATT"/>
          <w:kern w:val="20"/>
        </w:rPr>
      </w:pPr>
      <w:r>
        <w:rPr>
          <w:rFonts w:ascii="Goudy Old Style ATT" w:hAnsi="Goudy Old Style ATT"/>
        </w:rPr>
        <w:t xml:space="preserve">„(2) </w:t>
      </w:r>
      <w:r w:rsidRPr="006B6AA3">
        <w:rPr>
          <w:rFonts w:ascii="Goudy Old Style ATT" w:hAnsi="Goudy Old Style ATT"/>
          <w:kern w:val="20"/>
        </w:rPr>
        <w:t>Plní úkoly obecního úřadu obce s rozší</w:t>
      </w:r>
      <w:r>
        <w:rPr>
          <w:rFonts w:ascii="Goudy Old Style ATT" w:hAnsi="Goudy Old Style ATT"/>
          <w:kern w:val="20"/>
        </w:rPr>
        <w:t>řenou působností podle zákona o </w:t>
      </w:r>
      <w:r w:rsidRPr="006B6AA3">
        <w:rPr>
          <w:rFonts w:ascii="Goudy Old Style ATT" w:hAnsi="Goudy Old Style ATT"/>
          <w:kern w:val="20"/>
        </w:rPr>
        <w:t xml:space="preserve">pozemních komunikacích při projednávání </w:t>
      </w:r>
      <w:r>
        <w:rPr>
          <w:rFonts w:ascii="Goudy Old Style ATT" w:hAnsi="Goudy Old Style ATT"/>
          <w:kern w:val="20"/>
        </w:rPr>
        <w:t>přestupků</w:t>
      </w:r>
      <w:r w:rsidRPr="006B6AA3">
        <w:rPr>
          <w:rFonts w:ascii="Goudy Old Style ATT" w:hAnsi="Goudy Old Style ATT"/>
          <w:kern w:val="20"/>
        </w:rPr>
        <w:t xml:space="preserve"> </w:t>
      </w:r>
      <w:r>
        <w:rPr>
          <w:rFonts w:ascii="Goudy Old Style ATT" w:hAnsi="Goudy Old Style ATT"/>
          <w:kern w:val="20"/>
        </w:rPr>
        <w:t>ve věcech místních komunikací a </w:t>
      </w:r>
      <w:r w:rsidRPr="006B6AA3">
        <w:rPr>
          <w:rFonts w:ascii="Goudy Old Style ATT" w:hAnsi="Goudy Old Style ATT"/>
          <w:kern w:val="20"/>
        </w:rPr>
        <w:t xml:space="preserve">veřejně přístupných účelových komunikací, s výjimkou </w:t>
      </w:r>
      <w:r>
        <w:rPr>
          <w:rFonts w:ascii="Goudy Old Style ATT" w:hAnsi="Goudy Old Style ATT"/>
          <w:kern w:val="20"/>
        </w:rPr>
        <w:t>přestupků</w:t>
      </w:r>
      <w:r w:rsidRPr="006B6AA3">
        <w:rPr>
          <w:rFonts w:ascii="Goudy Old Style ATT" w:hAnsi="Goudy Old Style ATT"/>
          <w:kern w:val="20"/>
        </w:rPr>
        <w:t xml:space="preserve"> v oblasti kontrolního vážení vozidel.</w:t>
      </w:r>
      <w:r>
        <w:rPr>
          <w:rFonts w:ascii="Goudy Old Style ATT" w:hAnsi="Goudy Old Style ATT"/>
          <w:kern w:val="20"/>
        </w:rPr>
        <w:t>“.</w:t>
      </w:r>
    </w:p>
    <w:p w:rsidR="002C5DEB" w:rsidRDefault="002C5DEB" w:rsidP="00E967DA">
      <w:pPr>
        <w:spacing w:after="120"/>
        <w:jc w:val="both"/>
        <w:rPr>
          <w:rFonts w:ascii="Goudy Old Style ATT" w:hAnsi="Goudy Old Style ATT"/>
        </w:rPr>
      </w:pPr>
    </w:p>
    <w:p w:rsidR="00AE260F" w:rsidRDefault="00E967DA" w:rsidP="00140D73">
      <w:pPr>
        <w:numPr>
          <w:ilvl w:val="0"/>
          <w:numId w:val="1"/>
        </w:numPr>
        <w:spacing w:after="120"/>
        <w:ind w:firstLine="425"/>
        <w:jc w:val="both"/>
        <w:rPr>
          <w:rFonts w:ascii="Goudy Old Style ATT" w:hAnsi="Goudy Old Style ATT"/>
        </w:rPr>
      </w:pPr>
      <w:r>
        <w:rPr>
          <w:rFonts w:ascii="Goudy Old Style ATT" w:hAnsi="Goudy Old Style ATT"/>
        </w:rPr>
        <w:t>V příloze č. 7, čl. 10 odstavec 5 zní:</w:t>
      </w:r>
    </w:p>
    <w:p w:rsidR="00E967DA" w:rsidRDefault="00E967DA" w:rsidP="00E967DA">
      <w:pPr>
        <w:widowControl w:val="0"/>
        <w:spacing w:after="120" w:line="276" w:lineRule="auto"/>
        <w:ind w:firstLine="709"/>
        <w:jc w:val="both"/>
        <w:rPr>
          <w:rFonts w:ascii="Goudy Old Style ATT" w:hAnsi="Goudy Old Style ATT"/>
          <w:color w:val="000000"/>
        </w:rPr>
      </w:pPr>
      <w:r>
        <w:rPr>
          <w:rFonts w:ascii="Goudy Old Style ATT" w:hAnsi="Goudy Old Style ATT"/>
        </w:rPr>
        <w:t xml:space="preserve">„(5) </w:t>
      </w:r>
      <w:r>
        <w:rPr>
          <w:rFonts w:ascii="Goudy Old Style ATT" w:hAnsi="Goudy Old Style ATT"/>
          <w:color w:val="000000"/>
        </w:rPr>
        <w:t xml:space="preserve">Zabezpečují sociálně-právní ochranu dětí podle zákona č. 359/1999 Sb., o sociálně-právní ochraně dětí, vyjma působností, které jsou tímto Statutem vyhrazeny orgánům celoměstským. Péči o nezletilé děti vyžadující zvýšenou pozornost kurátora pro děti a mládež a výkon práce v agendě sociálně-právní ochrany dětí v době pracovní pohotovosti zabezpečuje pro území městských obvodů Plzeň 5-Křimice, Plzeň </w:t>
      </w:r>
      <w:proofErr w:type="gramStart"/>
      <w:r>
        <w:rPr>
          <w:rFonts w:ascii="Goudy Old Style ATT" w:hAnsi="Goudy Old Style ATT"/>
          <w:color w:val="000000"/>
        </w:rPr>
        <w:t>6-Litice</w:t>
      </w:r>
      <w:proofErr w:type="gramEnd"/>
      <w:r>
        <w:rPr>
          <w:rFonts w:ascii="Goudy Old Style ATT" w:hAnsi="Goudy Old Style ATT"/>
          <w:color w:val="000000"/>
        </w:rPr>
        <w:t xml:space="preserve"> a Plzeň 7-Radčice, Plzeň 9-Malesice a Plzeň 10-Lhota Úřad městského obvodu Plzeň 3 a pro území městského obvodu Plzeň 8-Černice Úřad městského obvodu Plzeň 2-Slovany. Řeší přestupky vyplývající ze zákona č. 359/1999 Sb., o sociálně-právní ochraně dětí.</w:t>
      </w:r>
    </w:p>
    <w:p w:rsidR="00AE260F" w:rsidRDefault="00AE260F" w:rsidP="00AE260F">
      <w:pPr>
        <w:pStyle w:val="Odstavecseseznamem"/>
        <w:rPr>
          <w:rFonts w:ascii="Goudy Old Style ATT" w:hAnsi="Goudy Old Style ATT"/>
        </w:rPr>
      </w:pPr>
    </w:p>
    <w:p w:rsidR="00E967DA" w:rsidRDefault="002C5DEB" w:rsidP="00E967DA">
      <w:pPr>
        <w:numPr>
          <w:ilvl w:val="0"/>
          <w:numId w:val="1"/>
        </w:numPr>
        <w:spacing w:after="120"/>
        <w:ind w:firstLine="425"/>
        <w:jc w:val="both"/>
        <w:rPr>
          <w:rFonts w:ascii="Goudy Old Style ATT" w:hAnsi="Goudy Old Style ATT"/>
        </w:rPr>
      </w:pPr>
      <w:r>
        <w:rPr>
          <w:rFonts w:ascii="Goudy Old Style ATT" w:hAnsi="Goudy Old Style ATT"/>
        </w:rPr>
        <w:t>V příloze č. 7, čl</w:t>
      </w:r>
      <w:r w:rsidR="00E967DA">
        <w:rPr>
          <w:rFonts w:ascii="Goudy Old Style ATT" w:hAnsi="Goudy Old Style ATT"/>
        </w:rPr>
        <w:t xml:space="preserve">ánek 11, včetně poznámky pod čarou </w:t>
      </w:r>
      <w:proofErr w:type="gramStart"/>
      <w:r w:rsidR="00E967DA">
        <w:rPr>
          <w:rFonts w:ascii="Goudy Old Style ATT" w:hAnsi="Goudy Old Style ATT"/>
        </w:rPr>
        <w:t>46a</w:t>
      </w:r>
      <w:proofErr w:type="gramEnd"/>
      <w:r w:rsidR="007F5572">
        <w:rPr>
          <w:rFonts w:ascii="Goudy Old Style ATT" w:hAnsi="Goudy Old Style ATT"/>
        </w:rPr>
        <w:t>,</w:t>
      </w:r>
      <w:r w:rsidR="00E967DA">
        <w:rPr>
          <w:rFonts w:ascii="Goudy Old Style ATT" w:hAnsi="Goudy Old Style ATT"/>
        </w:rPr>
        <w:t xml:space="preserve"> zní:</w:t>
      </w:r>
    </w:p>
    <w:p w:rsidR="007F5572" w:rsidRDefault="007F5572" w:rsidP="007F5572">
      <w:pPr>
        <w:pStyle w:val="Nadpis4"/>
        <w:spacing w:before="200" w:after="120"/>
        <w:rPr>
          <w:rFonts w:ascii="Goudy Old Style ATT" w:hAnsi="Goudy Old Style ATT"/>
          <w:spacing w:val="4"/>
        </w:rPr>
      </w:pPr>
      <w:bookmarkStart w:id="5" w:name="_Toc465489643"/>
      <w:bookmarkStart w:id="6" w:name="_Toc466430557"/>
      <w:bookmarkStart w:id="7" w:name="_Toc528061784"/>
      <w:r w:rsidRPr="007F5572">
        <w:rPr>
          <w:rFonts w:ascii="Goudy Old Style ATT" w:hAnsi="Goudy Old Style ATT"/>
          <w:b w:val="0"/>
          <w:spacing w:val="4"/>
        </w:rPr>
        <w:t>„</w:t>
      </w:r>
      <w:r>
        <w:rPr>
          <w:rFonts w:ascii="Goudy Old Style ATT" w:hAnsi="Goudy Old Style ATT"/>
          <w:spacing w:val="4"/>
        </w:rPr>
        <w:t>Článek 11</w:t>
      </w:r>
      <w:r>
        <w:rPr>
          <w:rFonts w:ascii="Goudy Old Style ATT" w:hAnsi="Goudy Old Style ATT"/>
          <w:spacing w:val="4"/>
        </w:rPr>
        <w:br/>
        <w:t>Zdravotnictví</w:t>
      </w:r>
      <w:bookmarkEnd w:id="5"/>
      <w:bookmarkEnd w:id="6"/>
      <w:bookmarkEnd w:id="7"/>
    </w:p>
    <w:p w:rsidR="007F5572" w:rsidRPr="003E620B" w:rsidRDefault="007F5572" w:rsidP="007F5572">
      <w:pPr>
        <w:pStyle w:val="Zkladntext2"/>
        <w:rPr>
          <w:rFonts w:ascii="Goudy Old Style ATT" w:hAnsi="Goudy Old Style ATT"/>
        </w:rPr>
      </w:pPr>
      <w:r>
        <w:rPr>
          <w:rFonts w:ascii="Goudy Old Style ATT" w:hAnsi="Goudy Old Style ATT"/>
        </w:rPr>
        <w:tab/>
        <w:t>Zajišťují úkoly obce v přenesené působnosti na úseku ochrany zdraví před škodlivými účinky návykových látek podle zvláštního zákona</w:t>
      </w:r>
      <w:r>
        <w:rPr>
          <w:rFonts w:ascii="Goudy Old Style ATT" w:hAnsi="Goudy Old Style ATT"/>
          <w:vertAlign w:val="superscript"/>
        </w:rPr>
        <w:t>46a</w:t>
      </w:r>
      <w:r>
        <w:rPr>
          <w:rFonts w:ascii="Goudy Old Style ATT" w:hAnsi="Goudy Old Style ATT"/>
        </w:rPr>
        <w:t>, včetně projednávání přestupků.</w:t>
      </w:r>
    </w:p>
    <w:p w:rsidR="007F5572" w:rsidRPr="007F5572" w:rsidRDefault="007F5572" w:rsidP="007F5572">
      <w:pPr>
        <w:jc w:val="both"/>
        <w:rPr>
          <w:rFonts w:ascii="Goudy Old Style ATT" w:hAnsi="Goudy Old Style ATT"/>
        </w:rPr>
      </w:pPr>
    </w:p>
    <w:p w:rsidR="007F5572" w:rsidRPr="007F5572" w:rsidRDefault="007F5572" w:rsidP="007F5572">
      <w:pPr>
        <w:spacing w:after="120"/>
        <w:jc w:val="both"/>
        <w:rPr>
          <w:rFonts w:ascii="Goudy Old Style ATT" w:hAnsi="Goudy Old Style ATT"/>
        </w:rPr>
      </w:pPr>
      <w:proofErr w:type="gramStart"/>
      <w:r w:rsidRPr="007F5572">
        <w:rPr>
          <w:rFonts w:ascii="Goudy Old Style ATT" w:hAnsi="Goudy Old Style ATT"/>
          <w:vertAlign w:val="superscript"/>
        </w:rPr>
        <w:t>46a</w:t>
      </w:r>
      <w:proofErr w:type="gramEnd"/>
      <w:r>
        <w:rPr>
          <w:rFonts w:ascii="Goudy Old Style ATT" w:hAnsi="Goudy Old Style ATT"/>
        </w:rPr>
        <w:t xml:space="preserve"> </w:t>
      </w:r>
      <w:r>
        <w:t>Zákon č. 65/2017 Sb., o ochraně zdraví před škodlivými účinky návykových látek.“.</w:t>
      </w:r>
    </w:p>
    <w:p w:rsidR="002C5DEB" w:rsidRPr="002C5DEB" w:rsidRDefault="00E967DA" w:rsidP="007F5572">
      <w:pPr>
        <w:spacing w:after="120"/>
        <w:ind w:left="425"/>
        <w:jc w:val="both"/>
        <w:rPr>
          <w:rFonts w:ascii="Goudy Old Style ATT" w:hAnsi="Goudy Old Style ATT"/>
        </w:rPr>
      </w:pPr>
      <w:r w:rsidRPr="002C5DEB">
        <w:rPr>
          <w:rFonts w:ascii="Goudy Old Style ATT" w:hAnsi="Goudy Old Style ATT"/>
        </w:rPr>
        <w:t xml:space="preserve"> </w:t>
      </w:r>
    </w:p>
    <w:p w:rsidR="007F5572" w:rsidRDefault="007F5572" w:rsidP="00140D73">
      <w:pPr>
        <w:numPr>
          <w:ilvl w:val="0"/>
          <w:numId w:val="1"/>
        </w:numPr>
        <w:spacing w:after="120"/>
        <w:ind w:firstLine="425"/>
        <w:jc w:val="both"/>
        <w:rPr>
          <w:rFonts w:ascii="Goudy Old Style ATT" w:hAnsi="Goudy Old Style ATT"/>
        </w:rPr>
      </w:pPr>
      <w:r>
        <w:rPr>
          <w:rFonts w:ascii="Goudy Old Style ATT" w:hAnsi="Goudy Old Style ATT"/>
        </w:rPr>
        <w:t xml:space="preserve">V příloze č. 7, čl. 14 odstavec 1, včetně poznámky pod čarou </w:t>
      </w:r>
      <w:proofErr w:type="gramStart"/>
      <w:r>
        <w:rPr>
          <w:rFonts w:ascii="Goudy Old Style ATT" w:hAnsi="Goudy Old Style ATT"/>
        </w:rPr>
        <w:t>46b</w:t>
      </w:r>
      <w:proofErr w:type="gramEnd"/>
      <w:r>
        <w:rPr>
          <w:rFonts w:ascii="Goudy Old Style ATT" w:hAnsi="Goudy Old Style ATT"/>
        </w:rPr>
        <w:t>, zní:</w:t>
      </w:r>
    </w:p>
    <w:p w:rsidR="007F5572" w:rsidRDefault="007F5572" w:rsidP="007F5572">
      <w:pPr>
        <w:ind w:firstLine="425"/>
        <w:jc w:val="both"/>
        <w:rPr>
          <w:rFonts w:ascii="Goudy Old Style ATT" w:hAnsi="Goudy Old Style ATT"/>
          <w:kern w:val="20"/>
        </w:rPr>
      </w:pPr>
      <w:r>
        <w:rPr>
          <w:rFonts w:ascii="Goudy Old Style ATT" w:hAnsi="Goudy Old Style ATT"/>
        </w:rPr>
        <w:lastRenderedPageBreak/>
        <w:t xml:space="preserve">„(1) </w:t>
      </w:r>
      <w:r w:rsidRPr="000A23AD">
        <w:rPr>
          <w:rFonts w:ascii="Goudy Old Style ATT" w:hAnsi="Goudy Old Style ATT"/>
          <w:kern w:val="20"/>
        </w:rPr>
        <w:t xml:space="preserve">Rozhodují o přestupcích v působnosti obce nebo obecního úřadu. Úřady městských obvodů rozhodují dále o přestupcích proti pořádku ve státní správě vyskytujících se na více úsecích státní správy, přestupcích na úseku všeobecné vnitřní správy, přestupcích proti pořádku ve státní správě </w:t>
      </w:r>
      <w:r w:rsidRPr="00F16B4E">
        <w:rPr>
          <w:rFonts w:ascii="Goudy Old Style ATT" w:hAnsi="Goudy Old Style ATT"/>
          <w:kern w:val="20"/>
        </w:rPr>
        <w:t xml:space="preserve">a přestupcích </w:t>
      </w:r>
      <w:r w:rsidRPr="00F16B4E">
        <w:rPr>
          <w:rFonts w:ascii="Goudy Old Style ATT" w:hAnsi="Goudy Old Style ATT" w:hint="eastAsia"/>
          <w:kern w:val="20"/>
        </w:rPr>
        <w:t>na úseku</w:t>
      </w:r>
      <w:r w:rsidRPr="00F16B4E">
        <w:rPr>
          <w:rFonts w:ascii="Goudy Old Style ATT" w:hAnsi="Goudy Old Style ATT"/>
          <w:kern w:val="20"/>
        </w:rPr>
        <w:t xml:space="preserve"> zbraní a střeliva podle zvláštního zákona</w:t>
      </w:r>
      <w:r>
        <w:rPr>
          <w:rFonts w:ascii="Goudy Old Style ATT" w:hAnsi="Goudy Old Style ATT"/>
          <w:kern w:val="20"/>
          <w:vertAlign w:val="superscript"/>
        </w:rPr>
        <w:t>46b</w:t>
      </w:r>
      <w:r>
        <w:rPr>
          <w:rFonts w:ascii="Goudy Old Style ATT" w:hAnsi="Goudy Old Style ATT"/>
          <w:kern w:val="20"/>
        </w:rPr>
        <w:t>.</w:t>
      </w:r>
    </w:p>
    <w:p w:rsidR="007F5572" w:rsidRPr="007F5572" w:rsidRDefault="007F5572" w:rsidP="007F5572">
      <w:pPr>
        <w:jc w:val="both"/>
        <w:rPr>
          <w:rFonts w:ascii="Goudy Old Style ATT" w:hAnsi="Goudy Old Style ATT"/>
          <w:kern w:val="20"/>
        </w:rPr>
      </w:pPr>
    </w:p>
    <w:p w:rsidR="007F5572" w:rsidRPr="007F5572" w:rsidRDefault="007F5572" w:rsidP="007F5572">
      <w:pPr>
        <w:spacing w:after="120"/>
        <w:jc w:val="both"/>
        <w:rPr>
          <w:rFonts w:ascii="Goudy Old Style ATT" w:hAnsi="Goudy Old Style ATT"/>
        </w:rPr>
      </w:pPr>
      <w:proofErr w:type="gramStart"/>
      <w:r>
        <w:rPr>
          <w:rFonts w:ascii="Goudy Old Style ATT" w:hAnsi="Goudy Old Style ATT"/>
          <w:kern w:val="20"/>
          <w:vertAlign w:val="superscript"/>
        </w:rPr>
        <w:t>46b</w:t>
      </w:r>
      <w:proofErr w:type="gramEnd"/>
      <w:r>
        <w:rPr>
          <w:rFonts w:ascii="Goudy Old Style ATT" w:hAnsi="Goudy Old Style ATT"/>
          <w:kern w:val="20"/>
        </w:rPr>
        <w:t xml:space="preserve"> </w:t>
      </w:r>
      <w:r>
        <w:t>Zákon č. 119/2002 Sb., o zbraních.“.</w:t>
      </w:r>
    </w:p>
    <w:p w:rsidR="007F5572" w:rsidRDefault="007F5572" w:rsidP="007F5572">
      <w:pPr>
        <w:spacing w:after="120"/>
        <w:ind w:left="425"/>
        <w:jc w:val="both"/>
        <w:rPr>
          <w:rFonts w:ascii="Goudy Old Style ATT" w:hAnsi="Goudy Old Style ATT"/>
        </w:rPr>
      </w:pPr>
    </w:p>
    <w:p w:rsidR="007F5572" w:rsidRDefault="007F5572" w:rsidP="007F5572">
      <w:pPr>
        <w:numPr>
          <w:ilvl w:val="0"/>
          <w:numId w:val="1"/>
        </w:numPr>
        <w:spacing w:after="120"/>
        <w:ind w:firstLine="425"/>
        <w:jc w:val="both"/>
        <w:rPr>
          <w:rFonts w:ascii="Goudy Old Style ATT" w:hAnsi="Goudy Old Style ATT"/>
        </w:rPr>
      </w:pPr>
      <w:r>
        <w:rPr>
          <w:rFonts w:ascii="Goudy Old Style ATT" w:hAnsi="Goudy Old Style ATT"/>
        </w:rPr>
        <w:t>V příloze č. 7, čl. 14 se odstavec 2 zrušuje.</w:t>
      </w:r>
    </w:p>
    <w:p w:rsidR="007F5572" w:rsidRDefault="007F5572" w:rsidP="007F5572">
      <w:pPr>
        <w:spacing w:after="120"/>
        <w:ind w:left="425"/>
        <w:jc w:val="both"/>
        <w:rPr>
          <w:rFonts w:ascii="Goudy Old Style ATT" w:hAnsi="Goudy Old Style ATT"/>
        </w:rPr>
      </w:pPr>
      <w:r>
        <w:rPr>
          <w:rFonts w:ascii="Goudy Old Style ATT" w:hAnsi="Goudy Old Style ATT"/>
        </w:rPr>
        <w:t xml:space="preserve">Dosavadní odstavce 3 až 8 se nově označují jako odstavce 2 až 7. </w:t>
      </w:r>
    </w:p>
    <w:p w:rsidR="009959FD" w:rsidRDefault="009959FD" w:rsidP="00040FAA">
      <w:pPr>
        <w:widowControl w:val="0"/>
        <w:spacing w:line="276" w:lineRule="auto"/>
        <w:jc w:val="both"/>
        <w:rPr>
          <w:rFonts w:ascii="Goudy Old Style ATT" w:hAnsi="Goudy Old Style ATT"/>
          <w:color w:val="000000"/>
        </w:rPr>
      </w:pPr>
    </w:p>
    <w:p w:rsidR="009959FD" w:rsidRPr="009959FD" w:rsidRDefault="009959FD" w:rsidP="009959FD">
      <w:pPr>
        <w:numPr>
          <w:ilvl w:val="0"/>
          <w:numId w:val="1"/>
        </w:numPr>
        <w:spacing w:after="120"/>
        <w:ind w:firstLine="425"/>
        <w:jc w:val="both"/>
        <w:rPr>
          <w:rFonts w:ascii="Goudy Old Style ATT" w:hAnsi="Goudy Old Style ATT"/>
        </w:rPr>
      </w:pPr>
      <w:r w:rsidRPr="009959FD">
        <w:rPr>
          <w:rFonts w:ascii="Goudy Old Style ATT" w:hAnsi="Goudy Old Style ATT"/>
        </w:rPr>
        <w:t>Nové znění přílohy č. 8 „Orientační mapa správních hranic městských obvodů“ tvoří přílohu č. 1 této vyhlášky.</w:t>
      </w:r>
    </w:p>
    <w:p w:rsidR="002C5DEB" w:rsidRPr="005900AE" w:rsidRDefault="002C5DEB" w:rsidP="00E80239">
      <w:pPr>
        <w:spacing w:after="120"/>
        <w:jc w:val="both"/>
        <w:rPr>
          <w:rFonts w:ascii="Goudy Old Style ATT" w:hAnsi="Goudy Old Style ATT"/>
        </w:rPr>
      </w:pPr>
    </w:p>
    <w:p w:rsidR="00CF565B" w:rsidRDefault="00CF565B">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027FAD" w:rsidRPr="00027FAD" w:rsidRDefault="007E5B1A" w:rsidP="00027FAD">
      <w:pPr>
        <w:pStyle w:val="Zkladntext2"/>
        <w:spacing w:after="120"/>
        <w:rPr>
          <w:rFonts w:ascii="Goudy Old Style ATT" w:hAnsi="Goudy Old Style ATT"/>
        </w:rPr>
      </w:pPr>
      <w:r>
        <w:rPr>
          <w:rFonts w:ascii="Goudy Old Style ATT" w:hAnsi="Goudy Old Style ATT"/>
        </w:rPr>
        <w:tab/>
        <w:t xml:space="preserve">(2) </w:t>
      </w:r>
      <w:r w:rsidR="00027FAD" w:rsidRPr="00027FAD">
        <w:rPr>
          <w:rFonts w:ascii="Goudy Old Style ATT" w:hAnsi="Goudy Old Style ATT"/>
        </w:rPr>
        <w:t xml:space="preserve">Při hospodaření se svěřeným majetkem, pokud </w:t>
      </w:r>
      <w:r w:rsidR="00027FAD">
        <w:rPr>
          <w:rFonts w:ascii="Goudy Old Style ATT" w:hAnsi="Goudy Old Style ATT"/>
        </w:rPr>
        <w:t xml:space="preserve">bylo </w:t>
      </w:r>
      <w:r w:rsidR="00027FAD" w:rsidRPr="00027FAD">
        <w:rPr>
          <w:rFonts w:ascii="Goudy Old Style ATT" w:hAnsi="Goudy Old Style ATT"/>
        </w:rPr>
        <w:t xml:space="preserve">rozhodnutí týkající se svěřeného majetku přijato příslušným orgánem před účinností </w:t>
      </w:r>
      <w:r w:rsidR="00027FAD">
        <w:rPr>
          <w:rFonts w:ascii="Goudy Old Style ATT" w:hAnsi="Goudy Old Style ATT"/>
        </w:rPr>
        <w:t>této obecně závazné vyhlášky</w:t>
      </w:r>
      <w:r w:rsidR="00027FAD" w:rsidRPr="00027FAD">
        <w:rPr>
          <w:rFonts w:ascii="Goudy Old Style ATT" w:hAnsi="Goudy Old Style ATT"/>
        </w:rPr>
        <w:t>,</w:t>
      </w:r>
      <w:r w:rsidR="00027FAD">
        <w:rPr>
          <w:rFonts w:ascii="Goudy Old Style ATT" w:hAnsi="Goudy Old Style ATT"/>
        </w:rPr>
        <w:t xml:space="preserve"> aniž by byla rozhodnutím vytvořená vůle města vyjádřena navenek, vyjádří navenek vůli města orgán příslušný k tomu </w:t>
      </w:r>
      <w:r w:rsidR="00027FAD" w:rsidRPr="00027FAD">
        <w:rPr>
          <w:rFonts w:ascii="Goudy Old Style ATT" w:hAnsi="Goudy Old Style ATT"/>
        </w:rPr>
        <w:t>podle dosa</w:t>
      </w:r>
      <w:r w:rsidR="00027FAD">
        <w:rPr>
          <w:rFonts w:ascii="Goudy Old Style ATT" w:hAnsi="Goudy Old Style ATT"/>
        </w:rPr>
        <w:t>vadního znění Statutu města</w:t>
      </w:r>
      <w:r w:rsidR="00027FAD" w:rsidRPr="00027FAD">
        <w:rPr>
          <w:rFonts w:ascii="Goudy Old Style ATT" w:hAnsi="Goudy Old Style ATT"/>
        </w:rPr>
        <w:t xml:space="preserve">. </w:t>
      </w:r>
    </w:p>
    <w:p w:rsidR="001C521C" w:rsidRDefault="00027FAD" w:rsidP="00027FAD">
      <w:pPr>
        <w:pStyle w:val="Zkladntext2"/>
        <w:spacing w:after="120"/>
        <w:ind w:firstLine="708"/>
        <w:rPr>
          <w:rFonts w:ascii="Goudy Old Style ATT" w:hAnsi="Goudy Old Style ATT"/>
        </w:rPr>
      </w:pPr>
      <w:r>
        <w:rPr>
          <w:rFonts w:ascii="Goudy Old Style ATT" w:hAnsi="Goudy Old Style ATT"/>
        </w:rPr>
        <w:t xml:space="preserve">(3)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762129" w:rsidRDefault="00027FAD" w:rsidP="00027FAD">
      <w:pPr>
        <w:pStyle w:val="Zkladntext2"/>
        <w:spacing w:after="120"/>
        <w:ind w:firstLine="708"/>
        <w:rPr>
          <w:rFonts w:ascii="Goudy Old Style ATT" w:hAnsi="Goudy Old Style ATT"/>
        </w:rPr>
      </w:pPr>
      <w:r>
        <w:rPr>
          <w:rFonts w:ascii="Goudy Old Style ATT" w:hAnsi="Goudy Old Style ATT"/>
        </w:rPr>
        <w:t>(4</w:t>
      </w:r>
      <w:r w:rsidR="002C5DEB">
        <w:rPr>
          <w:rFonts w:ascii="Goudy Old Style ATT" w:hAnsi="Goudy Old Style ATT"/>
        </w:rPr>
        <w:t xml:space="preserve">) </w:t>
      </w:r>
      <w:r w:rsidR="00762129">
        <w:rPr>
          <w:rFonts w:ascii="Goudy Old Style ATT" w:hAnsi="Goudy Old Style ATT"/>
        </w:rPr>
        <w:t>Tato vyhláška na</w:t>
      </w:r>
      <w:r w:rsidR="001C521C">
        <w:rPr>
          <w:rFonts w:ascii="Goudy Old Style ATT" w:hAnsi="Goudy Old Style ATT"/>
        </w:rPr>
        <w:t>bývá účinnosti dne 1. ledna 2018</w:t>
      </w:r>
      <w:r w:rsidR="006A134C">
        <w:rPr>
          <w:rFonts w:ascii="Goudy Old Style ATT" w:hAnsi="Goudy Old Style ATT"/>
        </w:rPr>
        <w:t>.</w:t>
      </w: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Pr="00DC0B54" w:rsidRDefault="0039212F">
      <w:pPr>
        <w:pStyle w:val="Zkladntext2"/>
        <w:tabs>
          <w:tab w:val="center" w:pos="2268"/>
          <w:tab w:val="center" w:pos="6804"/>
        </w:tabs>
        <w:rPr>
          <w:rFonts w:ascii="Goudy Old Style ATT" w:hAnsi="Goudy Old Style ATT"/>
        </w:rPr>
      </w:pPr>
      <w:r>
        <w:rPr>
          <w:rFonts w:ascii="Goudy Old Style ATT" w:hAnsi="Goudy Old Style ATT"/>
          <w:b/>
        </w:rPr>
        <w:tab/>
      </w:r>
      <w:r w:rsidR="006A134C" w:rsidRPr="00DC0B54">
        <w:rPr>
          <w:rFonts w:ascii="Goudy Old Style ATT" w:hAnsi="Goudy Old Style ATT"/>
        </w:rPr>
        <w:t>………………………..</w:t>
      </w:r>
      <w:r w:rsidR="006A134C" w:rsidRPr="00DC0B54">
        <w:rPr>
          <w:rFonts w:ascii="Goudy Old Style ATT" w:hAnsi="Goudy Old Style ATT"/>
        </w:rPr>
        <w:tab/>
        <w:t>………………………….</w:t>
      </w:r>
    </w:p>
    <w:p w:rsidR="00DC0B54" w:rsidRPr="00DC0B54" w:rsidRDefault="00DC0B54">
      <w:pPr>
        <w:pStyle w:val="Zkladntext2"/>
        <w:tabs>
          <w:tab w:val="center" w:pos="2268"/>
          <w:tab w:val="center" w:pos="6804"/>
        </w:tabs>
        <w:spacing w:after="120"/>
        <w:rPr>
          <w:rFonts w:ascii="Goudy Old Style ATT" w:hAnsi="Goudy Old Style ATT"/>
        </w:rPr>
      </w:pPr>
      <w:r>
        <w:rPr>
          <w:rFonts w:ascii="Goudy Old Style ATT" w:hAnsi="Goudy Old Style ATT"/>
          <w:i/>
        </w:rPr>
        <w:t xml:space="preserve"> </w:t>
      </w:r>
      <w:r>
        <w:rPr>
          <w:rFonts w:ascii="Goudy Old Style ATT" w:hAnsi="Goudy Old Style ATT"/>
          <w:i/>
        </w:rPr>
        <w:tab/>
      </w:r>
      <w:r w:rsidRPr="00DC0B54">
        <w:rPr>
          <w:rFonts w:ascii="Goudy Old Style ATT" w:hAnsi="Goudy Old Style ATT"/>
        </w:rPr>
        <w:t xml:space="preserve">Martin </w:t>
      </w:r>
      <w:proofErr w:type="spellStart"/>
      <w:r w:rsidRPr="00DC0B54">
        <w:rPr>
          <w:rFonts w:ascii="Goudy Old Style ATT" w:hAnsi="Goudy Old Style ATT"/>
        </w:rPr>
        <w:t>Zrzavecký</w:t>
      </w:r>
      <w:proofErr w:type="spellEnd"/>
      <w:r w:rsidRPr="00DC0B54">
        <w:rPr>
          <w:rFonts w:ascii="Goudy Old Style ATT" w:hAnsi="Goudy Old Style ATT"/>
        </w:rPr>
        <w:t xml:space="preserve"> </w:t>
      </w:r>
      <w:r w:rsidRPr="00DC0B54">
        <w:rPr>
          <w:rFonts w:ascii="Goudy Old Style ATT" w:hAnsi="Goudy Old Style ATT"/>
        </w:rPr>
        <w:tab/>
        <w:t>Mgr. Martin Baxa</w:t>
      </w:r>
      <w:r w:rsidR="00A332DD" w:rsidRPr="00DC0B54">
        <w:rPr>
          <w:rFonts w:ascii="Goudy Old Style ATT" w:hAnsi="Goudy Old Style ATT"/>
        </w:rPr>
        <w:tab/>
      </w:r>
    </w:p>
    <w:p w:rsidR="00EC3645" w:rsidRDefault="00DC0B54">
      <w:pPr>
        <w:pStyle w:val="Zkladntext2"/>
        <w:tabs>
          <w:tab w:val="center" w:pos="2268"/>
          <w:tab w:val="center" w:pos="6804"/>
        </w:tabs>
        <w:spacing w:after="120"/>
        <w:rPr>
          <w:rFonts w:ascii="Goudy Old Style ATT" w:hAnsi="Goudy Old Style ATT"/>
          <w:i/>
        </w:rPr>
      </w:pPr>
      <w:r>
        <w:rPr>
          <w:rFonts w:ascii="Goudy Old Style ATT" w:hAnsi="Goudy Old Style ATT"/>
          <w:i/>
        </w:rPr>
        <w:tab/>
      </w:r>
      <w:r w:rsidR="00A332DD">
        <w:rPr>
          <w:rFonts w:ascii="Goudy Old Style ATT" w:hAnsi="Goudy Old Style ATT"/>
          <w:i/>
        </w:rPr>
        <w:t>primátor města</w:t>
      </w:r>
      <w:r w:rsidR="00A332DD">
        <w:rPr>
          <w:rFonts w:ascii="Goudy Old Style ATT" w:hAnsi="Goudy Old Style ATT"/>
          <w:i/>
        </w:rPr>
        <w:tab/>
      </w:r>
      <w:r w:rsidR="00A4372D">
        <w:rPr>
          <w:rFonts w:ascii="Goudy Old Style ATT" w:hAnsi="Goudy Old Style ATT"/>
          <w:i/>
        </w:rPr>
        <w:t xml:space="preserve">1. </w:t>
      </w:r>
      <w:r w:rsidR="00A332DD">
        <w:rPr>
          <w:rFonts w:ascii="Goudy Old Style ATT" w:hAnsi="Goudy Old Style ATT"/>
          <w:i/>
        </w:rPr>
        <w:t>náměst</w:t>
      </w:r>
      <w:r w:rsidR="00D202F4">
        <w:rPr>
          <w:rFonts w:ascii="Goudy Old Style ATT" w:hAnsi="Goudy Old Style ATT"/>
          <w:i/>
        </w:rPr>
        <w:t>e</w:t>
      </w:r>
      <w:r w:rsidR="00762129">
        <w:rPr>
          <w:rFonts w:ascii="Goudy Old Style ATT" w:hAnsi="Goudy Old Style ATT"/>
          <w:i/>
        </w:rPr>
        <w:t>k primátora</w:t>
      </w:r>
    </w:p>
    <w:p w:rsidR="009959FD" w:rsidRDefault="009959FD">
      <w:pPr>
        <w:rPr>
          <w:rFonts w:ascii="Goudy Old Style ATT" w:hAnsi="Goudy Old Style ATT"/>
          <w:color w:val="000000"/>
        </w:rPr>
      </w:pPr>
    </w:p>
    <w:p w:rsidR="008405C4" w:rsidRDefault="008405C4">
      <w:pPr>
        <w:rPr>
          <w:rFonts w:ascii="Goudy Old Style ATT" w:hAnsi="Goudy Old Style ATT"/>
        </w:rPr>
      </w:pPr>
    </w:p>
    <w:p w:rsidR="008405C4" w:rsidRDefault="008405C4">
      <w:pPr>
        <w:rPr>
          <w:rFonts w:ascii="Goudy Old Style ATT" w:hAnsi="Goudy Old Style ATT"/>
        </w:rPr>
      </w:pPr>
    </w:p>
    <w:p w:rsidR="008405C4" w:rsidRDefault="008405C4">
      <w:pPr>
        <w:rPr>
          <w:rFonts w:ascii="Goudy Old Style ATT" w:hAnsi="Goudy Old Style ATT"/>
        </w:rPr>
      </w:pPr>
    </w:p>
    <w:p w:rsidR="008405C4" w:rsidRDefault="008405C4">
      <w:pPr>
        <w:rPr>
          <w:rFonts w:ascii="Goudy Old Style ATT" w:hAnsi="Goudy Old Style ATT"/>
        </w:rPr>
      </w:pPr>
    </w:p>
    <w:p w:rsidR="008405C4" w:rsidRDefault="008405C4">
      <w:pPr>
        <w:rPr>
          <w:rFonts w:ascii="Goudy Old Style ATT" w:hAnsi="Goudy Old Style ATT"/>
        </w:rPr>
      </w:pPr>
    </w:p>
    <w:p w:rsidR="004846AD" w:rsidRDefault="008405C4">
      <w:pPr>
        <w:rPr>
          <w:rFonts w:ascii="Goudy Old Style ATT" w:hAnsi="Goudy Old Style ATT"/>
          <w:color w:val="000000"/>
        </w:rPr>
      </w:pPr>
      <w:r>
        <w:rPr>
          <w:rFonts w:ascii="Goudy Old Style ATT" w:hAnsi="Goudy Old Style ATT"/>
          <w:i/>
        </w:rPr>
        <w:t>Na úřední desce vyvěšeno dne 15.12.2017</w:t>
      </w:r>
      <w:bookmarkStart w:id="8" w:name="_GoBack"/>
      <w:bookmarkEnd w:id="8"/>
      <w:r w:rsidR="004846AD">
        <w:rPr>
          <w:rFonts w:ascii="Goudy Old Style ATT" w:hAnsi="Goudy Old Style ATT"/>
        </w:rPr>
        <w:br w:type="page"/>
      </w:r>
    </w:p>
    <w:p w:rsidR="009959FD" w:rsidRDefault="009959FD">
      <w:pPr>
        <w:pStyle w:val="Zkladntext2"/>
        <w:tabs>
          <w:tab w:val="center" w:pos="2268"/>
          <w:tab w:val="center" w:pos="6804"/>
        </w:tabs>
        <w:spacing w:after="120"/>
        <w:rPr>
          <w:rFonts w:ascii="Goudy Old Style ATT" w:hAnsi="Goudy Old Style ATT"/>
        </w:rPr>
      </w:pPr>
      <w:r>
        <w:rPr>
          <w:rFonts w:ascii="Goudy Old Style ATT" w:hAnsi="Goudy Old Style ATT"/>
        </w:rPr>
        <w:lastRenderedPageBreak/>
        <w:t>Příloha č. 1 – nové znění přílohy č. 8 Statutu města</w:t>
      </w:r>
    </w:p>
    <w:p w:rsidR="009959FD" w:rsidRDefault="009959FD" w:rsidP="009959FD">
      <w:pPr>
        <w:pStyle w:val="Nadpis3"/>
        <w:rPr>
          <w:smallCaps/>
          <w:spacing w:val="16"/>
        </w:rPr>
      </w:pPr>
      <w:bookmarkStart w:id="9" w:name="_Toc531581149"/>
      <w:bookmarkStart w:id="10" w:name="_Toc260377891"/>
      <w:bookmarkStart w:id="11" w:name="_Toc311184793"/>
      <w:bookmarkStart w:id="12" w:name="_Toc341167331"/>
      <w:bookmarkStart w:id="13" w:name="_Toc374690344"/>
    </w:p>
    <w:p w:rsidR="009959FD" w:rsidRDefault="009959FD" w:rsidP="009959FD">
      <w:pPr>
        <w:pStyle w:val="Nadpis3"/>
        <w:rPr>
          <w:smallCaps/>
          <w:spacing w:val="16"/>
        </w:rPr>
      </w:pPr>
    </w:p>
    <w:p w:rsidR="009959FD" w:rsidRDefault="009959FD" w:rsidP="009959FD">
      <w:pPr>
        <w:pStyle w:val="Nadpis3"/>
        <w:rPr>
          <w:smallCaps/>
          <w:spacing w:val="16"/>
        </w:rPr>
      </w:pPr>
    </w:p>
    <w:p w:rsidR="009959FD" w:rsidRDefault="009959FD" w:rsidP="009959FD">
      <w:pPr>
        <w:pStyle w:val="Nadpis3"/>
        <w:rPr>
          <w:smallCaps/>
          <w:spacing w:val="16"/>
        </w:rPr>
      </w:pPr>
      <w:r>
        <w:rPr>
          <w:smallCaps/>
          <w:spacing w:val="16"/>
        </w:rPr>
        <w:t>Orientační mapa správních hranic městských obvodů</w:t>
      </w:r>
      <w:bookmarkEnd w:id="9"/>
      <w:bookmarkEnd w:id="10"/>
      <w:bookmarkEnd w:id="11"/>
      <w:bookmarkEnd w:id="12"/>
      <w:bookmarkEnd w:id="13"/>
    </w:p>
    <w:p w:rsidR="009959FD" w:rsidRDefault="009959FD">
      <w:pPr>
        <w:pStyle w:val="Zkladntext2"/>
        <w:tabs>
          <w:tab w:val="center" w:pos="2268"/>
          <w:tab w:val="center" w:pos="6804"/>
        </w:tabs>
        <w:spacing w:after="120"/>
        <w:rPr>
          <w:rFonts w:ascii="Goudy Old Style ATT" w:hAnsi="Goudy Old Style ATT"/>
        </w:rPr>
      </w:pPr>
    </w:p>
    <w:p w:rsidR="009959FD" w:rsidRDefault="009959FD">
      <w:pPr>
        <w:pStyle w:val="Zkladntext2"/>
        <w:tabs>
          <w:tab w:val="center" w:pos="2268"/>
          <w:tab w:val="center" w:pos="6804"/>
        </w:tabs>
        <w:spacing w:after="120"/>
        <w:rPr>
          <w:rFonts w:ascii="Goudy Old Style ATT" w:hAnsi="Goudy Old Style ATT"/>
        </w:rPr>
      </w:pPr>
    </w:p>
    <w:p w:rsidR="009959FD" w:rsidRPr="009959FD" w:rsidRDefault="009959FD">
      <w:pPr>
        <w:pStyle w:val="Zkladntext2"/>
        <w:tabs>
          <w:tab w:val="center" w:pos="2268"/>
          <w:tab w:val="center" w:pos="6804"/>
        </w:tabs>
        <w:spacing w:after="120"/>
        <w:rPr>
          <w:rFonts w:ascii="Goudy Old Style ATT" w:hAnsi="Goudy Old Style ATT"/>
        </w:rPr>
      </w:pPr>
    </w:p>
    <w:p w:rsidR="005F1A30" w:rsidRDefault="001C521C" w:rsidP="00DF53C8">
      <w:pPr>
        <w:pStyle w:val="Nzev"/>
      </w:pPr>
      <w:r>
        <w:rPr>
          <w:noProof/>
        </w:rPr>
        <w:drawing>
          <wp:inline distT="0" distB="0" distL="0" distR="0" wp14:anchorId="3BA1DEFB" wp14:editId="4BF4111C">
            <wp:extent cx="5760720" cy="5728970"/>
            <wp:effectExtent l="0" t="0" r="0" b="5080"/>
            <wp:docPr id="7" name="Obrázek 7" descr="C:\Users\tomasek\AppData\Local\Microsoft\Windows\INetCache\Content.Outlook\50UXNLZP\hranice_kum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asek\AppData\Local\Microsoft\Windows\INetCache\Content.Outlook\50UXNLZP\hranice_kumo_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28970"/>
                    </a:xfrm>
                    <a:prstGeom prst="rect">
                      <a:avLst/>
                    </a:prstGeom>
                    <a:noFill/>
                    <a:ln>
                      <a:noFill/>
                    </a:ln>
                  </pic:spPr>
                </pic:pic>
              </a:graphicData>
            </a:graphic>
          </wp:inline>
        </w:drawing>
      </w:r>
      <w:r w:rsidR="00DF53C8">
        <w:t xml:space="preserve"> </w:t>
      </w:r>
    </w:p>
    <w:p w:rsidR="00B64ACD" w:rsidRPr="00B64ACD" w:rsidRDefault="00B64ACD">
      <w:pPr>
        <w:pStyle w:val="Zkladntext2"/>
        <w:tabs>
          <w:tab w:val="center" w:pos="2268"/>
          <w:tab w:val="center" w:pos="6804"/>
        </w:tabs>
        <w:spacing w:after="120"/>
        <w:rPr>
          <w:rFonts w:ascii="Goudy Old Style ATT" w:hAnsi="Goudy Old Style ATT"/>
        </w:rPr>
      </w:pPr>
    </w:p>
    <w:sectPr w:rsidR="00B64ACD" w:rsidRPr="00B64ACD">
      <w:headerReference w:type="default" r:id="rId9"/>
      <w:footerReference w:type="default" r:id="rId10"/>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464" w:rsidRDefault="00161464">
      <w:r>
        <w:separator/>
      </w:r>
    </w:p>
  </w:endnote>
  <w:endnote w:type="continuationSeparator" w:id="0">
    <w:p w:rsidR="00161464" w:rsidRDefault="0016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AT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pat"/>
      <w:jc w:val="center"/>
    </w:pPr>
    <w:r>
      <w:rPr>
        <w:i/>
        <w:sz w:val="16"/>
      </w:rPr>
      <w:t>~</w:t>
    </w:r>
    <w:r>
      <w:rPr>
        <w:rStyle w:val="slostrnky"/>
        <w:b/>
        <w:sz w:val="22"/>
      </w:rPr>
      <w:fldChar w:fldCharType="begin"/>
    </w:r>
    <w:r>
      <w:rPr>
        <w:rStyle w:val="slostrnky"/>
        <w:b/>
        <w:sz w:val="22"/>
      </w:rPr>
      <w:instrText xml:space="preserve"> PAGE </w:instrText>
    </w:r>
    <w:r>
      <w:rPr>
        <w:rStyle w:val="slostrnky"/>
        <w:b/>
        <w:sz w:val="22"/>
      </w:rPr>
      <w:fldChar w:fldCharType="separate"/>
    </w:r>
    <w:r w:rsidR="00787F89">
      <w:rPr>
        <w:rStyle w:val="slostrnky"/>
        <w:b/>
        <w:noProof/>
        <w:sz w:val="22"/>
      </w:rPr>
      <w:t>2</w:t>
    </w:r>
    <w:r>
      <w:rPr>
        <w:rStyle w:val="slostrnky"/>
        <w:b/>
        <w:sz w:val="22"/>
      </w:rPr>
      <w:fldChar w:fldCharType="end"/>
    </w:r>
    <w:r>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464" w:rsidRDefault="00161464">
      <w:r>
        <w:separator/>
      </w:r>
    </w:p>
  </w:footnote>
  <w:footnote w:type="continuationSeparator" w:id="0">
    <w:p w:rsidR="00161464" w:rsidRDefault="0016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hlav"/>
      <w:rPr>
        <w:i/>
        <w:sz w:val="16"/>
      </w:rPr>
    </w:pPr>
    <w:r>
      <w:rPr>
        <w:i/>
        <w:sz w:val="16"/>
      </w:rPr>
      <w:t>V</w:t>
    </w:r>
    <w:r w:rsidR="00A21E55">
      <w:rPr>
        <w:i/>
        <w:sz w:val="16"/>
      </w:rPr>
      <w:t>yhláška č.5</w:t>
    </w:r>
    <w:r w:rsidR="00314550">
      <w:rPr>
        <w:i/>
        <w:sz w:val="16"/>
      </w:rPr>
      <w:t>/2017</w:t>
    </w:r>
    <w:r w:rsidR="00F76464">
      <w:rPr>
        <w:i/>
        <w:sz w:val="16"/>
      </w:rPr>
      <w:t>,</w:t>
    </w:r>
    <w:r>
      <w:rPr>
        <w:i/>
        <w:sz w:val="16"/>
      </w:rPr>
      <w:t xml:space="preserve"> o změnách a doplnění vyhlášky č. 8/2001, Statut města,</w:t>
    </w:r>
    <w:r>
      <w:rPr>
        <w:i/>
        <w:sz w:val="16"/>
      </w:rPr>
      <w:tab/>
    </w:r>
  </w:p>
  <w:p w:rsidR="000949F4" w:rsidRDefault="000949F4">
    <w:pPr>
      <w:pStyle w:val="Zhlav"/>
      <w:rPr>
        <w:i/>
        <w:sz w:val="16"/>
      </w:rPr>
    </w:pPr>
    <w:r>
      <w:rPr>
        <w:i/>
        <w:sz w:val="16"/>
      </w:rPr>
      <w:t>ve znění vyhlášek č. 12/2002, 3/</w:t>
    </w:r>
    <w:proofErr w:type="gramStart"/>
    <w:r>
      <w:rPr>
        <w:i/>
        <w:sz w:val="16"/>
      </w:rPr>
      <w:t>2004,  20</w:t>
    </w:r>
    <w:proofErr w:type="gramEnd"/>
    <w:r>
      <w:rPr>
        <w:i/>
        <w:sz w:val="16"/>
      </w:rPr>
      <w:t>/2004, 17/2005, 14</w:t>
    </w:r>
    <w:r w:rsidR="00F76464">
      <w:rPr>
        <w:i/>
        <w:sz w:val="16"/>
      </w:rPr>
      <w:t xml:space="preserve">/2006, 20/2006, 1/2009, 3/2010, </w:t>
    </w:r>
    <w:r w:rsidR="00B2610B">
      <w:rPr>
        <w:i/>
        <w:sz w:val="16"/>
      </w:rPr>
      <w:t xml:space="preserve"> 14/2011, </w:t>
    </w:r>
    <w:r w:rsidR="00F76464">
      <w:rPr>
        <w:i/>
        <w:sz w:val="16"/>
      </w:rPr>
      <w:t xml:space="preserve"> 9/2012</w:t>
    </w:r>
    <w:r w:rsidR="001E6ACF">
      <w:rPr>
        <w:i/>
        <w:sz w:val="16"/>
      </w:rPr>
      <w:t xml:space="preserve">, </w:t>
    </w:r>
    <w:r w:rsidR="00B2610B">
      <w:rPr>
        <w:i/>
        <w:sz w:val="16"/>
      </w:rPr>
      <w:t>3/2013</w:t>
    </w:r>
    <w:r w:rsidR="00DE6C2D">
      <w:rPr>
        <w:i/>
        <w:sz w:val="16"/>
      </w:rPr>
      <w:t xml:space="preserve">, </w:t>
    </w:r>
    <w:r w:rsidR="001E6ACF">
      <w:rPr>
        <w:i/>
        <w:sz w:val="16"/>
      </w:rPr>
      <w:t>11/2013</w:t>
    </w:r>
    <w:r w:rsidR="00E47564">
      <w:rPr>
        <w:i/>
        <w:sz w:val="16"/>
      </w:rPr>
      <w:t xml:space="preserve">, </w:t>
    </w:r>
    <w:r w:rsidR="00DE6C2D">
      <w:rPr>
        <w:i/>
        <w:sz w:val="16"/>
      </w:rPr>
      <w:t>7/2014</w:t>
    </w:r>
    <w:r w:rsidR="00666F5C">
      <w:rPr>
        <w:i/>
        <w:sz w:val="16"/>
      </w:rPr>
      <w:t xml:space="preserve">, </w:t>
    </w:r>
    <w:r w:rsidR="00E47564">
      <w:rPr>
        <w:i/>
        <w:sz w:val="16"/>
      </w:rPr>
      <w:t>4/2015</w:t>
    </w:r>
    <w:r w:rsidR="00314550">
      <w:rPr>
        <w:i/>
        <w:sz w:val="16"/>
      </w:rPr>
      <w:t xml:space="preserve">, </w:t>
    </w:r>
    <w:r w:rsidR="00666F5C">
      <w:rPr>
        <w:i/>
        <w:sz w:val="16"/>
      </w:rPr>
      <w:t>9/2015</w:t>
    </w:r>
    <w:r w:rsidR="00314550">
      <w:rPr>
        <w:i/>
        <w:sz w:val="16"/>
      </w:rPr>
      <w:t xml:space="preserve"> a 5/2016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D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8A380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ED6C33"/>
    <w:multiLevelType w:val="hybridMultilevel"/>
    <w:tmpl w:val="42BC8AAA"/>
    <w:lvl w:ilvl="0" w:tplc="B9A6ACE4">
      <w:start w:val="19"/>
      <w:numFmt w:val="decimal"/>
      <w:lvlText w:val="(%1)"/>
      <w:lvlJc w:val="left"/>
      <w:pPr>
        <w:ind w:left="730" w:hanging="39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 w15:restartNumberingAfterBreak="0">
    <w:nsid w:val="0BCD58A6"/>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F8010C"/>
    <w:multiLevelType w:val="singleLevel"/>
    <w:tmpl w:val="3EC20748"/>
    <w:lvl w:ilvl="0">
      <w:start w:val="1"/>
      <w:numFmt w:val="decimal"/>
      <w:lvlText w:val="%1."/>
      <w:legacy w:legacy="1" w:legacySpace="0" w:legacyIndent="360"/>
      <w:lvlJc w:val="left"/>
      <w:pPr>
        <w:ind w:left="360" w:hanging="360"/>
      </w:pPr>
    </w:lvl>
  </w:abstractNum>
  <w:abstractNum w:abstractNumId="5"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611081"/>
    <w:multiLevelType w:val="multilevel"/>
    <w:tmpl w:val="8F565D1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cs="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F23A06"/>
    <w:multiLevelType w:val="hybridMultilevel"/>
    <w:tmpl w:val="01963852"/>
    <w:lvl w:ilvl="0" w:tplc="6FE4DCD2">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D551EF"/>
    <w:multiLevelType w:val="hybridMultilevel"/>
    <w:tmpl w:val="F2F2B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64114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5541BEF"/>
    <w:multiLevelType w:val="hybridMultilevel"/>
    <w:tmpl w:val="95AA1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9D07D1"/>
    <w:multiLevelType w:val="hybridMultilevel"/>
    <w:tmpl w:val="FE0A495E"/>
    <w:lvl w:ilvl="0" w:tplc="6268B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FD7B73"/>
    <w:multiLevelType w:val="hybridMultilevel"/>
    <w:tmpl w:val="4B2E7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E45B5"/>
    <w:multiLevelType w:val="hybridMultilevel"/>
    <w:tmpl w:val="60FAE6A0"/>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7721DD"/>
    <w:multiLevelType w:val="hybridMultilevel"/>
    <w:tmpl w:val="CBC00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454A82"/>
    <w:multiLevelType w:val="hybridMultilevel"/>
    <w:tmpl w:val="E480C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712856"/>
    <w:multiLevelType w:val="hybridMultilevel"/>
    <w:tmpl w:val="15664EC2"/>
    <w:lvl w:ilvl="0" w:tplc="DAC42CB4">
      <w:start w:val="1"/>
      <w:numFmt w:val="decimal"/>
      <w:lvlText w:val="%1."/>
      <w:lvlJc w:val="left"/>
      <w:pPr>
        <w:ind w:left="720" w:hanging="360"/>
      </w:pPr>
      <w:rPr>
        <w:rFonts w:ascii="Times New Roman" w:eastAsia="Times New Roman" w:hAnsi="Times New Roman" w:hint="default"/>
        <w:color w:val="00206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0D287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906FCD"/>
    <w:multiLevelType w:val="hybridMultilevel"/>
    <w:tmpl w:val="977AC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EE0D7F"/>
    <w:multiLevelType w:val="singleLevel"/>
    <w:tmpl w:val="3EC20748"/>
    <w:lvl w:ilvl="0">
      <w:start w:val="1"/>
      <w:numFmt w:val="decimal"/>
      <w:lvlText w:val="%1."/>
      <w:legacy w:legacy="1" w:legacySpace="0" w:legacyIndent="360"/>
      <w:lvlJc w:val="left"/>
      <w:pPr>
        <w:ind w:left="360" w:hanging="360"/>
      </w:pPr>
    </w:lvl>
  </w:abstractNum>
  <w:abstractNum w:abstractNumId="24" w15:restartNumberingAfterBreak="0">
    <w:nsid w:val="53675D02"/>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5378BF"/>
    <w:multiLevelType w:val="hybridMultilevel"/>
    <w:tmpl w:val="39BE9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4A5249"/>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EB7E67"/>
    <w:multiLevelType w:val="hybridMultilevel"/>
    <w:tmpl w:val="FA4CC89A"/>
    <w:lvl w:ilvl="0" w:tplc="62084A98">
      <w:start w:val="1"/>
      <w:numFmt w:val="lowerLetter"/>
      <w:lvlText w:val="%1)"/>
      <w:lvlJc w:val="left"/>
      <w:pPr>
        <w:ind w:left="1090" w:hanging="360"/>
      </w:pPr>
      <w:rPr>
        <w:rFonts w:hint="default"/>
      </w:rPr>
    </w:lvl>
    <w:lvl w:ilvl="1" w:tplc="04050019" w:tentative="1">
      <w:start w:val="1"/>
      <w:numFmt w:val="lowerLetter"/>
      <w:lvlText w:val="%2."/>
      <w:lvlJc w:val="left"/>
      <w:pPr>
        <w:ind w:left="1810" w:hanging="360"/>
      </w:pPr>
    </w:lvl>
    <w:lvl w:ilvl="2" w:tplc="0405001B" w:tentative="1">
      <w:start w:val="1"/>
      <w:numFmt w:val="lowerRoman"/>
      <w:lvlText w:val="%3."/>
      <w:lvlJc w:val="right"/>
      <w:pPr>
        <w:ind w:left="2530" w:hanging="180"/>
      </w:pPr>
    </w:lvl>
    <w:lvl w:ilvl="3" w:tplc="0405000F" w:tentative="1">
      <w:start w:val="1"/>
      <w:numFmt w:val="decimal"/>
      <w:lvlText w:val="%4."/>
      <w:lvlJc w:val="left"/>
      <w:pPr>
        <w:ind w:left="3250" w:hanging="360"/>
      </w:pPr>
    </w:lvl>
    <w:lvl w:ilvl="4" w:tplc="04050019" w:tentative="1">
      <w:start w:val="1"/>
      <w:numFmt w:val="lowerLetter"/>
      <w:lvlText w:val="%5."/>
      <w:lvlJc w:val="left"/>
      <w:pPr>
        <w:ind w:left="3970" w:hanging="360"/>
      </w:pPr>
    </w:lvl>
    <w:lvl w:ilvl="5" w:tplc="0405001B" w:tentative="1">
      <w:start w:val="1"/>
      <w:numFmt w:val="lowerRoman"/>
      <w:lvlText w:val="%6."/>
      <w:lvlJc w:val="right"/>
      <w:pPr>
        <w:ind w:left="4690" w:hanging="180"/>
      </w:pPr>
    </w:lvl>
    <w:lvl w:ilvl="6" w:tplc="0405000F" w:tentative="1">
      <w:start w:val="1"/>
      <w:numFmt w:val="decimal"/>
      <w:lvlText w:val="%7."/>
      <w:lvlJc w:val="left"/>
      <w:pPr>
        <w:ind w:left="5410" w:hanging="360"/>
      </w:pPr>
    </w:lvl>
    <w:lvl w:ilvl="7" w:tplc="04050019" w:tentative="1">
      <w:start w:val="1"/>
      <w:numFmt w:val="lowerLetter"/>
      <w:lvlText w:val="%8."/>
      <w:lvlJc w:val="left"/>
      <w:pPr>
        <w:ind w:left="6130" w:hanging="360"/>
      </w:pPr>
    </w:lvl>
    <w:lvl w:ilvl="8" w:tplc="0405001B" w:tentative="1">
      <w:start w:val="1"/>
      <w:numFmt w:val="lowerRoman"/>
      <w:lvlText w:val="%9."/>
      <w:lvlJc w:val="right"/>
      <w:pPr>
        <w:ind w:left="6850" w:hanging="180"/>
      </w:pPr>
    </w:lvl>
  </w:abstractNum>
  <w:abstractNum w:abstractNumId="29"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30" w15:restartNumberingAfterBreak="0">
    <w:nsid w:val="5B6F05E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C813A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7B72E4"/>
    <w:multiLevelType w:val="hybridMultilevel"/>
    <w:tmpl w:val="D97AAFB4"/>
    <w:lvl w:ilvl="0" w:tplc="4810DCDE">
      <w:numFmt w:val="bullet"/>
      <w:lvlText w:val="-"/>
      <w:lvlJc w:val="left"/>
      <w:pPr>
        <w:ind w:left="720" w:hanging="360"/>
      </w:pPr>
      <w:rPr>
        <w:rFonts w:ascii="Goudy Old Style ATT" w:eastAsia="Times New Roman" w:hAnsi="Goudy Old Style AT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8D3C5E"/>
    <w:multiLevelType w:val="hybridMultilevel"/>
    <w:tmpl w:val="47ACE87E"/>
    <w:lvl w:ilvl="0" w:tplc="9A16A7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2F7AAC"/>
    <w:multiLevelType w:val="hybridMultilevel"/>
    <w:tmpl w:val="F356D556"/>
    <w:lvl w:ilvl="0" w:tplc="DD1AC2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0B079C"/>
    <w:multiLevelType w:val="multilevel"/>
    <w:tmpl w:val="C9CE5E4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Goudy Old Style ATT" w:eastAsia="Times New Roman" w:hAnsi="Goudy Old Style ATT" w:cs="Times New Roman"/>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B65E0A"/>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12445A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18A1087"/>
    <w:multiLevelType w:val="hybridMultilevel"/>
    <w:tmpl w:val="96385A2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D0562F"/>
    <w:multiLevelType w:val="multilevel"/>
    <w:tmpl w:val="6304EACC"/>
    <w:lvl w:ilvl="0">
      <w:start w:val="1"/>
      <w:numFmt w:val="decimal"/>
      <w:suff w:val="space"/>
      <w:lvlText w:val="(%1)"/>
      <w:lvlJc w:val="left"/>
      <w:pPr>
        <w:ind w:left="0" w:firstLine="709"/>
      </w:pPr>
      <w:rPr>
        <w:rFonts w:ascii="Times New Roman" w:hAnsi="Times New Roman" w:cs="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cs="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cs="Times New Roman" w:hint="default"/>
        <w:b w:val="0"/>
        <w:i w:val="0"/>
        <w:color w:val="00000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0F5A44"/>
    <w:multiLevelType w:val="hybridMultilevel"/>
    <w:tmpl w:val="8E087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811EA0"/>
    <w:multiLevelType w:val="hybridMultilevel"/>
    <w:tmpl w:val="61C64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3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num>
  <w:num w:numId="6">
    <w:abstractNumId w:val="3"/>
  </w:num>
  <w:num w:numId="7">
    <w:abstractNumId w:val="40"/>
  </w:num>
  <w:num w:numId="8">
    <w:abstractNumId w:val="30"/>
  </w:num>
  <w:num w:numId="9">
    <w:abstractNumId w:val="37"/>
  </w:num>
  <w:num w:numId="10">
    <w:abstractNumId w:val="43"/>
  </w:num>
  <w:num w:numId="11">
    <w:abstractNumId w:val="41"/>
  </w:num>
  <w:num w:numId="12">
    <w:abstractNumId w:val="0"/>
  </w:num>
  <w:num w:numId="13">
    <w:abstractNumId w:val="4"/>
  </w:num>
  <w:num w:numId="14">
    <w:abstractNumId w:val="11"/>
  </w:num>
  <w:num w:numId="15">
    <w:abstractNumId w:val="24"/>
  </w:num>
  <w:num w:numId="16">
    <w:abstractNumId w:val="9"/>
  </w:num>
  <w:num w:numId="17">
    <w:abstractNumId w:val="12"/>
  </w:num>
  <w:num w:numId="18">
    <w:abstractNumId w:val="25"/>
  </w:num>
  <w:num w:numId="19">
    <w:abstractNumId w:val="42"/>
  </w:num>
  <w:num w:numId="20">
    <w:abstractNumId w:val="14"/>
  </w:num>
  <w:num w:numId="21">
    <w:abstractNumId w:val="22"/>
  </w:num>
  <w:num w:numId="22">
    <w:abstractNumId w:val="19"/>
  </w:num>
  <w:num w:numId="23">
    <w:abstractNumId w:val="8"/>
  </w:num>
  <w:num w:numId="24">
    <w:abstractNumId w:val="18"/>
  </w:num>
  <w:num w:numId="25">
    <w:abstractNumId w:val="15"/>
  </w:num>
  <w:num w:numId="26">
    <w:abstractNumId w:val="21"/>
  </w:num>
  <w:num w:numId="27">
    <w:abstractNumId w:val="34"/>
  </w:num>
  <w:num w:numId="28">
    <w:abstractNumId w:val="27"/>
  </w:num>
  <w:num w:numId="29">
    <w:abstractNumId w:val="16"/>
  </w:num>
  <w:num w:numId="30">
    <w:abstractNumId w:val="10"/>
  </w:num>
  <w:num w:numId="31">
    <w:abstractNumId w:val="33"/>
  </w:num>
  <w:num w:numId="32">
    <w:abstractNumId w:val="44"/>
  </w:num>
  <w:num w:numId="33">
    <w:abstractNumId w:val="5"/>
  </w:num>
  <w:num w:numId="34">
    <w:abstractNumId w:val="13"/>
  </w:num>
  <w:num w:numId="35">
    <w:abstractNumId w:val="3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5"/>
  </w:num>
  <w:num w:numId="39">
    <w:abstractNumId w:val="6"/>
  </w:num>
  <w:num w:numId="40">
    <w:abstractNumId w:val="20"/>
  </w:num>
  <w:num w:numId="41">
    <w:abstractNumId w:val="39"/>
  </w:num>
  <w:num w:numId="42">
    <w:abstractNumId w:val="2"/>
  </w:num>
  <w:num w:numId="43">
    <w:abstractNumId w:val="28"/>
  </w:num>
  <w:num w:numId="44">
    <w:abstractNumId w:val="31"/>
  </w:num>
  <w:num w:numId="45">
    <w:abstractNumId w:val="17"/>
  </w:num>
  <w:num w:numId="46">
    <w:abstractNumId w:val="38"/>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166D5"/>
    <w:rsid w:val="00020D4E"/>
    <w:rsid w:val="0002220D"/>
    <w:rsid w:val="00026FCD"/>
    <w:rsid w:val="00027FAD"/>
    <w:rsid w:val="0003220D"/>
    <w:rsid w:val="000356BF"/>
    <w:rsid w:val="00040FAA"/>
    <w:rsid w:val="0004411B"/>
    <w:rsid w:val="00061303"/>
    <w:rsid w:val="00061F5A"/>
    <w:rsid w:val="00062532"/>
    <w:rsid w:val="00073087"/>
    <w:rsid w:val="00080594"/>
    <w:rsid w:val="000827A5"/>
    <w:rsid w:val="000949F4"/>
    <w:rsid w:val="00095696"/>
    <w:rsid w:val="00097E74"/>
    <w:rsid w:val="000B571E"/>
    <w:rsid w:val="000C2016"/>
    <w:rsid w:val="000C45CC"/>
    <w:rsid w:val="000C6BCF"/>
    <w:rsid w:val="000C714D"/>
    <w:rsid w:val="000D18CB"/>
    <w:rsid w:val="000D5AC8"/>
    <w:rsid w:val="000D65C3"/>
    <w:rsid w:val="000E47E1"/>
    <w:rsid w:val="000E6654"/>
    <w:rsid w:val="000F3E23"/>
    <w:rsid w:val="0011435B"/>
    <w:rsid w:val="001155D5"/>
    <w:rsid w:val="00123B6B"/>
    <w:rsid w:val="00124A7C"/>
    <w:rsid w:val="001265D9"/>
    <w:rsid w:val="00126B19"/>
    <w:rsid w:val="00126FCD"/>
    <w:rsid w:val="00140D73"/>
    <w:rsid w:val="001505F3"/>
    <w:rsid w:val="00151F2E"/>
    <w:rsid w:val="00160FAB"/>
    <w:rsid w:val="00161267"/>
    <w:rsid w:val="00161464"/>
    <w:rsid w:val="00166B7F"/>
    <w:rsid w:val="0017079B"/>
    <w:rsid w:val="00177AE5"/>
    <w:rsid w:val="001815D9"/>
    <w:rsid w:val="001818DD"/>
    <w:rsid w:val="00192FD9"/>
    <w:rsid w:val="001A083A"/>
    <w:rsid w:val="001A2426"/>
    <w:rsid w:val="001A2D05"/>
    <w:rsid w:val="001B5B40"/>
    <w:rsid w:val="001C0B68"/>
    <w:rsid w:val="001C42D2"/>
    <w:rsid w:val="001C521C"/>
    <w:rsid w:val="001D4E35"/>
    <w:rsid w:val="001D7716"/>
    <w:rsid w:val="001E6ACF"/>
    <w:rsid w:val="001F04F3"/>
    <w:rsid w:val="001F3A54"/>
    <w:rsid w:val="00206F28"/>
    <w:rsid w:val="002110F8"/>
    <w:rsid w:val="00221E88"/>
    <w:rsid w:val="00224E64"/>
    <w:rsid w:val="00230A2E"/>
    <w:rsid w:val="002330FF"/>
    <w:rsid w:val="002349B8"/>
    <w:rsid w:val="00243587"/>
    <w:rsid w:val="00243E02"/>
    <w:rsid w:val="0025452D"/>
    <w:rsid w:val="00265DA8"/>
    <w:rsid w:val="00267C9C"/>
    <w:rsid w:val="00271525"/>
    <w:rsid w:val="00272EDA"/>
    <w:rsid w:val="00273854"/>
    <w:rsid w:val="00275837"/>
    <w:rsid w:val="00276550"/>
    <w:rsid w:val="00291A9A"/>
    <w:rsid w:val="002A0638"/>
    <w:rsid w:val="002A609D"/>
    <w:rsid w:val="002B23BC"/>
    <w:rsid w:val="002B5AF3"/>
    <w:rsid w:val="002B5DA3"/>
    <w:rsid w:val="002B65C9"/>
    <w:rsid w:val="002C31BE"/>
    <w:rsid w:val="002C4123"/>
    <w:rsid w:val="002C4D82"/>
    <w:rsid w:val="002C5DEB"/>
    <w:rsid w:val="002C6997"/>
    <w:rsid w:val="002D2FA2"/>
    <w:rsid w:val="002E05F3"/>
    <w:rsid w:val="002E1E6A"/>
    <w:rsid w:val="002F6EAC"/>
    <w:rsid w:val="0030016E"/>
    <w:rsid w:val="00302D61"/>
    <w:rsid w:val="00314550"/>
    <w:rsid w:val="00314B49"/>
    <w:rsid w:val="0031550C"/>
    <w:rsid w:val="00334F69"/>
    <w:rsid w:val="00341C75"/>
    <w:rsid w:val="00343D4A"/>
    <w:rsid w:val="00344978"/>
    <w:rsid w:val="00353083"/>
    <w:rsid w:val="00354F15"/>
    <w:rsid w:val="003563DC"/>
    <w:rsid w:val="00380412"/>
    <w:rsid w:val="00387E03"/>
    <w:rsid w:val="003900BB"/>
    <w:rsid w:val="00390558"/>
    <w:rsid w:val="0039212F"/>
    <w:rsid w:val="0039332E"/>
    <w:rsid w:val="00397B42"/>
    <w:rsid w:val="003A038B"/>
    <w:rsid w:val="003B120E"/>
    <w:rsid w:val="003B358C"/>
    <w:rsid w:val="003B36BB"/>
    <w:rsid w:val="003B702D"/>
    <w:rsid w:val="003B78EC"/>
    <w:rsid w:val="003C02E7"/>
    <w:rsid w:val="003C4195"/>
    <w:rsid w:val="003D122B"/>
    <w:rsid w:val="003D4EEE"/>
    <w:rsid w:val="003F2CEC"/>
    <w:rsid w:val="003F3D02"/>
    <w:rsid w:val="004129A9"/>
    <w:rsid w:val="00423D00"/>
    <w:rsid w:val="00430468"/>
    <w:rsid w:val="00431F9C"/>
    <w:rsid w:val="004335F5"/>
    <w:rsid w:val="00446825"/>
    <w:rsid w:val="00446FDA"/>
    <w:rsid w:val="00457CAB"/>
    <w:rsid w:val="004652ED"/>
    <w:rsid w:val="00467F6C"/>
    <w:rsid w:val="00482B4E"/>
    <w:rsid w:val="0048310D"/>
    <w:rsid w:val="004846AD"/>
    <w:rsid w:val="004866D7"/>
    <w:rsid w:val="00494AE5"/>
    <w:rsid w:val="00494DEB"/>
    <w:rsid w:val="004B11AF"/>
    <w:rsid w:val="004B36B1"/>
    <w:rsid w:val="004C22F9"/>
    <w:rsid w:val="004C498B"/>
    <w:rsid w:val="004C6C59"/>
    <w:rsid w:val="004E27D6"/>
    <w:rsid w:val="00501286"/>
    <w:rsid w:val="00502408"/>
    <w:rsid w:val="00503927"/>
    <w:rsid w:val="005050F3"/>
    <w:rsid w:val="00512C18"/>
    <w:rsid w:val="005159BC"/>
    <w:rsid w:val="005211C6"/>
    <w:rsid w:val="00521699"/>
    <w:rsid w:val="00523DF3"/>
    <w:rsid w:val="00525AC6"/>
    <w:rsid w:val="00526055"/>
    <w:rsid w:val="00527082"/>
    <w:rsid w:val="0053401D"/>
    <w:rsid w:val="0053562A"/>
    <w:rsid w:val="00535D6B"/>
    <w:rsid w:val="00544C4A"/>
    <w:rsid w:val="00544EB3"/>
    <w:rsid w:val="00553E30"/>
    <w:rsid w:val="0056479D"/>
    <w:rsid w:val="005727DB"/>
    <w:rsid w:val="005830E8"/>
    <w:rsid w:val="00585E3D"/>
    <w:rsid w:val="005900AE"/>
    <w:rsid w:val="00590A2D"/>
    <w:rsid w:val="005922AA"/>
    <w:rsid w:val="005B3ABE"/>
    <w:rsid w:val="005B6981"/>
    <w:rsid w:val="005C3B40"/>
    <w:rsid w:val="005C4C16"/>
    <w:rsid w:val="005D3DA0"/>
    <w:rsid w:val="005F1A30"/>
    <w:rsid w:val="005F7E51"/>
    <w:rsid w:val="00601343"/>
    <w:rsid w:val="00611CB6"/>
    <w:rsid w:val="00616047"/>
    <w:rsid w:val="00620044"/>
    <w:rsid w:val="00625A9B"/>
    <w:rsid w:val="0063637F"/>
    <w:rsid w:val="00641175"/>
    <w:rsid w:val="00647056"/>
    <w:rsid w:val="00656A18"/>
    <w:rsid w:val="00666F5C"/>
    <w:rsid w:val="00667344"/>
    <w:rsid w:val="00680237"/>
    <w:rsid w:val="0068216B"/>
    <w:rsid w:val="00687E4B"/>
    <w:rsid w:val="00694192"/>
    <w:rsid w:val="00694C89"/>
    <w:rsid w:val="00697D20"/>
    <w:rsid w:val="006A0612"/>
    <w:rsid w:val="006A134C"/>
    <w:rsid w:val="006A568F"/>
    <w:rsid w:val="006A581C"/>
    <w:rsid w:val="006A76D0"/>
    <w:rsid w:val="006B02FA"/>
    <w:rsid w:val="006C1B40"/>
    <w:rsid w:val="006C45A1"/>
    <w:rsid w:val="006D4741"/>
    <w:rsid w:val="006D7F28"/>
    <w:rsid w:val="006E364A"/>
    <w:rsid w:val="006E40E7"/>
    <w:rsid w:val="006E6D22"/>
    <w:rsid w:val="006F3767"/>
    <w:rsid w:val="006F4244"/>
    <w:rsid w:val="00710CC3"/>
    <w:rsid w:val="00711663"/>
    <w:rsid w:val="00721DFD"/>
    <w:rsid w:val="0072285A"/>
    <w:rsid w:val="007231E0"/>
    <w:rsid w:val="00744557"/>
    <w:rsid w:val="00752421"/>
    <w:rsid w:val="0076041E"/>
    <w:rsid w:val="00762129"/>
    <w:rsid w:val="00763264"/>
    <w:rsid w:val="0076503A"/>
    <w:rsid w:val="0076759E"/>
    <w:rsid w:val="007741BC"/>
    <w:rsid w:val="00780593"/>
    <w:rsid w:val="007877A5"/>
    <w:rsid w:val="00787F89"/>
    <w:rsid w:val="0079046A"/>
    <w:rsid w:val="00794F62"/>
    <w:rsid w:val="007A6EAA"/>
    <w:rsid w:val="007B595F"/>
    <w:rsid w:val="007C6A4E"/>
    <w:rsid w:val="007D4F21"/>
    <w:rsid w:val="007D54CE"/>
    <w:rsid w:val="007E1716"/>
    <w:rsid w:val="007E5B1A"/>
    <w:rsid w:val="007F11A2"/>
    <w:rsid w:val="007F3000"/>
    <w:rsid w:val="007F5572"/>
    <w:rsid w:val="007F6345"/>
    <w:rsid w:val="008110A1"/>
    <w:rsid w:val="008133BA"/>
    <w:rsid w:val="00813E62"/>
    <w:rsid w:val="00820A1F"/>
    <w:rsid w:val="00821353"/>
    <w:rsid w:val="00832364"/>
    <w:rsid w:val="008405C4"/>
    <w:rsid w:val="00841097"/>
    <w:rsid w:val="00842FB8"/>
    <w:rsid w:val="008450EA"/>
    <w:rsid w:val="00863845"/>
    <w:rsid w:val="00875808"/>
    <w:rsid w:val="00876533"/>
    <w:rsid w:val="0088747D"/>
    <w:rsid w:val="00894BCD"/>
    <w:rsid w:val="008B30B6"/>
    <w:rsid w:val="008C0353"/>
    <w:rsid w:val="008C0379"/>
    <w:rsid w:val="008C3C90"/>
    <w:rsid w:val="008C4CA7"/>
    <w:rsid w:val="008C60F7"/>
    <w:rsid w:val="008D0EEF"/>
    <w:rsid w:val="008D1931"/>
    <w:rsid w:val="008D729F"/>
    <w:rsid w:val="008E26FC"/>
    <w:rsid w:val="008F6A87"/>
    <w:rsid w:val="0090794B"/>
    <w:rsid w:val="009111C0"/>
    <w:rsid w:val="0091206D"/>
    <w:rsid w:val="00916689"/>
    <w:rsid w:val="00925B2A"/>
    <w:rsid w:val="009375A4"/>
    <w:rsid w:val="00942B2A"/>
    <w:rsid w:val="00945A10"/>
    <w:rsid w:val="009623AA"/>
    <w:rsid w:val="00972625"/>
    <w:rsid w:val="009734B3"/>
    <w:rsid w:val="00976264"/>
    <w:rsid w:val="00984364"/>
    <w:rsid w:val="00987161"/>
    <w:rsid w:val="0099428F"/>
    <w:rsid w:val="009959FD"/>
    <w:rsid w:val="009A3C9E"/>
    <w:rsid w:val="009A4A48"/>
    <w:rsid w:val="009B0EA6"/>
    <w:rsid w:val="009B21A5"/>
    <w:rsid w:val="009C0D3F"/>
    <w:rsid w:val="009C2FA6"/>
    <w:rsid w:val="009D3733"/>
    <w:rsid w:val="009D5E7C"/>
    <w:rsid w:val="009D6736"/>
    <w:rsid w:val="009E515D"/>
    <w:rsid w:val="00A00B7E"/>
    <w:rsid w:val="00A0195D"/>
    <w:rsid w:val="00A01FCC"/>
    <w:rsid w:val="00A13E42"/>
    <w:rsid w:val="00A16B27"/>
    <w:rsid w:val="00A17F44"/>
    <w:rsid w:val="00A21E55"/>
    <w:rsid w:val="00A251E2"/>
    <w:rsid w:val="00A27B17"/>
    <w:rsid w:val="00A317C9"/>
    <w:rsid w:val="00A332DD"/>
    <w:rsid w:val="00A349B7"/>
    <w:rsid w:val="00A37175"/>
    <w:rsid w:val="00A37F8A"/>
    <w:rsid w:val="00A4372D"/>
    <w:rsid w:val="00A44036"/>
    <w:rsid w:val="00A47DC4"/>
    <w:rsid w:val="00A54C2E"/>
    <w:rsid w:val="00A645E0"/>
    <w:rsid w:val="00A67357"/>
    <w:rsid w:val="00A85515"/>
    <w:rsid w:val="00A9355F"/>
    <w:rsid w:val="00AA0013"/>
    <w:rsid w:val="00AA1D34"/>
    <w:rsid w:val="00AA2A81"/>
    <w:rsid w:val="00AA75C5"/>
    <w:rsid w:val="00AB0C9E"/>
    <w:rsid w:val="00AC1791"/>
    <w:rsid w:val="00AC3ACC"/>
    <w:rsid w:val="00AC60C7"/>
    <w:rsid w:val="00AC7D1D"/>
    <w:rsid w:val="00AD5F29"/>
    <w:rsid w:val="00AE260F"/>
    <w:rsid w:val="00AF0A49"/>
    <w:rsid w:val="00AF37BC"/>
    <w:rsid w:val="00AF45F7"/>
    <w:rsid w:val="00B1264C"/>
    <w:rsid w:val="00B20D44"/>
    <w:rsid w:val="00B2102F"/>
    <w:rsid w:val="00B23ED5"/>
    <w:rsid w:val="00B2610B"/>
    <w:rsid w:val="00B44C48"/>
    <w:rsid w:val="00B50146"/>
    <w:rsid w:val="00B50B3A"/>
    <w:rsid w:val="00B64ACD"/>
    <w:rsid w:val="00B802DA"/>
    <w:rsid w:val="00B80C83"/>
    <w:rsid w:val="00B80E07"/>
    <w:rsid w:val="00B90F08"/>
    <w:rsid w:val="00B92977"/>
    <w:rsid w:val="00BA1A3C"/>
    <w:rsid w:val="00BB1B34"/>
    <w:rsid w:val="00BB1DA2"/>
    <w:rsid w:val="00BB2B47"/>
    <w:rsid w:val="00BB3B19"/>
    <w:rsid w:val="00BB6E0C"/>
    <w:rsid w:val="00BC0C69"/>
    <w:rsid w:val="00BC1754"/>
    <w:rsid w:val="00BC5C1E"/>
    <w:rsid w:val="00BC617F"/>
    <w:rsid w:val="00BE3E8D"/>
    <w:rsid w:val="00BE4388"/>
    <w:rsid w:val="00C1547D"/>
    <w:rsid w:val="00C2050A"/>
    <w:rsid w:val="00C231D7"/>
    <w:rsid w:val="00C23F08"/>
    <w:rsid w:val="00C3136F"/>
    <w:rsid w:val="00C37C7B"/>
    <w:rsid w:val="00C42A94"/>
    <w:rsid w:val="00C53E03"/>
    <w:rsid w:val="00C55CAA"/>
    <w:rsid w:val="00C70493"/>
    <w:rsid w:val="00C70BBB"/>
    <w:rsid w:val="00C7550C"/>
    <w:rsid w:val="00C75B6B"/>
    <w:rsid w:val="00C8249B"/>
    <w:rsid w:val="00C85B68"/>
    <w:rsid w:val="00CB43FC"/>
    <w:rsid w:val="00CB4904"/>
    <w:rsid w:val="00CB6811"/>
    <w:rsid w:val="00CB6BCC"/>
    <w:rsid w:val="00CC2BEF"/>
    <w:rsid w:val="00CC4DE4"/>
    <w:rsid w:val="00CC7C90"/>
    <w:rsid w:val="00CE0479"/>
    <w:rsid w:val="00CE7145"/>
    <w:rsid w:val="00CF565B"/>
    <w:rsid w:val="00CF7C40"/>
    <w:rsid w:val="00D026B6"/>
    <w:rsid w:val="00D02F2E"/>
    <w:rsid w:val="00D037B4"/>
    <w:rsid w:val="00D05FAD"/>
    <w:rsid w:val="00D202F4"/>
    <w:rsid w:val="00D22FCF"/>
    <w:rsid w:val="00D44A3D"/>
    <w:rsid w:val="00D46552"/>
    <w:rsid w:val="00D5646D"/>
    <w:rsid w:val="00D564D0"/>
    <w:rsid w:val="00D636CE"/>
    <w:rsid w:val="00D646E4"/>
    <w:rsid w:val="00D70479"/>
    <w:rsid w:val="00D76DED"/>
    <w:rsid w:val="00D77BDA"/>
    <w:rsid w:val="00D803F9"/>
    <w:rsid w:val="00D82AEF"/>
    <w:rsid w:val="00D82F73"/>
    <w:rsid w:val="00D83C87"/>
    <w:rsid w:val="00DA07E9"/>
    <w:rsid w:val="00DB50CD"/>
    <w:rsid w:val="00DC0B54"/>
    <w:rsid w:val="00DC2018"/>
    <w:rsid w:val="00DC21A2"/>
    <w:rsid w:val="00DC409F"/>
    <w:rsid w:val="00DC5BD0"/>
    <w:rsid w:val="00DD57C4"/>
    <w:rsid w:val="00DE0445"/>
    <w:rsid w:val="00DE481B"/>
    <w:rsid w:val="00DE5BEA"/>
    <w:rsid w:val="00DE6C2D"/>
    <w:rsid w:val="00DE6F42"/>
    <w:rsid w:val="00DF04F0"/>
    <w:rsid w:val="00DF0ED4"/>
    <w:rsid w:val="00DF4A17"/>
    <w:rsid w:val="00DF53C8"/>
    <w:rsid w:val="00E01A1F"/>
    <w:rsid w:val="00E01E01"/>
    <w:rsid w:val="00E02B98"/>
    <w:rsid w:val="00E11F04"/>
    <w:rsid w:val="00E13466"/>
    <w:rsid w:val="00E15134"/>
    <w:rsid w:val="00E17A60"/>
    <w:rsid w:val="00E22886"/>
    <w:rsid w:val="00E23676"/>
    <w:rsid w:val="00E23816"/>
    <w:rsid w:val="00E424B9"/>
    <w:rsid w:val="00E448C6"/>
    <w:rsid w:val="00E45DB4"/>
    <w:rsid w:val="00E47564"/>
    <w:rsid w:val="00E47D86"/>
    <w:rsid w:val="00E5470B"/>
    <w:rsid w:val="00E744D4"/>
    <w:rsid w:val="00E749C1"/>
    <w:rsid w:val="00E75AB0"/>
    <w:rsid w:val="00E80239"/>
    <w:rsid w:val="00E8691B"/>
    <w:rsid w:val="00E967DA"/>
    <w:rsid w:val="00E97C25"/>
    <w:rsid w:val="00EA40CA"/>
    <w:rsid w:val="00EA5F1E"/>
    <w:rsid w:val="00EB362C"/>
    <w:rsid w:val="00EC3645"/>
    <w:rsid w:val="00EC56A3"/>
    <w:rsid w:val="00ED01E9"/>
    <w:rsid w:val="00ED0B7F"/>
    <w:rsid w:val="00ED30E5"/>
    <w:rsid w:val="00ED4757"/>
    <w:rsid w:val="00EE6FCC"/>
    <w:rsid w:val="00F0098D"/>
    <w:rsid w:val="00F02BC6"/>
    <w:rsid w:val="00F02CC3"/>
    <w:rsid w:val="00F17EF6"/>
    <w:rsid w:val="00F30ADD"/>
    <w:rsid w:val="00F323F7"/>
    <w:rsid w:val="00F37430"/>
    <w:rsid w:val="00F40A32"/>
    <w:rsid w:val="00F42EB4"/>
    <w:rsid w:val="00F470CF"/>
    <w:rsid w:val="00F53F98"/>
    <w:rsid w:val="00F663BD"/>
    <w:rsid w:val="00F665B6"/>
    <w:rsid w:val="00F67735"/>
    <w:rsid w:val="00F73A4B"/>
    <w:rsid w:val="00F7488F"/>
    <w:rsid w:val="00F76464"/>
    <w:rsid w:val="00F84B58"/>
    <w:rsid w:val="00F90AFF"/>
    <w:rsid w:val="00F94FED"/>
    <w:rsid w:val="00F9579E"/>
    <w:rsid w:val="00F96B8F"/>
    <w:rsid w:val="00FA4BED"/>
    <w:rsid w:val="00FA7CEB"/>
    <w:rsid w:val="00FB2105"/>
    <w:rsid w:val="00FB7216"/>
    <w:rsid w:val="00FC672B"/>
    <w:rsid w:val="00FC7F65"/>
    <w:rsid w:val="00FE159B"/>
    <w:rsid w:val="00FE3AA4"/>
    <w:rsid w:val="00FE46F8"/>
    <w:rsid w:val="00FE4700"/>
    <w:rsid w:val="00FE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63A"/>
  <w15:docId w15:val="{D8BAE838-599C-43D6-B301-D19E3E0A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rsid w:val="00F96B8F"/>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link w:val="NzevChar"/>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link w:val="TextbublinyChar"/>
    <w:uiPriority w:val="99"/>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uiPriority w:val="99"/>
    <w:semiHidden/>
    <w:rsid w:val="00F76464"/>
    <w:rPr>
      <w:szCs w:val="24"/>
    </w:rPr>
  </w:style>
  <w:style w:type="character" w:customStyle="1" w:styleId="Nadpis2Char">
    <w:name w:val="Nadpis 2 Char"/>
    <w:link w:val="Nadpis2"/>
    <w:uiPriority w:val="9"/>
    <w:rsid w:val="00F96B8F"/>
    <w:rPr>
      <w:rFonts w:ascii="Cambria" w:hAnsi="Cambria"/>
      <w:b/>
      <w:bCs/>
      <w:color w:val="4F81BD"/>
      <w:sz w:val="26"/>
      <w:szCs w:val="26"/>
      <w:lang w:eastAsia="en-US"/>
    </w:rPr>
  </w:style>
  <w:style w:type="numbering" w:customStyle="1" w:styleId="Bezseznamu1">
    <w:name w:val="Bez seznamu1"/>
    <w:next w:val="Bezseznamu"/>
    <w:uiPriority w:val="99"/>
    <w:semiHidden/>
    <w:unhideWhenUsed/>
    <w:rsid w:val="00F96B8F"/>
  </w:style>
  <w:style w:type="character" w:customStyle="1" w:styleId="TextbublinyChar">
    <w:name w:val="Text bubliny Char"/>
    <w:link w:val="Textbubliny"/>
    <w:uiPriority w:val="99"/>
    <w:semiHidden/>
    <w:rsid w:val="00F96B8F"/>
    <w:rPr>
      <w:rFonts w:ascii="Tahoma" w:hAnsi="Tahoma" w:cs="Tahoma"/>
      <w:sz w:val="16"/>
      <w:szCs w:val="16"/>
    </w:rPr>
  </w:style>
  <w:style w:type="character" w:customStyle="1" w:styleId="NzevChar">
    <w:name w:val="Název Char"/>
    <w:link w:val="Nzev"/>
    <w:rsid w:val="005F1A30"/>
    <w:rPr>
      <w:rFonts w:ascii="Goudy Old Style ATT" w:hAnsi="Goudy Old Style ATT"/>
      <w:b/>
      <w:smallCaps/>
      <w:color w:val="000000"/>
      <w:spacing w:val="20"/>
      <w:sz w:val="30"/>
      <w:szCs w:val="24"/>
    </w:rPr>
  </w:style>
  <w:style w:type="character" w:customStyle="1" w:styleId="h1a2">
    <w:name w:val="h1a2"/>
    <w:rsid w:val="002C5DEB"/>
  </w:style>
  <w:style w:type="paragraph" w:customStyle="1" w:styleId="Default">
    <w:name w:val="Default"/>
    <w:basedOn w:val="Normln"/>
    <w:rsid w:val="00027FAD"/>
    <w:pPr>
      <w:autoSpaceDE w:val="0"/>
      <w:autoSpaceDN w:val="0"/>
    </w:pPr>
    <w:rPr>
      <w:rFonts w:eastAsiaTheme="minorHAnsi"/>
      <w:color w:val="000000"/>
      <w:lang w:eastAsia="en-US"/>
    </w:rPr>
  </w:style>
  <w:style w:type="paragraph" w:styleId="Obsah1">
    <w:name w:val="toc 1"/>
    <w:basedOn w:val="Normln"/>
    <w:next w:val="Normln"/>
    <w:autoRedefine/>
    <w:uiPriority w:val="39"/>
    <w:rsid w:val="006A0612"/>
    <w:pPr>
      <w:spacing w:before="120" w:after="120" w:line="276" w:lineRule="auto"/>
    </w:pPr>
    <w:rPr>
      <w:rFonts w:asciiTheme="minorHAnsi" w:eastAsiaTheme="minorHAnsi" w:hAnsiTheme="minorHAnsi" w:cstheme="minorBidi"/>
      <w:b/>
      <w:caps/>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222915379">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679433329">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1795833106">
      <w:bodyDiv w:val="1"/>
      <w:marLeft w:val="0"/>
      <w:marRight w:val="0"/>
      <w:marTop w:val="0"/>
      <w:marBottom w:val="0"/>
      <w:divBdr>
        <w:top w:val="none" w:sz="0" w:space="0" w:color="auto"/>
        <w:left w:val="none" w:sz="0" w:space="0" w:color="auto"/>
        <w:bottom w:val="none" w:sz="0" w:space="0" w:color="auto"/>
        <w:right w:val="none" w:sz="0" w:space="0" w:color="auto"/>
      </w:divBdr>
    </w:div>
    <w:div w:id="1882207233">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103A-051F-477D-BE0B-4501A5BF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8612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3</cp:revision>
  <cp:lastPrinted>2017-12-14T14:18:00Z</cp:lastPrinted>
  <dcterms:created xsi:type="dcterms:W3CDTF">2023-07-19T09:37:00Z</dcterms:created>
  <dcterms:modified xsi:type="dcterms:W3CDTF">2023-07-19T09:38:00Z</dcterms:modified>
</cp:coreProperties>
</file>