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014D8AF" w:rsidR="00394DC7" w:rsidRPr="00962BD2" w:rsidRDefault="00C123C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123CF">
              <w:rPr>
                <w:rFonts w:ascii="Times New Roman" w:eastAsia="Times New Roman" w:hAnsi="Times New Roman"/>
                <w:lang w:eastAsia="cs-CZ"/>
              </w:rPr>
              <w:t>SZ UKZUZ 209040/2021/50302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31E417BF" w:rsidR="00394DC7" w:rsidRPr="00962BD2" w:rsidRDefault="00D9794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97945">
              <w:rPr>
                <w:rFonts w:ascii="Times New Roman" w:eastAsia="Times New Roman" w:hAnsi="Times New Roman"/>
                <w:lang w:eastAsia="cs-CZ"/>
              </w:rPr>
              <w:t>UKZUZ 095597/2022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16D0FD04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123CF">
              <w:rPr>
                <w:rFonts w:ascii="Times New Roman" w:hAnsi="Times New Roman"/>
              </w:rPr>
              <w:t>tebkin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9619B6F" w:rsidR="00394DC7" w:rsidRPr="00962BD2" w:rsidRDefault="00D9794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97945">
              <w:rPr>
                <w:rFonts w:ascii="Times New Roman" w:hAnsi="Times New Roman"/>
              </w:rPr>
              <w:t>31</w:t>
            </w:r>
            <w:r w:rsidR="004C7A67" w:rsidRPr="00D97945">
              <w:rPr>
                <w:rFonts w:ascii="Times New Roman" w:hAnsi="Times New Roman"/>
              </w:rPr>
              <w:t xml:space="preserve">. </w:t>
            </w:r>
            <w:r w:rsidR="00326D33" w:rsidRPr="00D97945">
              <w:rPr>
                <w:rFonts w:ascii="Times New Roman" w:hAnsi="Times New Roman"/>
              </w:rPr>
              <w:t>května</w:t>
            </w:r>
            <w:r w:rsidR="004C7A67" w:rsidRPr="00D97945">
              <w:rPr>
                <w:rFonts w:ascii="Times New Roman" w:hAnsi="Times New Roman"/>
              </w:rPr>
              <w:t xml:space="preserve"> 202</w:t>
            </w:r>
            <w:r w:rsidR="00326D33" w:rsidRPr="00D97945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4F92BAC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123CF">
        <w:rPr>
          <w:rFonts w:ascii="Times New Roman" w:hAnsi="Times New Roman"/>
          <w:b/>
          <w:bCs/>
          <w:sz w:val="28"/>
          <w:szCs w:val="28"/>
        </w:rPr>
        <w:t>TEBKIN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2C0D21">
        <w:rPr>
          <w:rFonts w:ascii="Times New Roman" w:hAnsi="Times New Roman"/>
          <w:b/>
          <w:iCs/>
          <w:sz w:val="28"/>
          <w:szCs w:val="28"/>
        </w:rPr>
        <w:t>5</w:t>
      </w:r>
      <w:r w:rsidR="00C123CF">
        <w:rPr>
          <w:rFonts w:ascii="Times New Roman" w:hAnsi="Times New Roman"/>
          <w:b/>
          <w:iCs/>
          <w:sz w:val="28"/>
          <w:szCs w:val="28"/>
        </w:rPr>
        <w:t>687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160D653D" w:rsidR="00934311" w:rsidRDefault="00934311" w:rsidP="00C123CF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709"/>
        <w:gridCol w:w="1842"/>
        <w:gridCol w:w="1843"/>
      </w:tblGrid>
      <w:tr w:rsidR="00C123CF" w:rsidRPr="00C123CF" w14:paraId="03388C78" w14:textId="77777777" w:rsidTr="00C123CF">
        <w:tc>
          <w:tcPr>
            <w:tcW w:w="1701" w:type="dxa"/>
          </w:tcPr>
          <w:p w14:paraId="6F649E06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701" w:type="dxa"/>
          </w:tcPr>
          <w:p w14:paraId="020F42CC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E822DE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709" w:type="dxa"/>
          </w:tcPr>
          <w:p w14:paraId="696EAD93" w14:textId="34EA5DE3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327CDB1" w14:textId="5BAF26C1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90AB075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2031FB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602A1A83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4A47F37F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45553C2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FE22F2C" w14:textId="1600036C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</w:tc>
      </w:tr>
      <w:tr w:rsidR="00C123CF" w:rsidRPr="00C123CF" w14:paraId="0CAB2EEF" w14:textId="77777777" w:rsidTr="00C123CF">
        <w:tc>
          <w:tcPr>
            <w:tcW w:w="1701" w:type="dxa"/>
          </w:tcPr>
          <w:p w14:paraId="2B719722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3FBFCE64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</w:t>
            </w:r>
          </w:p>
        </w:tc>
        <w:tc>
          <w:tcPr>
            <w:tcW w:w="1276" w:type="dxa"/>
          </w:tcPr>
          <w:p w14:paraId="3C5DB76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709" w:type="dxa"/>
          </w:tcPr>
          <w:p w14:paraId="39FF520F" w14:textId="4605B24F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42" w:type="dxa"/>
          </w:tcPr>
          <w:p w14:paraId="7251EBE4" w14:textId="5605DD15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43" w:type="dxa"/>
          </w:tcPr>
          <w:p w14:paraId="4BD3853C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123CF" w:rsidRPr="00C123CF" w14:paraId="5D0C7D23" w14:textId="77777777" w:rsidTr="00C123CF">
        <w:tc>
          <w:tcPr>
            <w:tcW w:w="1701" w:type="dxa"/>
          </w:tcPr>
          <w:p w14:paraId="1E343C07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701" w:type="dxa"/>
          </w:tcPr>
          <w:p w14:paraId="54EF8AAB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rzi</w:t>
            </w:r>
          </w:p>
        </w:tc>
        <w:tc>
          <w:tcPr>
            <w:tcW w:w="1276" w:type="dxa"/>
          </w:tcPr>
          <w:p w14:paraId="04A7AFD2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0,75-1 l/ha</w:t>
            </w:r>
          </w:p>
        </w:tc>
        <w:tc>
          <w:tcPr>
            <w:tcW w:w="709" w:type="dxa"/>
          </w:tcPr>
          <w:p w14:paraId="6481FD18" w14:textId="1B7AE208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3010BBC5" w14:textId="12FBE4B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43" w:type="dxa"/>
          </w:tcPr>
          <w:p w14:paraId="0D003C0D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123CF" w:rsidRPr="00C123CF" w14:paraId="092835C8" w14:textId="77777777" w:rsidTr="00C123CF">
        <w:tc>
          <w:tcPr>
            <w:tcW w:w="1701" w:type="dxa"/>
          </w:tcPr>
          <w:p w14:paraId="43298D51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1701" w:type="dxa"/>
          </w:tcPr>
          <w:p w14:paraId="2C1F41F5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fomová</w:t>
            </w:r>
            <w:proofErr w:type="spellEnd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6" w:type="dxa"/>
          </w:tcPr>
          <w:p w14:paraId="46320C33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709" w:type="dxa"/>
          </w:tcPr>
          <w:p w14:paraId="0B526FE7" w14:textId="68F50908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02F4BA51" w14:textId="14B3DA63" w:rsid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BBCH, </w:t>
            </w:r>
          </w:p>
          <w:p w14:paraId="090AE336" w14:textId="37D50A31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1843" w:type="dxa"/>
          </w:tcPr>
          <w:p w14:paraId="01BB4A90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6) produkce osiva</w:t>
            </w:r>
          </w:p>
        </w:tc>
      </w:tr>
      <w:tr w:rsidR="00C123CF" w:rsidRPr="00C123CF" w14:paraId="6E6EE2F8" w14:textId="77777777" w:rsidTr="00C123CF">
        <w:trPr>
          <w:trHeight w:val="57"/>
        </w:trPr>
        <w:tc>
          <w:tcPr>
            <w:tcW w:w="1701" w:type="dxa"/>
          </w:tcPr>
          <w:p w14:paraId="66A3E75D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1701" w:type="dxa"/>
          </w:tcPr>
          <w:p w14:paraId="38EFC3FA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613E1945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709" w:type="dxa"/>
          </w:tcPr>
          <w:p w14:paraId="115AAFBD" w14:textId="0E93015A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265C68E6" w14:textId="749BA01F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55 BBCH </w:t>
            </w:r>
          </w:p>
        </w:tc>
        <w:tc>
          <w:tcPr>
            <w:tcW w:w="1843" w:type="dxa"/>
          </w:tcPr>
          <w:p w14:paraId="42310A8F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6) produkce osiva</w:t>
            </w:r>
          </w:p>
        </w:tc>
      </w:tr>
    </w:tbl>
    <w:p w14:paraId="1E4760AC" w14:textId="68039A6E" w:rsidR="004B2D54" w:rsidRPr="00597DCE" w:rsidRDefault="004B2D54" w:rsidP="004B2D54">
      <w:pPr>
        <w:pStyle w:val="Bezmezer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OL (ochranná lhůta) je dána počtem dnů, které je nutné dodržet mezi termínem poslední aplikace a  </w:t>
      </w:r>
    </w:p>
    <w:p w14:paraId="33545FE1" w14:textId="77777777" w:rsidR="004B2D54" w:rsidRPr="00597DCE" w:rsidRDefault="004B2D54" w:rsidP="004B2D54">
      <w:pPr>
        <w:pStyle w:val="Bezmezer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 sklizní.</w:t>
      </w:r>
    </w:p>
    <w:p w14:paraId="46EF19D2" w14:textId="6FFBBBC0" w:rsidR="004B2D54" w:rsidRDefault="005342F3" w:rsidP="005342F3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2D54" w:rsidRPr="00597DCE">
        <w:rPr>
          <w:rFonts w:ascii="Times New Roman" w:hAnsi="Times New Roman"/>
        </w:rPr>
        <w:t>AT – ochranná lhůta je dána odstupem mezi termínem poslední aplikace a sklizní.</w:t>
      </w:r>
    </w:p>
    <w:p w14:paraId="579FF3C9" w14:textId="4ADAECDF" w:rsidR="00BE79B6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7"/>
        <w:gridCol w:w="2268"/>
        <w:gridCol w:w="2268"/>
      </w:tblGrid>
      <w:tr w:rsidR="00C123CF" w:rsidRPr="00C123CF" w14:paraId="7FC5368E" w14:textId="77777777" w:rsidTr="00C123CF">
        <w:tc>
          <w:tcPr>
            <w:tcW w:w="2410" w:type="dxa"/>
            <w:shd w:val="clear" w:color="auto" w:fill="auto"/>
          </w:tcPr>
          <w:p w14:paraId="3602CA9D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127" w:type="dxa"/>
            <w:shd w:val="clear" w:color="auto" w:fill="auto"/>
          </w:tcPr>
          <w:p w14:paraId="2423C7BF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Dávka vody</w:t>
            </w:r>
          </w:p>
        </w:tc>
        <w:tc>
          <w:tcPr>
            <w:tcW w:w="2268" w:type="dxa"/>
            <w:shd w:val="clear" w:color="auto" w:fill="auto"/>
          </w:tcPr>
          <w:p w14:paraId="0BB2B4A5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61C8D1A4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Max. počet aplikací v plodině</w:t>
            </w:r>
          </w:p>
        </w:tc>
      </w:tr>
      <w:tr w:rsidR="00C123CF" w:rsidRPr="00C123CF" w14:paraId="70F3497A" w14:textId="77777777" w:rsidTr="00C123CF">
        <w:tc>
          <w:tcPr>
            <w:tcW w:w="2410" w:type="dxa"/>
            <w:shd w:val="clear" w:color="auto" w:fill="auto"/>
          </w:tcPr>
          <w:p w14:paraId="4BCADB4C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okrasné rostliny</w:t>
            </w:r>
          </w:p>
        </w:tc>
        <w:tc>
          <w:tcPr>
            <w:tcW w:w="2127" w:type="dxa"/>
            <w:shd w:val="clear" w:color="auto" w:fill="auto"/>
          </w:tcPr>
          <w:p w14:paraId="404BDA3C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1000 l/ha</w:t>
            </w:r>
          </w:p>
        </w:tc>
        <w:tc>
          <w:tcPr>
            <w:tcW w:w="2268" w:type="dxa"/>
            <w:shd w:val="clear" w:color="auto" w:fill="auto"/>
          </w:tcPr>
          <w:p w14:paraId="390011A7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52B2160C" w14:textId="3448D6FE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 1x za rok</w:t>
            </w:r>
          </w:p>
        </w:tc>
      </w:tr>
      <w:tr w:rsidR="00C123CF" w:rsidRPr="00C123CF" w14:paraId="023CF6E0" w14:textId="77777777" w:rsidTr="00C123CF">
        <w:tc>
          <w:tcPr>
            <w:tcW w:w="2410" w:type="dxa"/>
            <w:shd w:val="clear" w:color="auto" w:fill="auto"/>
          </w:tcPr>
          <w:p w14:paraId="4056C641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2127" w:type="dxa"/>
            <w:shd w:val="clear" w:color="auto" w:fill="auto"/>
          </w:tcPr>
          <w:p w14:paraId="5C008C0B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2268" w:type="dxa"/>
            <w:shd w:val="clear" w:color="auto" w:fill="auto"/>
          </w:tcPr>
          <w:p w14:paraId="1C09796F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32845F55" w14:textId="696CA63D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 1x za rok</w:t>
            </w:r>
          </w:p>
        </w:tc>
      </w:tr>
      <w:tr w:rsidR="00C123CF" w:rsidRPr="00C123CF" w14:paraId="2E91EA35" w14:textId="77777777" w:rsidTr="00C123CF">
        <w:tc>
          <w:tcPr>
            <w:tcW w:w="2410" w:type="dxa"/>
            <w:shd w:val="clear" w:color="auto" w:fill="auto"/>
          </w:tcPr>
          <w:p w14:paraId="77D7B129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ředkev olejná</w:t>
            </w:r>
          </w:p>
        </w:tc>
        <w:tc>
          <w:tcPr>
            <w:tcW w:w="2127" w:type="dxa"/>
            <w:shd w:val="clear" w:color="auto" w:fill="auto"/>
          </w:tcPr>
          <w:p w14:paraId="28B45E2C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2268" w:type="dxa"/>
            <w:shd w:val="clear" w:color="auto" w:fill="auto"/>
          </w:tcPr>
          <w:p w14:paraId="2A8D7429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2268" w:type="dxa"/>
            <w:shd w:val="clear" w:color="auto" w:fill="auto"/>
          </w:tcPr>
          <w:p w14:paraId="0FAE08E3" w14:textId="77777777" w:rsidR="00C123CF" w:rsidRPr="00C123CF" w:rsidRDefault="00C123CF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  1x</w:t>
            </w:r>
          </w:p>
        </w:tc>
      </w:tr>
    </w:tbl>
    <w:p w14:paraId="4BBDF35D" w14:textId="512E1425" w:rsidR="00C123CF" w:rsidRDefault="00C123CF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4BCBC2D" w14:textId="2DA68725" w:rsidR="00403E25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1100"/>
        <w:gridCol w:w="1078"/>
        <w:gridCol w:w="1078"/>
        <w:gridCol w:w="1092"/>
      </w:tblGrid>
      <w:tr w:rsidR="0068250B" w:rsidRPr="0068250B" w14:paraId="7317CD7A" w14:textId="77777777" w:rsidTr="0068250B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C997323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100" w:type="dxa"/>
            <w:vAlign w:val="center"/>
          </w:tcPr>
          <w:p w14:paraId="55E2FF06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bez </w:t>
            </w:r>
          </w:p>
          <w:p w14:paraId="005E6605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078" w:type="dxa"/>
            <w:vAlign w:val="center"/>
          </w:tcPr>
          <w:p w14:paraId="407C8351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03C6886E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078" w:type="dxa"/>
            <w:vAlign w:val="center"/>
          </w:tcPr>
          <w:p w14:paraId="726CA931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4DA3B6B5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092" w:type="dxa"/>
            <w:vAlign w:val="center"/>
          </w:tcPr>
          <w:p w14:paraId="1CA52BFA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0794D0B8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68250B" w:rsidRPr="0068250B" w14:paraId="797F8E28" w14:textId="77777777" w:rsidTr="0068250B">
        <w:trPr>
          <w:trHeight w:val="340"/>
          <w:jc w:val="center"/>
        </w:trPr>
        <w:tc>
          <w:tcPr>
            <w:tcW w:w="9021" w:type="dxa"/>
            <w:gridSpan w:val="5"/>
            <w:shd w:val="clear" w:color="auto" w:fill="FFFFFF"/>
            <w:vAlign w:val="center"/>
          </w:tcPr>
          <w:p w14:paraId="7332A8B8" w14:textId="77777777" w:rsidR="0068250B" w:rsidRPr="0068250B" w:rsidRDefault="0068250B" w:rsidP="0068250B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vodních organismů [m]</w:t>
            </w:r>
          </w:p>
        </w:tc>
      </w:tr>
      <w:tr w:rsidR="0068250B" w:rsidRPr="0068250B" w14:paraId="7197CBFF" w14:textId="77777777" w:rsidTr="0068250B">
        <w:trPr>
          <w:trHeight w:val="377"/>
          <w:jc w:val="center"/>
        </w:trPr>
        <w:tc>
          <w:tcPr>
            <w:tcW w:w="4673" w:type="dxa"/>
            <w:shd w:val="clear" w:color="auto" w:fill="FFFFFF"/>
          </w:tcPr>
          <w:p w14:paraId="2D7D835A" w14:textId="0E3EFD27" w:rsidR="0068250B" w:rsidRPr="0068250B" w:rsidRDefault="00D64186" w:rsidP="0068250B">
            <w:pPr>
              <w:tabs>
                <w:tab w:val="left" w:pos="9781"/>
              </w:tabs>
              <w:spacing w:after="0" w:line="240" w:lineRule="exact"/>
              <w:ind w:right="-142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edkev olejná, okrasné rostliny </w:t>
            </w:r>
            <w:proofErr w:type="gramStart"/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&lt; 50</w:t>
            </w:r>
            <w:proofErr w:type="gramEnd"/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100" w:type="dxa"/>
          </w:tcPr>
          <w:p w14:paraId="4324E00C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4</w:t>
            </w:r>
          </w:p>
        </w:tc>
        <w:tc>
          <w:tcPr>
            <w:tcW w:w="1078" w:type="dxa"/>
          </w:tcPr>
          <w:p w14:paraId="78B409B8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4</w:t>
            </w:r>
          </w:p>
        </w:tc>
        <w:tc>
          <w:tcPr>
            <w:tcW w:w="1078" w:type="dxa"/>
          </w:tcPr>
          <w:p w14:paraId="2DE5BE1F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4</w:t>
            </w:r>
          </w:p>
        </w:tc>
        <w:tc>
          <w:tcPr>
            <w:tcW w:w="1092" w:type="dxa"/>
          </w:tcPr>
          <w:p w14:paraId="61BB82DA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4</w:t>
            </w:r>
          </w:p>
        </w:tc>
      </w:tr>
      <w:tr w:rsidR="0068250B" w:rsidRPr="0068250B" w14:paraId="2E2FB237" w14:textId="77777777" w:rsidTr="0068250B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779D791" w14:textId="2476F2FA" w:rsidR="0068250B" w:rsidRPr="0068250B" w:rsidRDefault="00D64186" w:rsidP="00682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</w:t>
            </w:r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krasné rostliny 50-150 cm, ovocné a okrasné školky 50-150 cm</w:t>
            </w:r>
          </w:p>
        </w:tc>
        <w:tc>
          <w:tcPr>
            <w:tcW w:w="1100" w:type="dxa"/>
            <w:vAlign w:val="center"/>
          </w:tcPr>
          <w:p w14:paraId="484FBF1A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7</w:t>
            </w:r>
          </w:p>
        </w:tc>
        <w:tc>
          <w:tcPr>
            <w:tcW w:w="1078" w:type="dxa"/>
            <w:vAlign w:val="center"/>
          </w:tcPr>
          <w:p w14:paraId="366311BA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6</w:t>
            </w:r>
          </w:p>
        </w:tc>
        <w:tc>
          <w:tcPr>
            <w:tcW w:w="1078" w:type="dxa"/>
            <w:vAlign w:val="center"/>
          </w:tcPr>
          <w:p w14:paraId="11ABD8C7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6</w:t>
            </w:r>
          </w:p>
        </w:tc>
        <w:tc>
          <w:tcPr>
            <w:tcW w:w="1092" w:type="dxa"/>
            <w:vAlign w:val="center"/>
          </w:tcPr>
          <w:p w14:paraId="08A7F35B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6</w:t>
            </w:r>
          </w:p>
        </w:tc>
      </w:tr>
      <w:tr w:rsidR="0068250B" w:rsidRPr="0068250B" w14:paraId="18513589" w14:textId="77777777" w:rsidTr="0068250B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6D4BEBF" w14:textId="7319458C" w:rsidR="0068250B" w:rsidRPr="0068250B" w:rsidRDefault="00D64186" w:rsidP="00682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</w:t>
            </w:r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krasné rostliny ˃ 150 cm, ovocné a okrasné školky ˃ 150 cm</w:t>
            </w:r>
          </w:p>
        </w:tc>
        <w:tc>
          <w:tcPr>
            <w:tcW w:w="1100" w:type="dxa"/>
            <w:vAlign w:val="center"/>
          </w:tcPr>
          <w:p w14:paraId="5AA68C43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30</w:t>
            </w:r>
          </w:p>
        </w:tc>
        <w:tc>
          <w:tcPr>
            <w:tcW w:w="1078" w:type="dxa"/>
            <w:vAlign w:val="center"/>
          </w:tcPr>
          <w:p w14:paraId="425FCF51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25</w:t>
            </w:r>
          </w:p>
        </w:tc>
        <w:tc>
          <w:tcPr>
            <w:tcW w:w="1078" w:type="dxa"/>
            <w:vAlign w:val="center"/>
          </w:tcPr>
          <w:p w14:paraId="70A11C42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18</w:t>
            </w:r>
          </w:p>
        </w:tc>
        <w:tc>
          <w:tcPr>
            <w:tcW w:w="1092" w:type="dxa"/>
            <w:vAlign w:val="center"/>
          </w:tcPr>
          <w:p w14:paraId="6FC5F4E7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sz w:val="20"/>
                <w:szCs w:val="20"/>
                <w:lang w:val="en-US" w:eastAsia="cs-CZ"/>
              </w:rPr>
              <w:t>12</w:t>
            </w:r>
          </w:p>
        </w:tc>
      </w:tr>
      <w:tr w:rsidR="0068250B" w:rsidRPr="0068250B" w14:paraId="7D60BC73" w14:textId="77777777" w:rsidTr="0068250B">
        <w:trPr>
          <w:trHeight w:val="340"/>
          <w:jc w:val="center"/>
        </w:trPr>
        <w:tc>
          <w:tcPr>
            <w:tcW w:w="9021" w:type="dxa"/>
            <w:gridSpan w:val="5"/>
            <w:shd w:val="clear" w:color="auto" w:fill="FFFFFF"/>
            <w:vAlign w:val="center"/>
          </w:tcPr>
          <w:p w14:paraId="7E7F86BB" w14:textId="77777777" w:rsidR="0068250B" w:rsidRPr="00D64186" w:rsidRDefault="0068250B" w:rsidP="00D64186">
            <w:pPr>
              <w:spacing w:after="0"/>
              <w:ind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cs-CZ"/>
              </w:rPr>
            </w:pPr>
            <w:r w:rsidRPr="00D641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68250B" w:rsidRPr="0068250B" w14:paraId="2AADBA6D" w14:textId="77777777" w:rsidTr="0068250B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32A862F" w14:textId="038E6933" w:rsidR="0068250B" w:rsidRPr="0068250B" w:rsidRDefault="00D64186" w:rsidP="00682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</w:t>
            </w:r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krasné rostliny ˃ 150 cm,</w:t>
            </w:r>
            <w:r w:rsidR="0068250B" w:rsidRPr="0068250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ovocné a okrasné školky </w:t>
            </w:r>
            <w:r w:rsidR="0068250B"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˃ 150 cm</w:t>
            </w:r>
          </w:p>
        </w:tc>
        <w:tc>
          <w:tcPr>
            <w:tcW w:w="1100" w:type="dxa"/>
            <w:vAlign w:val="center"/>
          </w:tcPr>
          <w:p w14:paraId="116A7D0A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  <w:t>10</w:t>
            </w:r>
          </w:p>
        </w:tc>
        <w:tc>
          <w:tcPr>
            <w:tcW w:w="1078" w:type="dxa"/>
            <w:vAlign w:val="center"/>
          </w:tcPr>
          <w:p w14:paraId="3D4B9272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  <w:t>0</w:t>
            </w:r>
          </w:p>
        </w:tc>
        <w:tc>
          <w:tcPr>
            <w:tcW w:w="1078" w:type="dxa"/>
            <w:vAlign w:val="center"/>
          </w:tcPr>
          <w:p w14:paraId="173DF788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  <w:t>0</w:t>
            </w:r>
          </w:p>
        </w:tc>
        <w:tc>
          <w:tcPr>
            <w:tcW w:w="1092" w:type="dxa"/>
            <w:vAlign w:val="center"/>
          </w:tcPr>
          <w:p w14:paraId="3F4DE743" w14:textId="77777777" w:rsidR="0068250B" w:rsidRPr="0068250B" w:rsidRDefault="0068250B" w:rsidP="0068250B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</w:pPr>
            <w:r w:rsidRPr="0068250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cs-CZ"/>
              </w:rPr>
              <w:t>0</w:t>
            </w:r>
          </w:p>
        </w:tc>
      </w:tr>
    </w:tbl>
    <w:p w14:paraId="689B6830" w14:textId="2CF8D9CC" w:rsidR="0068250B" w:rsidRDefault="0068250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F6A921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8250B">
        <w:rPr>
          <w:rFonts w:ascii="Times New Roman" w:hAnsi="Times New Roman"/>
          <w:sz w:val="24"/>
          <w:szCs w:val="24"/>
          <w:u w:val="single"/>
        </w:rPr>
        <w:t>Ředkev olejná</w:t>
      </w:r>
    </w:p>
    <w:p w14:paraId="55C324D6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 xml:space="preserve">Za účelem ochrany vodních </w:t>
      </w:r>
      <w:proofErr w:type="gramStart"/>
      <w:r w:rsidRPr="0068250B">
        <w:rPr>
          <w:rFonts w:ascii="Times New Roman" w:hAnsi="Times New Roman"/>
          <w:sz w:val="24"/>
          <w:szCs w:val="24"/>
        </w:rPr>
        <w:t>organizmů</w:t>
      </w:r>
      <w:proofErr w:type="gramEnd"/>
      <w:r w:rsidRPr="0068250B">
        <w:rPr>
          <w:rFonts w:ascii="Times New Roman" w:hAnsi="Times New Roman"/>
          <w:sz w:val="24"/>
          <w:szCs w:val="24"/>
        </w:rPr>
        <w:t xml:space="preserve"> je vyloučeno použití přípravku na pozemcích svažujících se k povrchovým vodám. Přípravek lze na těchto pozemcích aplikovat pouze při použití vegetačního pásu o šířce nejméně 10 m.</w:t>
      </w:r>
    </w:p>
    <w:p w14:paraId="3A691B61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C38D2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8250B">
        <w:rPr>
          <w:rFonts w:ascii="Times New Roman" w:hAnsi="Times New Roman"/>
          <w:sz w:val="24"/>
          <w:szCs w:val="24"/>
          <w:u w:val="single"/>
        </w:rPr>
        <w:t xml:space="preserve">Okrasné rostliny </w:t>
      </w:r>
      <w:proofErr w:type="gramStart"/>
      <w:r w:rsidRPr="0068250B">
        <w:rPr>
          <w:rFonts w:ascii="Times New Roman" w:hAnsi="Times New Roman"/>
          <w:sz w:val="24"/>
          <w:szCs w:val="24"/>
          <w:u w:val="single"/>
        </w:rPr>
        <w:t>&lt; 50</w:t>
      </w:r>
      <w:proofErr w:type="gramEnd"/>
      <w:r w:rsidRPr="0068250B">
        <w:rPr>
          <w:rFonts w:ascii="Times New Roman" w:hAnsi="Times New Roman"/>
          <w:sz w:val="24"/>
          <w:szCs w:val="24"/>
          <w:u w:val="single"/>
        </w:rPr>
        <w:t xml:space="preserve"> cm</w:t>
      </w:r>
    </w:p>
    <w:p w14:paraId="202CAF4D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 xml:space="preserve">Za účelem ochrany vodních </w:t>
      </w:r>
      <w:proofErr w:type="gramStart"/>
      <w:r w:rsidRPr="0068250B">
        <w:rPr>
          <w:rFonts w:ascii="Times New Roman" w:hAnsi="Times New Roman"/>
          <w:sz w:val="24"/>
          <w:szCs w:val="24"/>
        </w:rPr>
        <w:t>organizmů</w:t>
      </w:r>
      <w:proofErr w:type="gramEnd"/>
      <w:r w:rsidRPr="0068250B">
        <w:rPr>
          <w:rFonts w:ascii="Times New Roman" w:hAnsi="Times New Roman"/>
          <w:sz w:val="24"/>
          <w:szCs w:val="24"/>
        </w:rPr>
        <w:t xml:space="preserve"> je vyloučeno použití přípravku na pozemcích svažujících se k povrchovým vodám. Přípravek lze na těchto pozemcích aplikovat pouze při použití vegetačního pásu o šířce nejméně 5 m.</w:t>
      </w:r>
    </w:p>
    <w:p w14:paraId="6D4DDCBC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A083D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8250B">
        <w:rPr>
          <w:rFonts w:ascii="Times New Roman" w:hAnsi="Times New Roman"/>
          <w:sz w:val="24"/>
          <w:szCs w:val="24"/>
          <w:u w:val="single"/>
        </w:rPr>
        <w:t xml:space="preserve">Okrasné rostliny </w:t>
      </w:r>
      <w:proofErr w:type="gramStart"/>
      <w:r w:rsidRPr="0068250B">
        <w:rPr>
          <w:rFonts w:ascii="Times New Roman" w:hAnsi="Times New Roman"/>
          <w:sz w:val="24"/>
          <w:szCs w:val="24"/>
          <w:u w:val="single"/>
        </w:rPr>
        <w:t>50 - 150</w:t>
      </w:r>
      <w:proofErr w:type="gramEnd"/>
      <w:r w:rsidRPr="0068250B">
        <w:rPr>
          <w:rFonts w:ascii="Times New Roman" w:hAnsi="Times New Roman"/>
          <w:sz w:val="24"/>
          <w:szCs w:val="24"/>
          <w:u w:val="single"/>
        </w:rPr>
        <w:t xml:space="preserve"> cm, ovocné a okrasné školky 50 - 150 cm</w:t>
      </w:r>
    </w:p>
    <w:p w14:paraId="04BAF464" w14:textId="5ECE7BEC" w:rsid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 xml:space="preserve">Za účelem ochrany vodních </w:t>
      </w:r>
      <w:proofErr w:type="gramStart"/>
      <w:r w:rsidRPr="0068250B">
        <w:rPr>
          <w:rFonts w:ascii="Times New Roman" w:hAnsi="Times New Roman"/>
          <w:sz w:val="24"/>
          <w:szCs w:val="24"/>
        </w:rPr>
        <w:t>organizmů</w:t>
      </w:r>
      <w:proofErr w:type="gramEnd"/>
      <w:r w:rsidRPr="0068250B">
        <w:rPr>
          <w:rFonts w:ascii="Times New Roman" w:hAnsi="Times New Roman"/>
          <w:sz w:val="24"/>
          <w:szCs w:val="24"/>
        </w:rPr>
        <w:t xml:space="preserve"> je vyloučeno použití přípravku na pozemcích svažujících se k povrchovým vodám. Přípravek lze na těchto pozemcích aplikovat pouze při použití vegetačního pásu o šířce nejméně 10 m.</w:t>
      </w:r>
    </w:p>
    <w:p w14:paraId="3274FC9A" w14:textId="77777777" w:rsidR="00D64186" w:rsidRPr="0068250B" w:rsidRDefault="00D64186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308DE1" w14:textId="77777777" w:rsidR="0068250B" w:rsidRPr="0068250B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8250B">
        <w:rPr>
          <w:rFonts w:ascii="Times New Roman" w:hAnsi="Times New Roman"/>
          <w:sz w:val="24"/>
          <w:szCs w:val="24"/>
          <w:u w:val="single"/>
        </w:rPr>
        <w:lastRenderedPageBreak/>
        <w:t xml:space="preserve">Okrasné rostliny˃150 cm, ovocné a okrasné školky </w:t>
      </w:r>
      <w:proofErr w:type="gramStart"/>
      <w:r w:rsidRPr="0068250B">
        <w:rPr>
          <w:rFonts w:ascii="Times New Roman" w:hAnsi="Times New Roman"/>
          <w:sz w:val="24"/>
          <w:szCs w:val="24"/>
          <w:u w:val="single"/>
        </w:rPr>
        <w:t>50 - 150</w:t>
      </w:r>
      <w:proofErr w:type="gramEnd"/>
      <w:r w:rsidRPr="0068250B">
        <w:rPr>
          <w:rFonts w:ascii="Times New Roman" w:hAnsi="Times New Roman"/>
          <w:sz w:val="24"/>
          <w:szCs w:val="24"/>
          <w:u w:val="single"/>
        </w:rPr>
        <w:t xml:space="preserve"> cm</w:t>
      </w:r>
    </w:p>
    <w:p w14:paraId="61C83136" w14:textId="7CBFE087" w:rsidR="0068250B" w:rsidRPr="00030A7C" w:rsidRDefault="0068250B" w:rsidP="0068250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AFF2235" w14:textId="77777777" w:rsidR="004C7A67" w:rsidRPr="00BE79B6" w:rsidRDefault="004C7A67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5C17E99D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1C6A037B" w14:textId="77777777" w:rsidR="0084767D" w:rsidRDefault="0084767D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E9A2427" w14:textId="68002E8C" w:rsidR="006B53F3" w:rsidRDefault="0084767D" w:rsidP="0084767D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4767D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1A16E14B" w14:textId="77777777" w:rsidR="00477E72" w:rsidRPr="00477E72" w:rsidRDefault="00477E72" w:rsidP="00477E7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6A06AE5D" w14:textId="447365D8" w:rsidR="0084767D" w:rsidRPr="00477E72" w:rsidRDefault="00477E72" w:rsidP="00477E72">
      <w:pPr>
        <w:pStyle w:val="Odstavecseseznamem"/>
        <w:widowControl w:val="0"/>
        <w:numPr>
          <w:ilvl w:val="2"/>
          <w:numId w:val="12"/>
        </w:numPr>
        <w:autoSpaceDE w:val="0"/>
        <w:autoSpaceDN w:val="0"/>
        <w:spacing w:after="0"/>
        <w:ind w:left="851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77E72">
        <w:rPr>
          <w:rFonts w:ascii="Times New Roman" w:hAnsi="Times New Roman"/>
          <w:i/>
          <w:snapToGrid w:val="0"/>
          <w:sz w:val="24"/>
          <w:szCs w:val="24"/>
        </w:rPr>
        <w:t>Bezpečnostní opatření týkající se životního prostředí</w:t>
      </w:r>
    </w:p>
    <w:p w14:paraId="027386D4" w14:textId="77777777" w:rsidR="00477E72" w:rsidRPr="00477E72" w:rsidRDefault="00477E72" w:rsidP="00477E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7E72">
        <w:rPr>
          <w:rFonts w:ascii="Times New Roman" w:hAnsi="Times New Roman"/>
          <w:sz w:val="24"/>
          <w:szCs w:val="24"/>
        </w:rPr>
        <w:t>SPe</w:t>
      </w:r>
      <w:proofErr w:type="spellEnd"/>
      <w:r w:rsidRPr="00477E72">
        <w:rPr>
          <w:rFonts w:ascii="Times New Roman" w:hAnsi="Times New Roman"/>
          <w:sz w:val="24"/>
          <w:szCs w:val="24"/>
        </w:rPr>
        <w:t xml:space="preserve"> 1 Za účelem ochrany podzemní vody neaplikujte tento přípravek nebo jiný, jestliže obsahuje účinnou látku </w:t>
      </w:r>
      <w:proofErr w:type="spellStart"/>
      <w:r w:rsidRPr="00477E72">
        <w:rPr>
          <w:rFonts w:ascii="Times New Roman" w:hAnsi="Times New Roman"/>
          <w:sz w:val="24"/>
          <w:szCs w:val="24"/>
        </w:rPr>
        <w:t>tebukonazol</w:t>
      </w:r>
      <w:proofErr w:type="spellEnd"/>
      <w:r w:rsidRPr="00477E72">
        <w:rPr>
          <w:rFonts w:ascii="Times New Roman" w:hAnsi="Times New Roman"/>
          <w:sz w:val="24"/>
          <w:szCs w:val="24"/>
        </w:rPr>
        <w:t xml:space="preserve">, vícekrát než jednou za dva roky na stejném pozemku pro aplikaci do ředkve olejné, okrasných rostlin a ovocných a okrasných školek nad 50 cm a okrasných rostlin a ovocných a okrasných školek nad 150 cm. </w:t>
      </w:r>
    </w:p>
    <w:p w14:paraId="25081E2D" w14:textId="77777777" w:rsidR="00477E72" w:rsidRPr="00477E72" w:rsidRDefault="00477E72" w:rsidP="00477E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7A6FCE" w14:textId="77777777" w:rsidR="00477E72" w:rsidRPr="00477E72" w:rsidRDefault="00477E72" w:rsidP="00477E7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7E72">
        <w:rPr>
          <w:rFonts w:ascii="Times New Roman" w:hAnsi="Times New Roman"/>
          <w:sz w:val="24"/>
          <w:szCs w:val="24"/>
        </w:rPr>
        <w:t>SPe</w:t>
      </w:r>
      <w:proofErr w:type="spellEnd"/>
      <w:r w:rsidRPr="00477E72">
        <w:rPr>
          <w:rFonts w:ascii="Times New Roman" w:hAnsi="Times New Roman"/>
          <w:sz w:val="24"/>
          <w:szCs w:val="24"/>
        </w:rPr>
        <w:t xml:space="preserve"> 1 Za účelem ochrany podzemní vody neaplikujte tento přípravek nebo jiný, jestliže obsahuje účinnou látku </w:t>
      </w:r>
      <w:proofErr w:type="spellStart"/>
      <w:r w:rsidRPr="00477E72">
        <w:rPr>
          <w:rFonts w:ascii="Times New Roman" w:hAnsi="Times New Roman"/>
          <w:sz w:val="24"/>
          <w:szCs w:val="24"/>
        </w:rPr>
        <w:t>tebukonazol</w:t>
      </w:r>
      <w:proofErr w:type="spellEnd"/>
      <w:r w:rsidRPr="00477E72">
        <w:rPr>
          <w:rFonts w:ascii="Times New Roman" w:hAnsi="Times New Roman"/>
          <w:sz w:val="24"/>
          <w:szCs w:val="24"/>
        </w:rPr>
        <w:t>, vícekrát než jednou za tři roky na stejném pozemku pro aplikaci do okrasných rostlin do 50 cm.</w:t>
      </w:r>
    </w:p>
    <w:p w14:paraId="6ED77E5F" w14:textId="77777777" w:rsidR="0084767D" w:rsidRPr="0084767D" w:rsidRDefault="0084767D" w:rsidP="0084767D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518716B" w14:textId="22B5F80B" w:rsidR="0068250B" w:rsidRDefault="0068250B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70945A65" w14:textId="77777777" w:rsidR="00BE79B6" w:rsidRPr="00730A41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2E18F84A" w14:textId="77777777" w:rsidR="00BE79B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64694AE0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477E72">
        <w:rPr>
          <w:rFonts w:ascii="Times New Roman" w:hAnsi="Times New Roman"/>
          <w:sz w:val="24"/>
          <w:szCs w:val="24"/>
        </w:rPr>
        <w:t>TEBKIN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2C0D21">
        <w:rPr>
          <w:rFonts w:ascii="Times New Roman" w:hAnsi="Times New Roman"/>
          <w:iCs/>
          <w:sz w:val="24"/>
          <w:szCs w:val="24"/>
        </w:rPr>
        <w:t>5</w:t>
      </w:r>
      <w:r w:rsidR="00477E72">
        <w:rPr>
          <w:rFonts w:ascii="Times New Roman" w:hAnsi="Times New Roman"/>
          <w:iCs/>
          <w:sz w:val="24"/>
          <w:szCs w:val="24"/>
        </w:rPr>
        <w:t>687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149750D8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0519DB" w14:textId="3ABDA08E" w:rsidR="00477E72" w:rsidRDefault="00477E7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C531B1" w14:textId="03101F6F" w:rsidR="00477E72" w:rsidRDefault="00477E7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92876B" w14:textId="77777777" w:rsidR="00477E72" w:rsidRDefault="00477E7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1A957181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77E72">
        <w:rPr>
          <w:rFonts w:ascii="Times New Roman" w:hAnsi="Times New Roman"/>
          <w:sz w:val="24"/>
          <w:szCs w:val="24"/>
        </w:rPr>
        <w:t>TEBKIN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2FBCB05" w14:textId="10A83F1C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28E6909" w14:textId="77777777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5D22E76D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517F7" w14:textId="074530A2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586C" w14:textId="0BB7E91A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FB03" w14:textId="77777777" w:rsidR="008C419F" w:rsidRDefault="008C419F" w:rsidP="00CE12AE">
      <w:pPr>
        <w:spacing w:after="0" w:line="240" w:lineRule="auto"/>
      </w:pPr>
      <w:r>
        <w:separator/>
      </w:r>
    </w:p>
  </w:endnote>
  <w:endnote w:type="continuationSeparator" w:id="0">
    <w:p w14:paraId="10331789" w14:textId="77777777" w:rsidR="008C419F" w:rsidRDefault="008C419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13EC" w14:textId="77777777" w:rsidR="008C419F" w:rsidRDefault="008C419F" w:rsidP="00CE12AE">
      <w:pPr>
        <w:spacing w:after="0" w:line="240" w:lineRule="auto"/>
      </w:pPr>
      <w:r>
        <w:separator/>
      </w:r>
    </w:p>
  </w:footnote>
  <w:footnote w:type="continuationSeparator" w:id="0">
    <w:p w14:paraId="0C2D746B" w14:textId="77777777" w:rsidR="008C419F" w:rsidRDefault="008C419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27829"/>
    <w:rsid w:val="00030A7C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2128"/>
    <w:rsid w:val="000E41A9"/>
    <w:rsid w:val="000F18E2"/>
    <w:rsid w:val="0010681E"/>
    <w:rsid w:val="00107A84"/>
    <w:rsid w:val="00107EC4"/>
    <w:rsid w:val="0012074E"/>
    <w:rsid w:val="00122131"/>
    <w:rsid w:val="001246EC"/>
    <w:rsid w:val="00125FAF"/>
    <w:rsid w:val="00130932"/>
    <w:rsid w:val="00141A7C"/>
    <w:rsid w:val="00154130"/>
    <w:rsid w:val="00154EE9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38C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77E72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42F3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50B"/>
    <w:rsid w:val="00682A80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4767D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419F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24A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3CF"/>
    <w:rsid w:val="00C12BCE"/>
    <w:rsid w:val="00C12D2D"/>
    <w:rsid w:val="00C15323"/>
    <w:rsid w:val="00C172DF"/>
    <w:rsid w:val="00C25D9A"/>
    <w:rsid w:val="00C4081A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64186"/>
    <w:rsid w:val="00D75B4F"/>
    <w:rsid w:val="00D761F5"/>
    <w:rsid w:val="00D81AF4"/>
    <w:rsid w:val="00D87AD4"/>
    <w:rsid w:val="00D87EAC"/>
    <w:rsid w:val="00D91CF1"/>
    <w:rsid w:val="00D97945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6A7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5832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2021-05-03T11:54:00Z</cp:lastPrinted>
  <dcterms:created xsi:type="dcterms:W3CDTF">2022-05-11T13:34:00Z</dcterms:created>
  <dcterms:modified xsi:type="dcterms:W3CDTF">2022-05-30T13:23:00Z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