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42" w:rsidRDefault="00997942" w:rsidP="00997942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Obec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Zastupitelstvo obce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Leština</w:t>
      </w:r>
      <w:proofErr w:type="spellEnd"/>
    </w:p>
    <w:p w:rsidR="00997942" w:rsidRDefault="00997942" w:rsidP="00997942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Leština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psů</w:t>
      </w:r>
      <w:proofErr w:type="spellEnd"/>
    </w:p>
    <w:p w:rsidR="00997942" w:rsidRDefault="00997942" w:rsidP="00997942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Zastupitelstvo obce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se na </w:t>
      </w:r>
      <w:proofErr w:type="spellStart"/>
      <w:r>
        <w:rPr>
          <w:rFonts w:ascii="Arial" w:hAnsi="Arial" w:cs="Arial"/>
          <w:lang/>
        </w:rPr>
        <w:t>sv</w:t>
      </w:r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 12.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2023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 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1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Obec </w:t>
      </w:r>
      <w:proofErr w:type="spellStart"/>
      <w:r>
        <w:rPr>
          <w:rFonts w:ascii="Arial" w:hAnsi="Arial" w:cs="Arial"/>
          <w:lang/>
        </w:rPr>
        <w:t>Leština</w:t>
      </w:r>
      <w:proofErr w:type="spellEnd"/>
      <w:r>
        <w:rPr>
          <w:rFonts w:ascii="Arial" w:hAnsi="Arial" w:cs="Arial"/>
          <w:lang/>
        </w:rPr>
        <w:t xml:space="preserve"> touto </w:t>
      </w:r>
      <w:proofErr w:type="spellStart"/>
      <w:r>
        <w:rPr>
          <w:rFonts w:ascii="Arial" w:hAnsi="Arial" w:cs="Arial"/>
          <w:lang/>
        </w:rPr>
        <w:t>vyhl</w:t>
      </w:r>
      <w:r>
        <w:rPr>
          <w:rFonts w:ascii="Arial" w:hAnsi="Arial" w:cs="Arial"/>
          <w:lang w:val="en-US"/>
        </w:rPr>
        <w:t>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zavádí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>“).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Poplatkovým obdobím poplatku je 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Správcem poplatku je obecní úřad.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2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Předmět poplatku a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ze psů plat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držitel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je pro </w:t>
      </w:r>
      <w:proofErr w:type="spellStart"/>
      <w:r>
        <w:rPr>
          <w:rFonts w:ascii="Arial" w:hAnsi="Arial" w:cs="Arial"/>
          <w:lang w:val="en-US"/>
        </w:rPr>
        <w:t>účely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tohoto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přihlášená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území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České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republiky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“);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příslušné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místa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sídla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Poplatek ze psů se plat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starších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3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Poplatník je povinen podat správci poplatku ohlášen</w:t>
      </w:r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nejpozději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starším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staršího</w:t>
      </w:r>
      <w:proofErr w:type="spellEnd"/>
      <w:r>
        <w:rPr>
          <w:rFonts w:ascii="Arial" w:hAnsi="Arial" w:cs="Arial"/>
          <w:lang w:val="en-US"/>
        </w:rPr>
        <w:t xml:space="preserve"> 3 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>
        <w:rPr>
          <w:rFonts w:ascii="Arial" w:hAnsi="Arial" w:cs="Arial"/>
          <w:lang w:val="en-US"/>
        </w:rPr>
        <w:t>údaje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uváděné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Dojde-li ke změně </w:t>
      </w:r>
      <w:proofErr w:type="spellStart"/>
      <w:r>
        <w:rPr>
          <w:rFonts w:ascii="Arial" w:hAnsi="Arial" w:cs="Arial"/>
          <w:lang w:val="en-US"/>
        </w:rPr>
        <w:t>údajů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uvedených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změnu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oznámit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kdy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nastala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4</w:t>
      </w:r>
      <w:r>
        <w:rPr>
          <w:rFonts w:ascii="Arial" w:hAnsi="Arial" w:cs="Arial"/>
          <w:b/>
          <w:bCs/>
          <w:sz w:val="24"/>
          <w:szCs w:val="24"/>
          <w:lang/>
        </w:rPr>
        <w:br/>
        <w:t>Sazba poplatku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Sazba poplatku za </w:t>
      </w:r>
      <w:proofErr w:type="spellStart"/>
      <w:r>
        <w:rPr>
          <w:rFonts w:ascii="Arial" w:hAnsi="Arial" w:cs="Arial"/>
          <w:lang/>
        </w:rPr>
        <w:t>kalendářn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činí</w:t>
      </w:r>
      <w:proofErr w:type="spellEnd"/>
      <w:r>
        <w:rPr>
          <w:rFonts w:ascii="Arial" w:hAnsi="Arial" w:cs="Arial"/>
          <w:lang w:val="en-US"/>
        </w:rPr>
        <w:t>: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za jednoho psa 150 Kč,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964" w:hanging="39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za druhého a </w:t>
      </w:r>
      <w:proofErr w:type="spellStart"/>
      <w:r>
        <w:rPr>
          <w:rFonts w:ascii="Arial" w:hAnsi="Arial" w:cs="Arial"/>
          <w:lang/>
        </w:rPr>
        <w:t>každ</w:t>
      </w:r>
      <w:r>
        <w:rPr>
          <w:rFonts w:ascii="Arial" w:hAnsi="Arial" w:cs="Arial"/>
          <w:lang w:val="en-US"/>
        </w:rPr>
        <w:t>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dalšího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téhož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držitele</w:t>
      </w:r>
      <w:proofErr w:type="spellEnd"/>
      <w:r>
        <w:rPr>
          <w:rFonts w:ascii="Arial" w:hAnsi="Arial" w:cs="Arial"/>
          <w:lang w:val="en-US"/>
        </w:rPr>
        <w:t xml:space="preserve"> 200 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kratší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jeden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platí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poplatek</w:t>
      </w:r>
      <w:proofErr w:type="spellEnd"/>
      <w:r>
        <w:rPr>
          <w:rFonts w:ascii="Arial" w:hAnsi="Arial" w:cs="Arial"/>
          <w:lang w:val="en-US"/>
        </w:rPr>
        <w:t xml:space="preserve"> v </w:t>
      </w:r>
      <w:proofErr w:type="spellStart"/>
      <w:r>
        <w:rPr>
          <w:rFonts w:ascii="Arial" w:hAnsi="Arial" w:cs="Arial"/>
          <w:lang w:val="en-US"/>
        </w:rPr>
        <w:t>poměrné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výši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odpovídá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měsíců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lastRenderedPageBreak/>
        <w:t>Čl. 5</w:t>
      </w:r>
      <w:r>
        <w:rPr>
          <w:rFonts w:ascii="Arial" w:hAnsi="Arial" w:cs="Arial"/>
          <w:b/>
          <w:bCs/>
          <w:sz w:val="24"/>
          <w:szCs w:val="24"/>
          <w:lang/>
        </w:rPr>
        <w:br/>
        <w:t>Splatnost poplatku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Poplatek je splatný nejpozději do 30. dubna 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íslušného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kalendářního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Vznikne-li poplatková povinnost po datu splatnosti uvedeném v odstavci 1, je poplatek splatný nejpozději do </w:t>
      </w:r>
      <w:proofErr w:type="spellStart"/>
      <w:r>
        <w:rPr>
          <w:rFonts w:ascii="Arial" w:hAnsi="Arial" w:cs="Arial"/>
          <w:lang/>
        </w:rPr>
        <w:t>patn</w:t>
      </w:r>
      <w:r>
        <w:rPr>
          <w:rFonts w:ascii="Arial" w:hAnsi="Arial" w:cs="Arial"/>
          <w:lang w:val="en-US"/>
        </w:rPr>
        <w:t>áctého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následuje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měsíci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kterém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poplatková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vznikla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Lhůta splatnosti </w:t>
      </w:r>
      <w:proofErr w:type="spellStart"/>
      <w:r>
        <w:rPr>
          <w:rFonts w:ascii="Arial" w:hAnsi="Arial" w:cs="Arial"/>
          <w:lang/>
        </w:rPr>
        <w:t>neskonč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poplatníkovi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dříve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lhůta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podání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ohlášení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6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>í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Od poplatku ze psů je osvobozen držitel psa, </w:t>
      </w:r>
      <w:proofErr w:type="spellStart"/>
      <w:r>
        <w:rPr>
          <w:rFonts w:ascii="Arial" w:hAnsi="Arial" w:cs="Arial"/>
          <w:lang/>
        </w:rPr>
        <w:t>kter</w:t>
      </w:r>
      <w:r>
        <w:rPr>
          <w:rFonts w:ascii="Arial" w:hAnsi="Arial" w:cs="Arial"/>
          <w:lang w:val="en-US"/>
        </w:rPr>
        <w:t>ým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nevidomá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považována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závislou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jiné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fyzické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upravujícího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sociální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služby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která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držitelem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průkazu</w:t>
      </w:r>
      <w:proofErr w:type="spellEnd"/>
      <w:r>
        <w:rPr>
          <w:rFonts w:ascii="Arial" w:hAnsi="Arial" w:cs="Arial"/>
          <w:lang w:val="en-US"/>
        </w:rPr>
        <w:t xml:space="preserve"> ZTP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ZTP/P,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provádějící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výcvik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určených</w:t>
      </w:r>
      <w:proofErr w:type="spellEnd"/>
      <w:r>
        <w:rPr>
          <w:rFonts w:ascii="Arial" w:hAnsi="Arial" w:cs="Arial"/>
          <w:lang w:val="en-US"/>
        </w:rPr>
        <w:t xml:space="preserve"> k </w:t>
      </w:r>
      <w:proofErr w:type="spellStart"/>
      <w:r>
        <w:rPr>
          <w:rFonts w:ascii="Arial" w:hAnsi="Arial" w:cs="Arial"/>
          <w:lang w:val="en-US"/>
        </w:rPr>
        <w:t>doprovodu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těchto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provozující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útulek</w:t>
      </w:r>
      <w:proofErr w:type="spellEnd"/>
      <w:r>
        <w:rPr>
          <w:rFonts w:ascii="Arial" w:hAnsi="Arial" w:cs="Arial"/>
          <w:lang w:val="en-US"/>
        </w:rPr>
        <w:t xml:space="preserve"> pro </w:t>
      </w:r>
      <w:proofErr w:type="spellStart"/>
      <w:r>
        <w:rPr>
          <w:rFonts w:ascii="Arial" w:hAnsi="Arial" w:cs="Arial"/>
          <w:lang w:val="en-US"/>
        </w:rPr>
        <w:t>zvířata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osoba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které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držení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používání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zvláštní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V </w:t>
      </w:r>
      <w:proofErr w:type="spellStart"/>
      <w:r>
        <w:rPr>
          <w:rFonts w:ascii="Arial" w:hAnsi="Arial" w:cs="Arial"/>
          <w:lang/>
        </w:rPr>
        <w:t>př</w:t>
      </w:r>
      <w:r>
        <w:rPr>
          <w:rFonts w:ascii="Arial" w:hAnsi="Arial" w:cs="Arial"/>
          <w:lang w:val="en-US"/>
        </w:rPr>
        <w:t>ípadě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poplatník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nesplní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ohlásit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údaj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rozhodný</w:t>
      </w:r>
      <w:proofErr w:type="spellEnd"/>
      <w:r>
        <w:rPr>
          <w:rFonts w:ascii="Arial" w:hAnsi="Arial" w:cs="Arial"/>
          <w:lang w:val="en-US"/>
        </w:rPr>
        <w:t xml:space="preserve"> pro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lhůtách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stanovených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nebo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zákonem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nárok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osvobození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zaniká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7</w:t>
      </w:r>
      <w:r>
        <w:rPr>
          <w:rFonts w:ascii="Arial" w:hAnsi="Arial" w:cs="Arial"/>
          <w:b/>
          <w:bCs/>
          <w:sz w:val="24"/>
          <w:szCs w:val="24"/>
          <w:lang/>
        </w:rPr>
        <w:br/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Poplatkové povinnosti vzniklé před nabyt</w:t>
      </w:r>
      <w:proofErr w:type="spellStart"/>
      <w:r>
        <w:rPr>
          <w:rFonts w:ascii="Arial" w:hAnsi="Arial" w:cs="Arial"/>
          <w:lang w:val="en-US"/>
        </w:rPr>
        <w:t>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posuzují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dosavadních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právních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>.</w:t>
      </w:r>
    </w:p>
    <w:p w:rsidR="00997942" w:rsidRDefault="00997942" w:rsidP="00997942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>Zrušuje se obecně z</w:t>
      </w:r>
      <w:proofErr w:type="spellStart"/>
      <w:r>
        <w:rPr>
          <w:rFonts w:ascii="Arial" w:hAnsi="Arial" w:cs="Arial"/>
          <w:lang w:val="en-US"/>
        </w:rPr>
        <w:t>ávazná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 xml:space="preserve"> č. 1/2019, o </w:t>
      </w:r>
      <w:proofErr w:type="spellStart"/>
      <w:r>
        <w:rPr>
          <w:rFonts w:ascii="Arial" w:hAnsi="Arial" w:cs="Arial"/>
          <w:lang w:val="en-US"/>
        </w:rPr>
        <w:t>místním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12. </w:t>
      </w:r>
      <w:proofErr w:type="spellStart"/>
      <w:proofErr w:type="gramStart"/>
      <w:r>
        <w:rPr>
          <w:rFonts w:ascii="Arial" w:hAnsi="Arial" w:cs="Arial"/>
          <w:lang w:val="en-US"/>
        </w:rPr>
        <w:t>prosince</w:t>
      </w:r>
      <w:proofErr w:type="spellEnd"/>
      <w:proofErr w:type="gramEnd"/>
      <w:r>
        <w:rPr>
          <w:rFonts w:ascii="Arial" w:hAnsi="Arial" w:cs="Arial"/>
          <w:lang w:val="en-US"/>
        </w:rPr>
        <w:t xml:space="preserve"> 2019.</w:t>
      </w:r>
    </w:p>
    <w:p w:rsidR="00997942" w:rsidRDefault="00997942" w:rsidP="00997942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/>
        </w:rPr>
        <w:t>Čl. 8</w:t>
      </w:r>
      <w:r>
        <w:rPr>
          <w:rFonts w:ascii="Arial" w:hAnsi="Arial" w:cs="Arial"/>
          <w:b/>
          <w:bCs/>
          <w:sz w:val="24"/>
          <w:szCs w:val="24"/>
          <w:lang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997942" w:rsidRDefault="00997942" w:rsidP="0099794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/>
        </w:rPr>
        <w:t xml:space="preserve">Tato vyhláška </w:t>
      </w:r>
      <w:proofErr w:type="spellStart"/>
      <w:r>
        <w:rPr>
          <w:rFonts w:ascii="Arial" w:hAnsi="Arial" w:cs="Arial"/>
          <w:lang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1"/>
      </w:tblGrid>
      <w:tr w:rsidR="0099794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7942" w:rsidRDefault="0099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Jan </w:t>
            </w:r>
            <w:proofErr w:type="spellStart"/>
            <w:r>
              <w:rPr>
                <w:rFonts w:ascii="Arial" w:hAnsi="Arial" w:cs="Arial"/>
                <w:lang/>
              </w:rPr>
              <w:t>Melša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  <w:t>starosta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7942" w:rsidRDefault="0099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>Pavel Barták v. r.</w:t>
            </w:r>
            <w:r>
              <w:rPr>
                <w:rFonts w:ascii="Arial" w:hAnsi="Arial" w:cs="Arial"/>
                <w:lang/>
              </w:rPr>
              <w:br/>
              <w:t>místostarosta</w:t>
            </w:r>
          </w:p>
        </w:tc>
      </w:tr>
      <w:tr w:rsidR="0099794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7942" w:rsidRDefault="0099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lang/>
              </w:rPr>
              <w:t xml:space="preserve">Andrea </w:t>
            </w:r>
            <w:proofErr w:type="spellStart"/>
            <w:r>
              <w:rPr>
                <w:rFonts w:ascii="Arial" w:hAnsi="Arial" w:cs="Arial"/>
                <w:lang/>
              </w:rPr>
              <w:t>Pustková</w:t>
            </w:r>
            <w:proofErr w:type="spellEnd"/>
            <w:r>
              <w:rPr>
                <w:rFonts w:ascii="Arial" w:hAnsi="Arial" w:cs="Arial"/>
                <w:lang/>
              </w:rPr>
              <w:t xml:space="preserve"> v. r.</w:t>
            </w:r>
            <w:r>
              <w:rPr>
                <w:rFonts w:ascii="Arial" w:hAnsi="Arial" w:cs="Arial"/>
                <w:lang/>
              </w:rPr>
              <w:br/>
            </w:r>
            <w:proofErr w:type="spellStart"/>
            <w:r>
              <w:rPr>
                <w:rFonts w:ascii="Arial" w:hAnsi="Arial" w:cs="Arial"/>
                <w:lang/>
              </w:rPr>
              <w:t>místostarostka</w:t>
            </w:r>
            <w:proofErr w:type="spellEnd"/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7942" w:rsidRDefault="00997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997942" w:rsidRDefault="00997942" w:rsidP="009979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0E060E" w:rsidRDefault="000E060E"/>
    <w:sectPr w:rsidR="000E060E" w:rsidSect="00997942">
      <w:pgSz w:w="12240" w:h="15840"/>
      <w:pgMar w:top="851" w:right="851" w:bottom="851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76122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7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942"/>
    <w:rsid w:val="000C7CAC"/>
    <w:rsid w:val="000E060E"/>
    <w:rsid w:val="0099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79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2654</Characters>
  <Application>Microsoft Office Word</Application>
  <DocSecurity>0</DocSecurity>
  <Lines>22</Lines>
  <Paragraphs>6</Paragraphs>
  <ScaleCrop>false</ScaleCrop>
  <Company>ATC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2023-12-13T07:10:00Z</dcterms:created>
  <dcterms:modified xsi:type="dcterms:W3CDTF">2023-12-13T07:12:00Z</dcterms:modified>
</cp:coreProperties>
</file>