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Otovice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93420" cy="693420"/>
            <wp:effectExtent l="0" t="0" r="0" b="0"/>
            <wp:docPr id="1" name="Obrázek 1" descr="Znak obce Otovice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 Otovice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Otovice se na svém zasedání dne </w:t>
      </w:r>
      <w:r>
        <w:rPr>
          <w:rFonts w:cs="Arial" w:ascii="Arial" w:hAnsi="Arial"/>
          <w:b w:val="false"/>
          <w:sz w:val="22"/>
          <w:szCs w:val="22"/>
        </w:rPr>
        <w:t xml:space="preserve">29. 11. </w:t>
      </w:r>
      <w:r>
        <w:rPr>
          <w:rFonts w:cs="Arial" w:ascii="Arial" w:hAnsi="Arial"/>
          <w:b w:val="false"/>
          <w:sz w:val="22"/>
          <w:szCs w:val="22"/>
        </w:rPr>
        <w:t>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Otovice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  <w:shd w:fill="auto" w:val="clear"/>
        </w:rPr>
        <w:t>780 K</w:t>
      </w:r>
      <w:r>
        <w:rPr>
          <w:rFonts w:cs="Arial" w:ascii="Arial" w:hAnsi="Arial"/>
          <w:sz w:val="22"/>
          <w:szCs w:val="22"/>
        </w:rPr>
        <w:t>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 června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konce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zvylnk"/>
        <w:numPr>
          <w:ilvl w:val="1"/>
          <w:numId w:val="5"/>
        </w:numPr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v příslušném kalendářním roce dovrší nejvýše 6 let věku, a to včetně celého kalendářního roku, kdy tohoto věku dosáhne,</w:t>
      </w:r>
    </w:p>
    <w:p>
      <w:pPr>
        <w:pStyle w:val="Nzvylnk"/>
        <w:numPr>
          <w:ilvl w:val="1"/>
          <w:numId w:val="5"/>
        </w:numPr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se v celém příslušném kalendářním roce (od 1. 1. do 31. 12.) zdržuje mimo území obce. 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1/2021, o místním poplatku za obecní systém odpadového hospodářství, ze dne 1</w:t>
      </w:r>
      <w:bookmarkStart w:id="1" w:name="_GoBack"/>
      <w:bookmarkEnd w:id="1"/>
      <w:r>
        <w:rPr>
          <w:rFonts w:cs="Arial" w:ascii="Arial" w:hAnsi="Arial"/>
          <w:sz w:val="22"/>
          <w:szCs w:val="22"/>
        </w:rPr>
        <w:t>. 12. 2021.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Petr Novák v. r.</w:t>
        <w:tab/>
        <w:t>Mgr. Petr Osoba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  <w:num w:numId="12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NzevChar" w:customStyle="1">
    <w:name w:val="Název Char"/>
    <w:basedOn w:val="DefaultParagraphFont"/>
    <w:link w:val="Nzev"/>
    <w:qFormat/>
    <w:rsid w:val="0021049b"/>
    <w:rPr>
      <w:rFonts w:ascii="Arial" w:hAnsi="Arial" w:cs="Arial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al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Otovice_(okres_N&#225;chod)_znak.jp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002C-ED24-4330-A4EA-ABB5F33D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LibreOffice/7.2.6.2$Windows_X86_64 LibreOffice_project/b0ec3a565991f7569a5a7f5d24fed7f52653d754</Application>
  <AppVersion>15.0000</AppVersion>
  <Pages>3</Pages>
  <Words>903</Words>
  <Characters>4835</Characters>
  <CharactersWithSpaces>5680</CharactersWithSpaces>
  <Paragraphs>76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2023-10-13T10:47:00Z</dcterms:created>
  <dc:creator>Mgr. Lukáš Toman</dc:creator>
  <dc:description/>
  <dc:language>cs-CZ</dc:language>
  <cp:lastModifiedBy/>
  <cp:lastPrinted>2015-10-16T08:54:00Z</cp:lastPrinted>
  <dcterms:modified xsi:type="dcterms:W3CDTF">2023-11-30T14:20:18Z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