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439" w:rsidRDefault="00AA7439" w:rsidP="00AA7439">
      <w:pPr>
        <w:pageBreakBefore/>
        <w:autoSpaceDE w:val="0"/>
        <w:autoSpaceDN w:val="0"/>
        <w:adjustRightInd w:val="0"/>
        <w:spacing w:after="0" w:line="240" w:lineRule="auto"/>
        <w:jc w:val="center"/>
        <w:rPr>
          <w:rFonts w:ascii="Arial" w:hAnsi="Arial" w:cs="Arial"/>
          <w:b/>
          <w:bCs/>
        </w:rPr>
      </w:pPr>
      <w:r w:rsidRPr="0015156F">
        <w:rPr>
          <w:rFonts w:ascii="Arial" w:hAnsi="Arial" w:cs="Arial"/>
          <w:b/>
          <w:bCs/>
        </w:rPr>
        <w:t xml:space="preserve">Příloha č. 2 </w:t>
      </w:r>
    </w:p>
    <w:p w:rsidR="00AA7439" w:rsidRPr="00FE2D30" w:rsidRDefault="00AA7439" w:rsidP="00AA7439">
      <w:pPr>
        <w:autoSpaceDE w:val="0"/>
        <w:autoSpaceDN w:val="0"/>
        <w:adjustRightInd w:val="0"/>
        <w:spacing w:after="0" w:line="240" w:lineRule="auto"/>
        <w:jc w:val="center"/>
        <w:rPr>
          <w:rFonts w:ascii="Arial" w:eastAsia="Times New Roman" w:hAnsi="Arial" w:cs="Arial"/>
          <w:b/>
          <w:bCs/>
          <w:lang w:eastAsia="cs-CZ"/>
        </w:rPr>
      </w:pPr>
      <w:r w:rsidRPr="0015156F">
        <w:rPr>
          <w:rFonts w:ascii="Arial" w:hAnsi="Arial" w:cs="Arial"/>
          <w:b/>
          <w:bCs/>
        </w:rPr>
        <w:t>k</w:t>
      </w:r>
      <w:r>
        <w:rPr>
          <w:rFonts w:ascii="Arial" w:hAnsi="Arial" w:cs="Arial"/>
          <w:b/>
          <w:bCs/>
        </w:rPr>
        <w:t> </w:t>
      </w:r>
      <w:r w:rsidRPr="00FE2D30">
        <w:rPr>
          <w:rFonts w:ascii="Arial" w:eastAsia="Times New Roman" w:hAnsi="Arial" w:cs="Arial"/>
          <w:b/>
          <w:bCs/>
          <w:lang w:eastAsia="cs-CZ"/>
        </w:rPr>
        <w:t>Nařízení</w:t>
      </w:r>
      <w:r>
        <w:rPr>
          <w:rFonts w:ascii="Arial" w:eastAsia="Times New Roman" w:hAnsi="Arial" w:cs="Arial"/>
          <w:b/>
          <w:bCs/>
          <w:lang w:eastAsia="cs-CZ"/>
        </w:rPr>
        <w:t xml:space="preserve"> </w:t>
      </w:r>
      <w:r w:rsidRPr="00FE2D30">
        <w:rPr>
          <w:rFonts w:ascii="Arial" w:eastAsia="Times New Roman" w:hAnsi="Arial" w:cs="Arial"/>
          <w:b/>
          <w:bCs/>
          <w:lang w:eastAsia="cs-CZ"/>
        </w:rPr>
        <w:t>statutárního města Jablonec nad Nisou</w:t>
      </w:r>
    </w:p>
    <w:p w:rsidR="00AA7439" w:rsidRPr="00FE2D30" w:rsidRDefault="00AA7439" w:rsidP="00AA7439">
      <w:pPr>
        <w:autoSpaceDE w:val="0"/>
        <w:autoSpaceDN w:val="0"/>
        <w:adjustRightInd w:val="0"/>
        <w:spacing w:after="0" w:line="240" w:lineRule="auto"/>
        <w:jc w:val="center"/>
        <w:rPr>
          <w:rFonts w:ascii="Arial" w:eastAsia="Times New Roman" w:hAnsi="Arial" w:cs="Arial"/>
          <w:b/>
          <w:bCs/>
          <w:lang w:eastAsia="cs-CZ"/>
        </w:rPr>
      </w:pPr>
      <w:r w:rsidRPr="00FE2D30">
        <w:rPr>
          <w:rFonts w:ascii="Arial" w:eastAsia="Times New Roman" w:hAnsi="Arial" w:cs="Arial"/>
          <w:b/>
          <w:bCs/>
          <w:lang w:eastAsia="cs-CZ"/>
        </w:rPr>
        <w:t>o placeném stání motorových vozidel na místních komunikacích na území města Jablonec nad Nisou</w:t>
      </w:r>
    </w:p>
    <w:p w:rsidR="00AA7439" w:rsidRPr="00AA7439" w:rsidRDefault="00AA7439" w:rsidP="00AA7439">
      <w:pPr>
        <w:autoSpaceDE w:val="0"/>
        <w:autoSpaceDN w:val="0"/>
        <w:adjustRightInd w:val="0"/>
        <w:spacing w:after="0" w:line="240" w:lineRule="auto"/>
        <w:rPr>
          <w:rFonts w:ascii="Arial" w:hAnsi="Arial" w:cs="Arial"/>
          <w:b/>
          <w:bCs/>
          <w:sz w:val="10"/>
          <w:szCs w:val="10"/>
        </w:rPr>
      </w:pPr>
    </w:p>
    <w:p w:rsidR="00AA7439" w:rsidRPr="00FE2D30" w:rsidRDefault="00AA7439" w:rsidP="00AA7439">
      <w:pPr>
        <w:spacing w:after="0" w:line="240" w:lineRule="auto"/>
        <w:jc w:val="center"/>
        <w:rPr>
          <w:rFonts w:ascii="Arial" w:eastAsia="Times New Roman" w:hAnsi="Arial" w:cs="Arial"/>
          <w:b/>
          <w:bCs/>
          <w:lang w:eastAsia="cs-CZ"/>
        </w:rPr>
      </w:pPr>
      <w:r w:rsidRPr="00FE2D30">
        <w:rPr>
          <w:rFonts w:ascii="Arial" w:eastAsia="Times New Roman" w:hAnsi="Arial" w:cs="Arial"/>
          <w:b/>
          <w:bCs/>
          <w:lang w:eastAsia="cs-CZ"/>
        </w:rPr>
        <w:t>Ceník za stání silničních motorových vozidel na místních</w:t>
      </w:r>
    </w:p>
    <w:p w:rsidR="00AA7439" w:rsidRPr="00FE2D30" w:rsidRDefault="00AA7439" w:rsidP="00AA7439">
      <w:pPr>
        <w:spacing w:after="0" w:line="240" w:lineRule="auto"/>
        <w:jc w:val="center"/>
        <w:rPr>
          <w:rFonts w:ascii="Arial" w:eastAsia="Times New Roman" w:hAnsi="Arial" w:cs="Arial"/>
          <w:b/>
          <w:bCs/>
          <w:lang w:eastAsia="cs-CZ"/>
        </w:rPr>
      </w:pPr>
      <w:r w:rsidRPr="00FE2D30">
        <w:rPr>
          <w:rFonts w:ascii="Arial" w:eastAsia="Times New Roman" w:hAnsi="Arial" w:cs="Arial"/>
          <w:b/>
          <w:bCs/>
          <w:lang w:eastAsia="cs-CZ"/>
        </w:rPr>
        <w:t>komunikacích města Jablonec nad Nisou</w:t>
      </w:r>
    </w:p>
    <w:p w:rsidR="00AA7439" w:rsidRPr="00AA7439" w:rsidRDefault="00AA7439" w:rsidP="00AA7439">
      <w:pPr>
        <w:spacing w:after="0" w:line="240" w:lineRule="auto"/>
        <w:jc w:val="center"/>
        <w:rPr>
          <w:rFonts w:ascii="Arial" w:eastAsia="Times New Roman" w:hAnsi="Arial" w:cs="Arial"/>
          <w:b/>
          <w:bCs/>
          <w:sz w:val="10"/>
          <w:szCs w:val="10"/>
          <w:lang w:eastAsia="cs-CZ"/>
        </w:rPr>
      </w:pPr>
    </w:p>
    <w:p w:rsidR="00AA7439" w:rsidRPr="00B114B8" w:rsidRDefault="00AA7439" w:rsidP="00AA7439">
      <w:pPr>
        <w:pStyle w:val="Odstavecseseznamem"/>
        <w:numPr>
          <w:ilvl w:val="0"/>
          <w:numId w:val="1"/>
        </w:numPr>
        <w:spacing w:after="0" w:line="240" w:lineRule="auto"/>
        <w:ind w:left="567" w:hanging="567"/>
        <w:jc w:val="both"/>
        <w:rPr>
          <w:rFonts w:ascii="Arial" w:hAnsi="Arial" w:cs="Arial"/>
          <w:b/>
          <w:bCs/>
        </w:rPr>
      </w:pPr>
      <w:r w:rsidRPr="00B114B8">
        <w:rPr>
          <w:rFonts w:ascii="Arial" w:hAnsi="Arial" w:cs="Arial"/>
          <w:b/>
          <w:bCs/>
        </w:rPr>
        <w:t>Stanovení výše poplatku</w:t>
      </w:r>
      <w:r w:rsidRPr="00B114B8">
        <w:rPr>
          <w:b/>
          <w:bCs/>
          <w:vertAlign w:val="superscript"/>
        </w:rPr>
        <w:footnoteReference w:id="1"/>
      </w:r>
      <w:r w:rsidRPr="00B114B8">
        <w:rPr>
          <w:rFonts w:ascii="Arial" w:hAnsi="Arial" w:cs="Arial"/>
          <w:b/>
          <w:bCs/>
        </w:rPr>
        <w:t xml:space="preserve"> (ceny) za stání silničních motorových vozidel </w:t>
      </w:r>
      <w:r>
        <w:rPr>
          <w:rFonts w:ascii="Arial" w:hAnsi="Arial" w:cs="Arial"/>
          <w:b/>
          <w:bCs/>
        </w:rPr>
        <w:br/>
      </w:r>
      <w:r w:rsidRPr="00B114B8">
        <w:rPr>
          <w:rFonts w:ascii="Arial" w:hAnsi="Arial" w:cs="Arial"/>
          <w:b/>
          <w:bCs/>
        </w:rPr>
        <w:t>na místních komunikacích či jejich úsecích s placeným stáním na dobu časově omezenou vymezených dle přílohy č. 1 bodu 1. tohoto nařízení:</w:t>
      </w:r>
    </w:p>
    <w:p w:rsidR="00AA7439" w:rsidRDefault="00AA7439" w:rsidP="00AA7439">
      <w:pPr>
        <w:autoSpaceDE w:val="0"/>
        <w:autoSpaceDN w:val="0"/>
        <w:adjustRightInd w:val="0"/>
        <w:spacing w:after="0" w:line="240" w:lineRule="auto"/>
        <w:jc w:val="both"/>
        <w:rPr>
          <w:rFonts w:ascii="Arial" w:hAnsi="Arial" w:cs="Arial"/>
        </w:rPr>
      </w:pPr>
    </w:p>
    <w:tbl>
      <w:tblPr>
        <w:tblStyle w:val="Mkatabulky"/>
        <w:tblW w:w="9209" w:type="dxa"/>
        <w:tblLayout w:type="fixed"/>
        <w:tblLook w:val="04A0" w:firstRow="1" w:lastRow="0" w:firstColumn="1" w:lastColumn="0" w:noHBand="0" w:noVBand="1"/>
      </w:tblPr>
      <w:tblGrid>
        <w:gridCol w:w="704"/>
        <w:gridCol w:w="4864"/>
        <w:gridCol w:w="1161"/>
        <w:gridCol w:w="1204"/>
        <w:gridCol w:w="1276"/>
      </w:tblGrid>
      <w:tr w:rsidR="00AA7439" w:rsidRPr="00F02168" w:rsidTr="007963B7">
        <w:trPr>
          <w:trHeight w:val="300"/>
        </w:trPr>
        <w:tc>
          <w:tcPr>
            <w:tcW w:w="704" w:type="dxa"/>
            <w:vAlign w:val="center"/>
          </w:tcPr>
          <w:p w:rsidR="00AA7439" w:rsidRPr="00314E74" w:rsidRDefault="00AA7439" w:rsidP="007963B7">
            <w:pPr>
              <w:autoSpaceDE w:val="0"/>
              <w:autoSpaceDN w:val="0"/>
              <w:adjustRightInd w:val="0"/>
              <w:spacing w:after="0" w:line="240" w:lineRule="auto"/>
              <w:jc w:val="center"/>
              <w:rPr>
                <w:rFonts w:ascii="Arial" w:hAnsi="Arial" w:cs="Arial"/>
                <w:b/>
                <w:bCs/>
                <w:sz w:val="19"/>
                <w:szCs w:val="19"/>
              </w:rPr>
            </w:pPr>
            <w:r w:rsidRPr="00314E74">
              <w:rPr>
                <w:rFonts w:ascii="Arial" w:hAnsi="Arial" w:cs="Arial"/>
                <w:b/>
                <w:bCs/>
                <w:sz w:val="19"/>
                <w:szCs w:val="19"/>
              </w:rPr>
              <w:t>Zóna</w:t>
            </w:r>
          </w:p>
        </w:tc>
        <w:tc>
          <w:tcPr>
            <w:tcW w:w="4864" w:type="dxa"/>
            <w:noWrap/>
            <w:vAlign w:val="center"/>
            <w:hideMark/>
          </w:tcPr>
          <w:p w:rsidR="00AA7439" w:rsidRPr="00314E74" w:rsidRDefault="00AA7439" w:rsidP="007963B7">
            <w:pPr>
              <w:autoSpaceDE w:val="0"/>
              <w:autoSpaceDN w:val="0"/>
              <w:adjustRightInd w:val="0"/>
              <w:spacing w:after="0" w:line="240" w:lineRule="auto"/>
              <w:jc w:val="center"/>
              <w:rPr>
                <w:rFonts w:ascii="Arial" w:hAnsi="Arial" w:cs="Arial"/>
                <w:b/>
                <w:bCs/>
                <w:sz w:val="19"/>
                <w:szCs w:val="19"/>
              </w:rPr>
            </w:pPr>
            <w:r w:rsidRPr="00314E74">
              <w:rPr>
                <w:rFonts w:ascii="Arial" w:hAnsi="Arial" w:cs="Arial"/>
                <w:b/>
                <w:bCs/>
                <w:sz w:val="19"/>
                <w:szCs w:val="19"/>
              </w:rPr>
              <w:t>Název místní komunikace</w:t>
            </w:r>
          </w:p>
        </w:tc>
        <w:tc>
          <w:tcPr>
            <w:tcW w:w="1161" w:type="dxa"/>
            <w:noWrap/>
            <w:vAlign w:val="center"/>
          </w:tcPr>
          <w:p w:rsidR="00AA7439" w:rsidRPr="00314E74" w:rsidRDefault="00AA7439" w:rsidP="007963B7">
            <w:pPr>
              <w:autoSpaceDE w:val="0"/>
              <w:autoSpaceDN w:val="0"/>
              <w:adjustRightInd w:val="0"/>
              <w:spacing w:after="0" w:line="240" w:lineRule="auto"/>
              <w:jc w:val="center"/>
              <w:rPr>
                <w:rFonts w:ascii="Arial" w:hAnsi="Arial" w:cs="Arial"/>
                <w:b/>
                <w:bCs/>
                <w:sz w:val="19"/>
                <w:szCs w:val="19"/>
              </w:rPr>
            </w:pPr>
            <w:r w:rsidRPr="00314E74">
              <w:rPr>
                <w:rFonts w:ascii="Arial" w:hAnsi="Arial" w:cs="Arial"/>
                <w:b/>
                <w:bCs/>
                <w:sz w:val="19"/>
                <w:szCs w:val="19"/>
              </w:rPr>
              <w:t>První půlhodina (v rámci dne)</w:t>
            </w:r>
          </w:p>
        </w:tc>
        <w:tc>
          <w:tcPr>
            <w:tcW w:w="1204" w:type="dxa"/>
            <w:vAlign w:val="center"/>
          </w:tcPr>
          <w:p w:rsidR="00AA7439" w:rsidRPr="00314E74" w:rsidRDefault="00AA7439" w:rsidP="007963B7">
            <w:pPr>
              <w:autoSpaceDE w:val="0"/>
              <w:autoSpaceDN w:val="0"/>
              <w:adjustRightInd w:val="0"/>
              <w:spacing w:after="0" w:line="240" w:lineRule="auto"/>
              <w:jc w:val="center"/>
              <w:rPr>
                <w:rFonts w:ascii="Arial" w:hAnsi="Arial" w:cs="Arial"/>
                <w:b/>
                <w:bCs/>
                <w:sz w:val="19"/>
                <w:szCs w:val="19"/>
              </w:rPr>
            </w:pPr>
            <w:r w:rsidRPr="00314E74">
              <w:rPr>
                <w:rFonts w:ascii="Arial" w:hAnsi="Arial" w:cs="Arial"/>
                <w:b/>
                <w:bCs/>
                <w:sz w:val="19"/>
                <w:szCs w:val="19"/>
              </w:rPr>
              <w:t>Každá další započatá půlhodina</w:t>
            </w:r>
          </w:p>
        </w:tc>
        <w:tc>
          <w:tcPr>
            <w:tcW w:w="1276" w:type="dxa"/>
            <w:vAlign w:val="center"/>
          </w:tcPr>
          <w:p w:rsidR="00AA7439" w:rsidRPr="00314E74" w:rsidRDefault="00AA7439" w:rsidP="007963B7">
            <w:pPr>
              <w:autoSpaceDE w:val="0"/>
              <w:autoSpaceDN w:val="0"/>
              <w:adjustRightInd w:val="0"/>
              <w:spacing w:after="0" w:line="240" w:lineRule="auto"/>
              <w:jc w:val="center"/>
              <w:rPr>
                <w:rFonts w:ascii="Arial" w:hAnsi="Arial" w:cs="Arial"/>
                <w:b/>
                <w:bCs/>
                <w:sz w:val="19"/>
                <w:szCs w:val="19"/>
              </w:rPr>
            </w:pPr>
            <w:r w:rsidRPr="00314E74">
              <w:rPr>
                <w:rFonts w:ascii="Arial" w:hAnsi="Arial" w:cs="Arial"/>
                <w:b/>
                <w:bCs/>
                <w:sz w:val="19"/>
                <w:szCs w:val="19"/>
              </w:rPr>
              <w:t>Celodenní</w:t>
            </w:r>
          </w:p>
        </w:tc>
      </w:tr>
      <w:tr w:rsidR="00AA7439" w:rsidRPr="00F02168" w:rsidTr="007963B7">
        <w:trPr>
          <w:trHeight w:val="765"/>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Horní náměstí (parkovací plocha pro stání silničních motorových vozidel – osobních automobilů a dále parkovací plocha pod schodištěm pro stání jednostopých motorových vozidel)</w:t>
            </w:r>
          </w:p>
        </w:tc>
        <w:tc>
          <w:tcPr>
            <w:tcW w:w="1161" w:type="dxa"/>
            <w:noWrap/>
            <w:vAlign w:val="center"/>
          </w:tcPr>
          <w:p w:rsidR="00AA7439" w:rsidRPr="00DD4D69"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DD4D69" w:rsidRDefault="00AA7439" w:rsidP="007963B7">
            <w:pPr>
              <w:autoSpaceDE w:val="0"/>
              <w:autoSpaceDN w:val="0"/>
              <w:adjustRightInd w:val="0"/>
              <w:spacing w:after="0" w:line="240" w:lineRule="auto"/>
              <w:jc w:val="center"/>
              <w:rPr>
                <w:rFonts w:ascii="Arial" w:hAnsi="Arial" w:cs="Arial"/>
              </w:rPr>
            </w:pPr>
            <w:r>
              <w:rPr>
                <w:rFonts w:ascii="Arial" w:hAnsi="Arial" w:cs="Arial"/>
              </w:rPr>
              <w:t xml:space="preserve">20 </w:t>
            </w:r>
            <w:r w:rsidRPr="00DD4D69">
              <w:rPr>
                <w:rFonts w:ascii="Arial" w:hAnsi="Arial" w:cs="Arial"/>
              </w:rPr>
              <w:t>Kč</w:t>
            </w:r>
          </w:p>
        </w:tc>
        <w:tc>
          <w:tcPr>
            <w:tcW w:w="1276" w:type="dxa"/>
            <w:vAlign w:val="center"/>
          </w:tcPr>
          <w:p w:rsidR="00AA7439" w:rsidRPr="000B4EA6"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Anenské náměstí</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51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místní komunikace Podhorská (mezi Farského náměstím a místní komunikací Smetanova)</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místní komunikace Fügnerova (úsek podél parku)</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51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místní komunikace Komenského (úsek místní komunikace od křižovatky s místní komunikací Kostelní až po místní komunikaci Libereckou)</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Mírové náměstí (před vchodem do kina Radnice)</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51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 xml:space="preserve">místní komunikace Generála Mrázka (na místní komunikaci v úseku pod budovou </w:t>
            </w:r>
          </w:p>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Okresního soudu – Komenského)</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51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Silnice I/14 5. května (pouze jedna strana úseku mezi místními komunikacemi Kamenná a Lipanská)</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610E02" w:rsidRDefault="00AA7439" w:rsidP="007963B7">
            <w:pPr>
              <w:autoSpaceDE w:val="0"/>
              <w:autoSpaceDN w:val="0"/>
              <w:adjustRightInd w:val="0"/>
              <w:spacing w:after="0" w:line="240" w:lineRule="auto"/>
              <w:jc w:val="center"/>
              <w:rPr>
                <w:rFonts w:ascii="Arial" w:hAnsi="Arial" w:cs="Arial"/>
              </w:rPr>
            </w:pPr>
            <w:r>
              <w:rPr>
                <w:rFonts w:ascii="Arial" w:hAnsi="Arial" w:cs="Arial"/>
              </w:rPr>
              <w:t>A</w:t>
            </w:r>
          </w:p>
        </w:tc>
        <w:tc>
          <w:tcPr>
            <w:tcW w:w="4864"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 xml:space="preserve">místní komunikace Lipanská (bývalá tržnice) </w:t>
            </w:r>
          </w:p>
        </w:tc>
        <w:tc>
          <w:tcPr>
            <w:tcW w:w="1161" w:type="dxa"/>
            <w:noWrap/>
            <w:vAlign w:val="center"/>
          </w:tcPr>
          <w:p w:rsidR="00AA7439"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místní komunikace Jehlářská</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místní komunikace Tržní</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parkovací plocha komunikace v okolí nového Městského tržiště</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místní komunikace Poštovní</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Silnice I/14 Budovatelů (plocha podél)</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místní komunikace Liberecká</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51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místní komunikace Opletalova (mezi místními komunikacemi Liberecká a Korejská)</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765"/>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 xml:space="preserve">místní komunikace Korejská (od místní komunikace Opletalova až za místní komunikaci Máchova mimo části u vyhrazeného stání hotelu </w:t>
            </w:r>
            <w:proofErr w:type="spellStart"/>
            <w:r w:rsidRPr="004F6F63">
              <w:rPr>
                <w:rFonts w:ascii="Arial" w:hAnsi="Arial" w:cs="Arial"/>
              </w:rPr>
              <w:t>Rehavital</w:t>
            </w:r>
            <w:proofErr w:type="spellEnd"/>
            <w:r w:rsidRPr="004F6F63">
              <w:rPr>
                <w:rFonts w:ascii="Arial" w:hAnsi="Arial" w:cs="Arial"/>
              </w:rPr>
              <w:t>)</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sidRPr="00610E02">
              <w:rPr>
                <w:rFonts w:ascii="Arial" w:hAnsi="Arial" w:cs="Arial"/>
              </w:rPr>
              <w:t>A</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Dolní náměstí (stávající vyhrazená parkovací místa)</w:t>
            </w:r>
          </w:p>
        </w:tc>
        <w:tc>
          <w:tcPr>
            <w:tcW w:w="1161" w:type="dxa"/>
            <w:noWrap/>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r w:rsidR="00AA7439" w:rsidRPr="00F02168" w:rsidTr="007963B7">
        <w:trPr>
          <w:trHeight w:val="300"/>
        </w:trPr>
        <w:tc>
          <w:tcPr>
            <w:tcW w:w="7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J</w:t>
            </w:r>
          </w:p>
        </w:tc>
        <w:tc>
          <w:tcPr>
            <w:tcW w:w="4864" w:type="dxa"/>
            <w:noWrap/>
            <w:vAlign w:val="center"/>
            <w:hideMark/>
          </w:tcPr>
          <w:p w:rsidR="00AA7439" w:rsidRPr="004F6F63" w:rsidRDefault="00AA7439" w:rsidP="007963B7">
            <w:pPr>
              <w:autoSpaceDE w:val="0"/>
              <w:autoSpaceDN w:val="0"/>
              <w:adjustRightInd w:val="0"/>
              <w:spacing w:after="0" w:line="240" w:lineRule="auto"/>
              <w:jc w:val="center"/>
              <w:rPr>
                <w:rFonts w:ascii="Arial" w:hAnsi="Arial" w:cs="Arial"/>
              </w:rPr>
            </w:pPr>
            <w:r w:rsidRPr="004F6F63">
              <w:rPr>
                <w:rFonts w:ascii="Arial" w:hAnsi="Arial" w:cs="Arial"/>
              </w:rPr>
              <w:t>parkovací plocha podél místní komunikace Za Hrází</w:t>
            </w:r>
          </w:p>
        </w:tc>
        <w:tc>
          <w:tcPr>
            <w:tcW w:w="1161" w:type="dxa"/>
            <w:noWrap/>
            <w:vAlign w:val="center"/>
          </w:tcPr>
          <w:p w:rsidR="00AA7439" w:rsidRPr="004F6F63" w:rsidRDefault="00AA7439" w:rsidP="007963B7">
            <w:pPr>
              <w:autoSpaceDE w:val="0"/>
              <w:autoSpaceDN w:val="0"/>
              <w:adjustRightInd w:val="0"/>
              <w:spacing w:after="0" w:line="240" w:lineRule="auto"/>
              <w:rPr>
                <w:rFonts w:ascii="Arial" w:hAnsi="Arial" w:cs="Arial"/>
              </w:rPr>
            </w:pPr>
            <w:r>
              <w:rPr>
                <w:rFonts w:ascii="Arial" w:hAnsi="Arial" w:cs="Arial"/>
              </w:rPr>
              <w:t xml:space="preserve">   20 Kč</w:t>
            </w:r>
          </w:p>
        </w:tc>
        <w:tc>
          <w:tcPr>
            <w:tcW w:w="1204"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20 Kč</w:t>
            </w:r>
          </w:p>
        </w:tc>
        <w:tc>
          <w:tcPr>
            <w:tcW w:w="1276" w:type="dxa"/>
            <w:vAlign w:val="center"/>
          </w:tcPr>
          <w:p w:rsidR="00AA7439" w:rsidRPr="004F6F63" w:rsidRDefault="00AA7439" w:rsidP="007963B7">
            <w:pPr>
              <w:autoSpaceDE w:val="0"/>
              <w:autoSpaceDN w:val="0"/>
              <w:adjustRightInd w:val="0"/>
              <w:spacing w:after="0" w:line="240" w:lineRule="auto"/>
              <w:jc w:val="center"/>
              <w:rPr>
                <w:rFonts w:ascii="Arial" w:hAnsi="Arial" w:cs="Arial"/>
              </w:rPr>
            </w:pPr>
            <w:r>
              <w:rPr>
                <w:rFonts w:ascii="Arial" w:hAnsi="Arial" w:cs="Arial"/>
              </w:rPr>
              <w:t>280 Kč</w:t>
            </w:r>
          </w:p>
        </w:tc>
      </w:tr>
    </w:tbl>
    <w:p w:rsidR="00AA7439" w:rsidRPr="00AA7439" w:rsidRDefault="00AA7439" w:rsidP="00AA7439">
      <w:pPr>
        <w:spacing w:after="0" w:line="240" w:lineRule="auto"/>
        <w:jc w:val="both"/>
        <w:rPr>
          <w:rFonts w:ascii="Arial" w:hAnsi="Arial" w:cs="Arial"/>
          <w:bCs/>
          <w:sz w:val="10"/>
          <w:szCs w:val="10"/>
        </w:rPr>
      </w:pPr>
    </w:p>
    <w:p w:rsidR="00AA7439" w:rsidRPr="00AA7439" w:rsidRDefault="00AA7439" w:rsidP="00AA7439">
      <w:pPr>
        <w:spacing w:after="0" w:line="240" w:lineRule="auto"/>
        <w:jc w:val="both"/>
        <w:rPr>
          <w:rFonts w:ascii="Arial" w:eastAsia="Times New Roman" w:hAnsi="Arial" w:cs="Arial"/>
          <w:b/>
          <w:bCs/>
          <w:lang w:eastAsia="cs-CZ"/>
        </w:rPr>
      </w:pPr>
      <w:r w:rsidRPr="00FE2D30">
        <w:rPr>
          <w:rFonts w:ascii="Arial" w:hAnsi="Arial" w:cs="Arial"/>
          <w:bCs/>
        </w:rPr>
        <w:t>Řidič má povinnost uhradit stanovený poplatek za parkování neprodleně po uvedení vozidla do klidu nad dobu dovolenou pro zastavení, což je doba uvedení vozidla do klidu na dobu nezbytně nutnou k neprodlenému nastoupení nebo vystoupení přepravovaných osob anebo k neprodlenému naložení nebo složení nákladu.</w:t>
      </w:r>
    </w:p>
    <w:p w:rsidR="00AA7439" w:rsidRPr="00B114B8" w:rsidRDefault="00AA7439" w:rsidP="00AA7439">
      <w:pPr>
        <w:pStyle w:val="Odstavecseseznamem"/>
        <w:numPr>
          <w:ilvl w:val="0"/>
          <w:numId w:val="1"/>
        </w:numPr>
        <w:spacing w:after="0" w:line="240" w:lineRule="auto"/>
        <w:ind w:left="567" w:hanging="567"/>
        <w:jc w:val="both"/>
        <w:rPr>
          <w:rFonts w:ascii="Arial" w:hAnsi="Arial" w:cs="Arial"/>
          <w:b/>
          <w:bCs/>
        </w:rPr>
      </w:pPr>
      <w:r w:rsidRPr="00B114B8">
        <w:rPr>
          <w:rFonts w:ascii="Arial" w:hAnsi="Arial" w:cs="Arial"/>
          <w:b/>
          <w:bCs/>
        </w:rPr>
        <w:lastRenderedPageBreak/>
        <w:t xml:space="preserve">Výše poplatku za virtuální parkovací karty (dlouhodobé parkovací oprávnění) </w:t>
      </w:r>
      <w:r w:rsidRPr="00B114B8">
        <w:rPr>
          <w:rFonts w:ascii="Arial" w:hAnsi="Arial" w:cs="Arial"/>
          <w:b/>
          <w:bCs/>
        </w:rPr>
        <w:br/>
        <w:t>pro stání vozidel držitelů virtuálních parkovacích karet na vymezených místních komunikacích či jejich úsecích dle přílohy č. 1 bodu 2. tohoto nařízení</w:t>
      </w:r>
    </w:p>
    <w:p w:rsidR="00AA7439" w:rsidRPr="00FE2D30" w:rsidRDefault="00AA7439" w:rsidP="00AA7439">
      <w:pPr>
        <w:spacing w:after="0" w:line="240" w:lineRule="auto"/>
        <w:jc w:val="both"/>
        <w:rPr>
          <w:rFonts w:ascii="Arial" w:eastAsia="Times New Roman" w:hAnsi="Arial" w:cs="Arial"/>
          <w:b/>
          <w:bCs/>
          <w:lang w:eastAsia="cs-CZ"/>
        </w:rPr>
      </w:pPr>
    </w:p>
    <w:p w:rsidR="00AA7439" w:rsidRPr="00FE2D30" w:rsidRDefault="00AA7439" w:rsidP="00AA7439">
      <w:pPr>
        <w:spacing w:after="0" w:line="240" w:lineRule="auto"/>
        <w:jc w:val="both"/>
        <w:rPr>
          <w:rFonts w:ascii="Arial" w:eastAsia="Times New Roman" w:hAnsi="Arial" w:cs="Arial"/>
          <w:lang w:eastAsia="cs-CZ"/>
        </w:rPr>
      </w:pPr>
      <w:r w:rsidRPr="00FE2D30">
        <w:rPr>
          <w:rFonts w:ascii="Arial" w:hAnsi="Arial" w:cs="Arial"/>
        </w:rPr>
        <w:t xml:space="preserve">Oddělení Informační středisko magistrátu </w:t>
      </w:r>
      <w:r w:rsidRPr="00FE2D30">
        <w:rPr>
          <w:rFonts w:ascii="Arial" w:eastAsia="Times New Roman" w:hAnsi="Arial" w:cs="Arial"/>
          <w:lang w:eastAsia="cs-CZ"/>
        </w:rPr>
        <w:t xml:space="preserve">města Jablonec nad Nisou, vydá na žádost </w:t>
      </w:r>
      <w:r>
        <w:rPr>
          <w:rFonts w:ascii="Arial" w:eastAsia="Times New Roman" w:hAnsi="Arial" w:cs="Arial"/>
          <w:lang w:eastAsia="cs-CZ"/>
        </w:rPr>
        <w:t xml:space="preserve">oprávněné </w:t>
      </w:r>
      <w:r w:rsidRPr="00FE2D30">
        <w:rPr>
          <w:rFonts w:ascii="Arial" w:eastAsia="Times New Roman" w:hAnsi="Arial" w:cs="Arial"/>
          <w:lang w:eastAsia="cs-CZ"/>
        </w:rPr>
        <w:t>fyzické nebo právnické osoby virtuální parkovací kartu na běžný měsíc nebo rok</w:t>
      </w:r>
      <w:r>
        <w:rPr>
          <w:rFonts w:ascii="Arial" w:eastAsia="Times New Roman" w:hAnsi="Arial" w:cs="Arial"/>
          <w:lang w:eastAsia="cs-CZ"/>
        </w:rPr>
        <w:t xml:space="preserve"> (12 měsíců po sobě jdoucích)</w:t>
      </w:r>
      <w:r w:rsidRPr="00FE2D30">
        <w:rPr>
          <w:rFonts w:ascii="Arial" w:eastAsia="Times New Roman" w:hAnsi="Arial" w:cs="Arial"/>
          <w:lang w:eastAsia="cs-CZ"/>
        </w:rPr>
        <w:t>, která umožňuje stání na zpoplatněných místech místních komunikací</w:t>
      </w:r>
      <w:r>
        <w:rPr>
          <w:rFonts w:ascii="Arial" w:eastAsia="Times New Roman" w:hAnsi="Arial" w:cs="Arial"/>
          <w:lang w:eastAsia="cs-CZ"/>
        </w:rPr>
        <w:t xml:space="preserve"> či jejich úsecích vymezených přílohou č. 1 bodu 2. dle takto stanovených cen:</w:t>
      </w:r>
    </w:p>
    <w:p w:rsidR="00AA7439" w:rsidRPr="00FE2D30" w:rsidRDefault="00AA7439" w:rsidP="00AA7439">
      <w:pPr>
        <w:tabs>
          <w:tab w:val="right" w:leader="dot" w:pos="8789"/>
        </w:tabs>
        <w:spacing w:after="0" w:line="240" w:lineRule="auto"/>
        <w:ind w:left="284"/>
        <w:jc w:val="both"/>
        <w:rPr>
          <w:rFonts w:ascii="Arial" w:eastAsia="Times New Roman" w:hAnsi="Arial" w:cs="Arial"/>
          <w:lang w:eastAsia="cs-CZ"/>
        </w:rPr>
      </w:pPr>
    </w:p>
    <w:p w:rsidR="00AA7439" w:rsidRPr="00B114B8" w:rsidRDefault="00AA7439" w:rsidP="00AA7439">
      <w:pPr>
        <w:tabs>
          <w:tab w:val="right" w:leader="dot" w:pos="8789"/>
        </w:tabs>
        <w:spacing w:after="0" w:line="240" w:lineRule="auto"/>
        <w:ind w:left="284"/>
        <w:jc w:val="both"/>
        <w:rPr>
          <w:rFonts w:ascii="Arial" w:eastAsia="Times New Roman" w:hAnsi="Arial" w:cs="Arial"/>
          <w:lang w:eastAsia="cs-CZ"/>
        </w:rPr>
      </w:pPr>
      <w:r w:rsidRPr="00B114B8">
        <w:rPr>
          <w:rFonts w:ascii="Arial" w:eastAsia="Times New Roman" w:hAnsi="Arial" w:cs="Arial"/>
          <w:lang w:eastAsia="cs-CZ"/>
        </w:rPr>
        <w:t xml:space="preserve">Stání </w:t>
      </w:r>
      <w:r w:rsidRPr="00B114B8">
        <w:rPr>
          <w:rFonts w:ascii="Arial" w:eastAsia="Times New Roman" w:hAnsi="Arial" w:cs="Arial"/>
          <w:b/>
          <w:bCs/>
          <w:lang w:eastAsia="cs-CZ"/>
        </w:rPr>
        <w:t>prvního vozidla</w:t>
      </w:r>
      <w:r w:rsidRPr="00B114B8">
        <w:rPr>
          <w:rFonts w:ascii="Arial" w:eastAsia="Times New Roman" w:hAnsi="Arial" w:cs="Arial"/>
          <w:lang w:eastAsia="cs-CZ"/>
        </w:rPr>
        <w:t xml:space="preserve"> </w:t>
      </w:r>
      <w:r w:rsidRPr="00B114B8">
        <w:rPr>
          <w:rFonts w:ascii="Arial" w:eastAsia="Times New Roman" w:hAnsi="Arial" w:cs="Arial"/>
          <w:b/>
          <w:bCs/>
          <w:lang w:eastAsia="cs-CZ"/>
        </w:rPr>
        <w:t>rezidenta</w:t>
      </w:r>
      <w:r w:rsidRPr="00B114B8">
        <w:rPr>
          <w:rFonts w:ascii="Arial" w:eastAsia="Times New Roman" w:hAnsi="Arial" w:cs="Arial"/>
          <w:lang w:eastAsia="cs-CZ"/>
        </w:rPr>
        <w:t xml:space="preserve"> s trvalým pobytem v místě </w:t>
      </w:r>
    </w:p>
    <w:p w:rsidR="00AA7439" w:rsidRPr="00B114B8" w:rsidRDefault="00AA7439" w:rsidP="00AA7439">
      <w:pPr>
        <w:tabs>
          <w:tab w:val="right" w:leader="dot" w:pos="8789"/>
        </w:tabs>
        <w:spacing w:after="0" w:line="240" w:lineRule="auto"/>
        <w:ind w:left="284"/>
        <w:jc w:val="both"/>
        <w:rPr>
          <w:rFonts w:ascii="Arial" w:eastAsia="Times New Roman" w:hAnsi="Arial" w:cs="Arial"/>
          <w:lang w:eastAsia="cs-CZ"/>
        </w:rPr>
      </w:pPr>
      <w:r w:rsidRPr="00B114B8">
        <w:rPr>
          <w:rFonts w:ascii="Arial" w:eastAsia="Times New Roman" w:hAnsi="Arial" w:cs="Arial"/>
          <w:lang w:eastAsia="cs-CZ"/>
        </w:rPr>
        <w:t>(</w:t>
      </w:r>
      <w:r w:rsidRPr="00B114B8">
        <w:rPr>
          <w:rFonts w:ascii="Arial" w:eastAsia="Times New Roman" w:hAnsi="Arial" w:cs="Arial"/>
          <w:u w:val="single"/>
          <w:lang w:eastAsia="cs-CZ"/>
        </w:rPr>
        <w:t>nutno prokázat vztah k místu a vozidlu</w:t>
      </w:r>
      <w:r w:rsidRPr="00B114B8">
        <w:rPr>
          <w:rFonts w:ascii="Arial" w:eastAsia="Times New Roman" w:hAnsi="Arial" w:cs="Arial"/>
          <w:lang w:eastAsia="cs-CZ"/>
        </w:rPr>
        <w:t>):</w:t>
      </w:r>
    </w:p>
    <w:p w:rsidR="00AA7439" w:rsidRPr="00B114B8" w:rsidRDefault="00AA7439" w:rsidP="00AA7439">
      <w:pPr>
        <w:pStyle w:val="Odstavecseseznamem"/>
        <w:numPr>
          <w:ilvl w:val="0"/>
          <w:numId w:val="2"/>
        </w:numPr>
        <w:tabs>
          <w:tab w:val="right" w:leader="dot" w:pos="8789"/>
        </w:tabs>
        <w:spacing w:after="0" w:line="240" w:lineRule="auto"/>
        <w:jc w:val="both"/>
        <w:rPr>
          <w:rFonts w:ascii="Arial" w:hAnsi="Arial" w:cs="Arial"/>
        </w:rPr>
      </w:pPr>
      <w:r w:rsidRPr="00B114B8">
        <w:rPr>
          <w:rFonts w:ascii="Arial" w:hAnsi="Arial" w:cs="Arial"/>
        </w:rPr>
        <w:t>měsíční</w:t>
      </w:r>
      <w:r w:rsidRPr="00B114B8">
        <w:rPr>
          <w:rFonts w:ascii="Arial" w:hAnsi="Arial" w:cs="Arial"/>
        </w:rPr>
        <w:tab/>
        <w:t>100 Kč</w:t>
      </w:r>
    </w:p>
    <w:p w:rsidR="00AA7439" w:rsidRPr="00B114B8" w:rsidRDefault="00AA7439" w:rsidP="00AA7439">
      <w:pPr>
        <w:pStyle w:val="Odstavecseseznamem"/>
        <w:numPr>
          <w:ilvl w:val="0"/>
          <w:numId w:val="2"/>
        </w:numPr>
        <w:tabs>
          <w:tab w:val="right" w:leader="dot" w:pos="8789"/>
        </w:tabs>
        <w:spacing w:after="0" w:line="240" w:lineRule="auto"/>
        <w:jc w:val="both"/>
        <w:rPr>
          <w:rFonts w:ascii="Arial" w:hAnsi="Arial" w:cs="Arial"/>
        </w:rPr>
      </w:pPr>
      <w:r w:rsidRPr="00B114B8">
        <w:rPr>
          <w:rFonts w:ascii="Arial" w:hAnsi="Arial" w:cs="Arial"/>
        </w:rPr>
        <w:t>roční</w:t>
      </w:r>
      <w:r w:rsidRPr="00B114B8">
        <w:rPr>
          <w:rFonts w:ascii="Arial" w:hAnsi="Arial" w:cs="Arial"/>
        </w:rPr>
        <w:tab/>
        <w:t>1 000 Kč</w:t>
      </w:r>
    </w:p>
    <w:p w:rsidR="00AA7439" w:rsidRPr="00B114B8" w:rsidRDefault="00AA7439" w:rsidP="00AA7439">
      <w:pPr>
        <w:tabs>
          <w:tab w:val="right" w:leader="dot" w:pos="8789"/>
        </w:tabs>
        <w:spacing w:after="0" w:line="240" w:lineRule="auto"/>
        <w:ind w:left="284"/>
        <w:jc w:val="both"/>
        <w:rPr>
          <w:rFonts w:ascii="Arial" w:eastAsia="Times New Roman" w:hAnsi="Arial" w:cs="Arial"/>
          <w:lang w:eastAsia="cs-CZ"/>
        </w:rPr>
      </w:pPr>
    </w:p>
    <w:p w:rsidR="00AA7439" w:rsidRPr="00B114B8" w:rsidRDefault="00AA7439" w:rsidP="00AA7439">
      <w:pPr>
        <w:tabs>
          <w:tab w:val="right" w:leader="dot" w:pos="8789"/>
        </w:tabs>
        <w:spacing w:after="0" w:line="240" w:lineRule="auto"/>
        <w:ind w:left="284"/>
        <w:jc w:val="both"/>
        <w:rPr>
          <w:rFonts w:ascii="Arial" w:eastAsia="Times New Roman" w:hAnsi="Arial" w:cs="Arial"/>
          <w:lang w:eastAsia="cs-CZ"/>
        </w:rPr>
      </w:pPr>
      <w:r w:rsidRPr="00B114B8">
        <w:rPr>
          <w:rFonts w:ascii="Arial" w:eastAsia="Times New Roman" w:hAnsi="Arial" w:cs="Arial"/>
          <w:lang w:eastAsia="cs-CZ"/>
        </w:rPr>
        <w:t xml:space="preserve">Stání </w:t>
      </w:r>
      <w:r w:rsidRPr="00B114B8">
        <w:rPr>
          <w:rFonts w:ascii="Arial" w:eastAsia="Times New Roman" w:hAnsi="Arial" w:cs="Arial"/>
          <w:b/>
          <w:bCs/>
          <w:lang w:eastAsia="cs-CZ"/>
        </w:rPr>
        <w:t>druhého a dalšího vozidla rezidenta</w:t>
      </w:r>
      <w:r w:rsidRPr="00B114B8">
        <w:rPr>
          <w:rFonts w:ascii="Arial" w:eastAsia="Times New Roman" w:hAnsi="Arial" w:cs="Arial"/>
          <w:lang w:eastAsia="cs-CZ"/>
        </w:rPr>
        <w:t xml:space="preserve"> s trvalým pobytem v místě </w:t>
      </w:r>
    </w:p>
    <w:p w:rsidR="00AA7439" w:rsidRPr="00B114B8" w:rsidRDefault="00AA7439" w:rsidP="00AA7439">
      <w:pPr>
        <w:tabs>
          <w:tab w:val="right" w:leader="dot" w:pos="8789"/>
        </w:tabs>
        <w:spacing w:after="0" w:line="240" w:lineRule="auto"/>
        <w:ind w:left="284"/>
        <w:jc w:val="both"/>
        <w:rPr>
          <w:rFonts w:ascii="Arial" w:eastAsia="Times New Roman" w:hAnsi="Arial" w:cs="Arial"/>
          <w:lang w:eastAsia="cs-CZ"/>
        </w:rPr>
      </w:pPr>
      <w:r w:rsidRPr="00B114B8">
        <w:rPr>
          <w:rFonts w:ascii="Arial" w:eastAsia="Times New Roman" w:hAnsi="Arial" w:cs="Arial"/>
          <w:lang w:eastAsia="cs-CZ"/>
        </w:rPr>
        <w:t>(</w:t>
      </w:r>
      <w:r w:rsidRPr="00B114B8">
        <w:rPr>
          <w:rFonts w:ascii="Arial" w:eastAsia="Times New Roman" w:hAnsi="Arial" w:cs="Arial"/>
          <w:u w:val="single"/>
          <w:lang w:eastAsia="cs-CZ"/>
        </w:rPr>
        <w:t>nutno prokázat vztah k místu a vozidlu</w:t>
      </w:r>
      <w:r w:rsidRPr="00B114B8">
        <w:rPr>
          <w:rFonts w:ascii="Arial" w:eastAsia="Times New Roman" w:hAnsi="Arial" w:cs="Arial"/>
          <w:lang w:eastAsia="cs-CZ"/>
        </w:rPr>
        <w:t>):</w:t>
      </w:r>
    </w:p>
    <w:p w:rsidR="00AA7439" w:rsidRPr="00B114B8" w:rsidRDefault="00AA7439" w:rsidP="00AA7439">
      <w:pPr>
        <w:pStyle w:val="Odstavecseseznamem"/>
        <w:numPr>
          <w:ilvl w:val="0"/>
          <w:numId w:val="3"/>
        </w:numPr>
        <w:tabs>
          <w:tab w:val="right" w:leader="dot" w:pos="8789"/>
        </w:tabs>
        <w:spacing w:after="0" w:line="240" w:lineRule="auto"/>
        <w:jc w:val="both"/>
        <w:rPr>
          <w:rFonts w:ascii="Arial" w:hAnsi="Arial" w:cs="Arial"/>
        </w:rPr>
      </w:pPr>
      <w:r w:rsidRPr="00B114B8">
        <w:rPr>
          <w:rFonts w:ascii="Arial" w:hAnsi="Arial" w:cs="Arial"/>
        </w:rPr>
        <w:t>měsíční</w:t>
      </w:r>
      <w:r w:rsidRPr="00B114B8">
        <w:rPr>
          <w:rFonts w:ascii="Arial" w:hAnsi="Arial" w:cs="Arial"/>
        </w:rPr>
        <w:tab/>
        <w:t>750 Kč</w:t>
      </w:r>
    </w:p>
    <w:p w:rsidR="00AA7439" w:rsidRPr="00B114B8" w:rsidRDefault="00AA7439" w:rsidP="00AA7439">
      <w:pPr>
        <w:pStyle w:val="Odstavecseseznamem"/>
        <w:numPr>
          <w:ilvl w:val="0"/>
          <w:numId w:val="3"/>
        </w:numPr>
        <w:tabs>
          <w:tab w:val="right" w:leader="dot" w:pos="8789"/>
        </w:tabs>
        <w:spacing w:after="0" w:line="240" w:lineRule="auto"/>
        <w:jc w:val="both"/>
        <w:rPr>
          <w:rFonts w:ascii="Arial" w:hAnsi="Arial" w:cs="Arial"/>
        </w:rPr>
      </w:pPr>
      <w:r w:rsidRPr="00B114B8">
        <w:rPr>
          <w:rFonts w:ascii="Arial" w:hAnsi="Arial" w:cs="Arial"/>
        </w:rPr>
        <w:t>roční</w:t>
      </w:r>
      <w:r w:rsidRPr="00B114B8">
        <w:rPr>
          <w:rFonts w:ascii="Arial" w:hAnsi="Arial" w:cs="Arial"/>
        </w:rPr>
        <w:tab/>
        <w:t>7 500 Kč</w:t>
      </w:r>
    </w:p>
    <w:p w:rsidR="00AA7439" w:rsidRPr="00B114B8" w:rsidRDefault="00AA7439" w:rsidP="00AA7439">
      <w:pPr>
        <w:autoSpaceDE w:val="0"/>
        <w:autoSpaceDN w:val="0"/>
        <w:adjustRightInd w:val="0"/>
        <w:spacing w:after="0" w:line="240" w:lineRule="auto"/>
        <w:ind w:left="426" w:hanging="142"/>
        <w:rPr>
          <w:rFonts w:ascii="Arial" w:eastAsia="Times New Roman" w:hAnsi="Arial" w:cs="Arial"/>
          <w:lang w:eastAsia="cs-CZ"/>
        </w:rPr>
      </w:pPr>
    </w:p>
    <w:p w:rsidR="00AA7439" w:rsidRPr="00B114B8" w:rsidRDefault="00AA7439" w:rsidP="00AA7439">
      <w:pPr>
        <w:autoSpaceDE w:val="0"/>
        <w:autoSpaceDN w:val="0"/>
        <w:adjustRightInd w:val="0"/>
        <w:spacing w:after="0" w:line="240" w:lineRule="auto"/>
        <w:ind w:left="426" w:hanging="142"/>
        <w:jc w:val="both"/>
        <w:rPr>
          <w:rFonts w:ascii="Arial" w:eastAsia="Times New Roman" w:hAnsi="Arial" w:cs="Arial"/>
          <w:b/>
          <w:bCs/>
          <w:lang w:eastAsia="cs-CZ"/>
        </w:rPr>
      </w:pPr>
      <w:r w:rsidRPr="00B114B8">
        <w:rPr>
          <w:rFonts w:ascii="Arial" w:eastAsia="Times New Roman" w:hAnsi="Arial" w:cs="Arial"/>
          <w:lang w:eastAsia="cs-CZ"/>
        </w:rPr>
        <w:t xml:space="preserve">Stání </w:t>
      </w:r>
      <w:r w:rsidRPr="00B114B8">
        <w:rPr>
          <w:rFonts w:ascii="Arial" w:eastAsia="Times New Roman" w:hAnsi="Arial" w:cs="Arial"/>
          <w:b/>
          <w:bCs/>
          <w:lang w:eastAsia="cs-CZ"/>
        </w:rPr>
        <w:t>každého vozidla</w:t>
      </w:r>
      <w:r w:rsidRPr="00B114B8">
        <w:rPr>
          <w:rFonts w:ascii="Arial" w:eastAsia="Times New Roman" w:hAnsi="Arial" w:cs="Arial"/>
          <w:lang w:eastAsia="cs-CZ"/>
        </w:rPr>
        <w:t xml:space="preserve"> </w:t>
      </w:r>
      <w:r w:rsidRPr="00B114B8">
        <w:rPr>
          <w:rFonts w:ascii="Arial" w:eastAsia="Times New Roman" w:hAnsi="Arial" w:cs="Arial"/>
          <w:b/>
          <w:bCs/>
          <w:lang w:eastAsia="cs-CZ"/>
        </w:rPr>
        <w:t xml:space="preserve">abonenta </w:t>
      </w:r>
    </w:p>
    <w:p w:rsidR="00AA7439" w:rsidRPr="00B114B8" w:rsidRDefault="00AA7439" w:rsidP="00AA7439">
      <w:pPr>
        <w:autoSpaceDE w:val="0"/>
        <w:autoSpaceDN w:val="0"/>
        <w:adjustRightInd w:val="0"/>
        <w:spacing w:after="0" w:line="240" w:lineRule="auto"/>
        <w:ind w:left="426" w:hanging="142"/>
        <w:jc w:val="both"/>
        <w:rPr>
          <w:rFonts w:ascii="Arial" w:eastAsia="Times New Roman" w:hAnsi="Arial" w:cs="Arial"/>
          <w:lang w:eastAsia="cs-CZ"/>
        </w:rPr>
      </w:pPr>
      <w:r w:rsidRPr="00B114B8">
        <w:rPr>
          <w:rFonts w:ascii="Arial" w:eastAsia="Times New Roman" w:hAnsi="Arial" w:cs="Arial"/>
          <w:lang w:eastAsia="cs-CZ"/>
        </w:rPr>
        <w:t>(</w:t>
      </w:r>
      <w:r w:rsidRPr="00B114B8">
        <w:rPr>
          <w:rFonts w:ascii="Arial" w:eastAsia="Times New Roman" w:hAnsi="Arial" w:cs="Arial"/>
          <w:u w:val="single"/>
          <w:lang w:eastAsia="cs-CZ"/>
        </w:rPr>
        <w:t>nutno prokázat vztah k místu a vozidlu</w:t>
      </w:r>
      <w:r w:rsidRPr="00B114B8">
        <w:rPr>
          <w:rFonts w:ascii="Arial" w:eastAsia="Times New Roman" w:hAnsi="Arial" w:cs="Arial"/>
          <w:lang w:eastAsia="cs-CZ"/>
        </w:rPr>
        <w:t>):</w:t>
      </w:r>
    </w:p>
    <w:p w:rsidR="00AA7439" w:rsidRPr="00B114B8" w:rsidRDefault="00AA7439" w:rsidP="00AA7439">
      <w:pPr>
        <w:pStyle w:val="Odstavecseseznamem"/>
        <w:numPr>
          <w:ilvl w:val="0"/>
          <w:numId w:val="3"/>
        </w:numPr>
        <w:tabs>
          <w:tab w:val="right" w:leader="dot" w:pos="8789"/>
        </w:tabs>
        <w:spacing w:after="0" w:line="240" w:lineRule="auto"/>
        <w:jc w:val="both"/>
        <w:rPr>
          <w:rFonts w:ascii="Arial" w:hAnsi="Arial" w:cs="Arial"/>
        </w:rPr>
      </w:pPr>
      <w:r w:rsidRPr="00B114B8">
        <w:rPr>
          <w:rFonts w:ascii="Arial" w:hAnsi="Arial" w:cs="Arial"/>
        </w:rPr>
        <w:t>měsíční</w:t>
      </w:r>
      <w:r w:rsidRPr="00B114B8">
        <w:rPr>
          <w:rFonts w:ascii="Arial" w:hAnsi="Arial" w:cs="Arial"/>
        </w:rPr>
        <w:tab/>
        <w:t>750 Kč</w:t>
      </w:r>
    </w:p>
    <w:p w:rsidR="00AA7439" w:rsidRPr="00B114B8" w:rsidRDefault="00AA7439" w:rsidP="00AA7439">
      <w:pPr>
        <w:pStyle w:val="Odstavecseseznamem"/>
        <w:numPr>
          <w:ilvl w:val="0"/>
          <w:numId w:val="3"/>
        </w:numPr>
        <w:tabs>
          <w:tab w:val="right" w:leader="dot" w:pos="8789"/>
        </w:tabs>
        <w:spacing w:after="0" w:line="240" w:lineRule="auto"/>
        <w:jc w:val="both"/>
        <w:rPr>
          <w:rFonts w:ascii="Arial" w:hAnsi="Arial" w:cs="Arial"/>
        </w:rPr>
      </w:pPr>
      <w:r w:rsidRPr="00B114B8">
        <w:rPr>
          <w:rFonts w:ascii="Arial" w:hAnsi="Arial" w:cs="Arial"/>
        </w:rPr>
        <w:t>roční</w:t>
      </w:r>
      <w:r w:rsidRPr="00B114B8">
        <w:rPr>
          <w:rFonts w:ascii="Arial" w:hAnsi="Arial" w:cs="Arial"/>
        </w:rPr>
        <w:tab/>
        <w:t>7 500 Kč</w:t>
      </w:r>
    </w:p>
    <w:p w:rsidR="00AA7439" w:rsidRPr="00B114B8" w:rsidRDefault="00AA7439" w:rsidP="00AA7439">
      <w:pPr>
        <w:tabs>
          <w:tab w:val="right" w:leader="dot" w:pos="8789"/>
        </w:tabs>
        <w:spacing w:after="0" w:line="240" w:lineRule="auto"/>
        <w:ind w:left="284"/>
        <w:jc w:val="both"/>
        <w:rPr>
          <w:rFonts w:ascii="Arial" w:eastAsia="Times New Roman" w:hAnsi="Arial" w:cs="Arial"/>
          <w:lang w:eastAsia="cs-CZ"/>
        </w:rPr>
      </w:pPr>
    </w:p>
    <w:p w:rsidR="00AA7439" w:rsidRPr="00B114B8" w:rsidRDefault="00AA7439" w:rsidP="00AA7439">
      <w:pPr>
        <w:autoSpaceDE w:val="0"/>
        <w:autoSpaceDN w:val="0"/>
        <w:adjustRightInd w:val="0"/>
        <w:spacing w:after="0" w:line="240" w:lineRule="auto"/>
        <w:ind w:left="426" w:hanging="142"/>
        <w:jc w:val="both"/>
        <w:rPr>
          <w:rFonts w:ascii="Arial" w:eastAsia="Times New Roman" w:hAnsi="Arial" w:cs="Arial"/>
          <w:b/>
          <w:bCs/>
          <w:lang w:eastAsia="cs-CZ"/>
        </w:rPr>
      </w:pPr>
      <w:r w:rsidRPr="00B114B8">
        <w:rPr>
          <w:rFonts w:ascii="Arial" w:eastAsia="Times New Roman" w:hAnsi="Arial" w:cs="Arial"/>
          <w:lang w:eastAsia="cs-CZ"/>
        </w:rPr>
        <w:t xml:space="preserve">Stání </w:t>
      </w:r>
      <w:r w:rsidRPr="00B114B8">
        <w:rPr>
          <w:rFonts w:ascii="Arial" w:eastAsia="Times New Roman" w:hAnsi="Arial" w:cs="Arial"/>
          <w:b/>
          <w:bCs/>
          <w:lang w:eastAsia="cs-CZ"/>
        </w:rPr>
        <w:t>každého vozidla</w:t>
      </w:r>
      <w:r w:rsidRPr="00B114B8">
        <w:rPr>
          <w:rFonts w:ascii="Arial" w:eastAsia="Times New Roman" w:hAnsi="Arial" w:cs="Arial"/>
          <w:lang w:eastAsia="cs-CZ"/>
        </w:rPr>
        <w:t xml:space="preserve"> </w:t>
      </w:r>
      <w:r w:rsidRPr="00B114B8">
        <w:rPr>
          <w:rFonts w:ascii="Arial" w:eastAsia="Times New Roman" w:hAnsi="Arial" w:cs="Arial"/>
          <w:b/>
          <w:bCs/>
          <w:lang w:eastAsia="cs-CZ"/>
        </w:rPr>
        <w:t xml:space="preserve">nerezidenta </w:t>
      </w:r>
    </w:p>
    <w:p w:rsidR="00AA7439" w:rsidRPr="00B114B8" w:rsidRDefault="00AA7439" w:rsidP="00AA7439">
      <w:pPr>
        <w:autoSpaceDE w:val="0"/>
        <w:autoSpaceDN w:val="0"/>
        <w:adjustRightInd w:val="0"/>
        <w:spacing w:after="0" w:line="240" w:lineRule="auto"/>
        <w:ind w:left="426" w:hanging="142"/>
        <w:jc w:val="both"/>
        <w:rPr>
          <w:rFonts w:ascii="Arial" w:eastAsia="Times New Roman" w:hAnsi="Arial" w:cs="Arial"/>
          <w:lang w:eastAsia="cs-CZ"/>
        </w:rPr>
      </w:pPr>
      <w:r w:rsidRPr="00B114B8">
        <w:rPr>
          <w:rFonts w:ascii="Arial" w:eastAsia="Times New Roman" w:hAnsi="Arial" w:cs="Arial"/>
          <w:lang w:eastAsia="cs-CZ"/>
        </w:rPr>
        <w:t>(</w:t>
      </w:r>
      <w:r w:rsidRPr="00B114B8">
        <w:rPr>
          <w:rFonts w:ascii="Arial" w:eastAsia="Times New Roman" w:hAnsi="Arial" w:cs="Arial"/>
          <w:u w:val="single"/>
          <w:lang w:eastAsia="cs-CZ"/>
        </w:rPr>
        <w:t>nutno prokázat vztah k vozidlu</w:t>
      </w:r>
      <w:r w:rsidRPr="00B114B8">
        <w:rPr>
          <w:rFonts w:ascii="Arial" w:eastAsia="Times New Roman" w:hAnsi="Arial" w:cs="Arial"/>
          <w:lang w:eastAsia="cs-CZ"/>
        </w:rPr>
        <w:t>):</w:t>
      </w:r>
    </w:p>
    <w:p w:rsidR="00AA7439" w:rsidRPr="00B114B8" w:rsidRDefault="00AA7439" w:rsidP="00AA7439">
      <w:pPr>
        <w:pStyle w:val="Odstavecseseznamem"/>
        <w:numPr>
          <w:ilvl w:val="0"/>
          <w:numId w:val="3"/>
        </w:numPr>
        <w:tabs>
          <w:tab w:val="right" w:leader="dot" w:pos="8789"/>
        </w:tabs>
        <w:spacing w:after="0" w:line="240" w:lineRule="auto"/>
        <w:jc w:val="both"/>
        <w:rPr>
          <w:rFonts w:ascii="Arial" w:hAnsi="Arial" w:cs="Arial"/>
        </w:rPr>
      </w:pPr>
      <w:r w:rsidRPr="00B114B8">
        <w:rPr>
          <w:rFonts w:ascii="Arial" w:hAnsi="Arial" w:cs="Arial"/>
        </w:rPr>
        <w:t>měsíční</w:t>
      </w:r>
      <w:r w:rsidRPr="00B114B8">
        <w:rPr>
          <w:rFonts w:ascii="Arial" w:hAnsi="Arial" w:cs="Arial"/>
        </w:rPr>
        <w:tab/>
        <w:t>1 500 Kč</w:t>
      </w:r>
    </w:p>
    <w:p w:rsidR="00AA7439" w:rsidRPr="00B114B8" w:rsidRDefault="00AA7439" w:rsidP="00AA7439">
      <w:pPr>
        <w:pStyle w:val="Odstavecseseznamem"/>
        <w:numPr>
          <w:ilvl w:val="0"/>
          <w:numId w:val="3"/>
        </w:numPr>
        <w:tabs>
          <w:tab w:val="right" w:leader="dot" w:pos="8789"/>
        </w:tabs>
        <w:spacing w:after="0" w:line="240" w:lineRule="auto"/>
        <w:jc w:val="both"/>
        <w:rPr>
          <w:rFonts w:ascii="Arial" w:hAnsi="Arial" w:cs="Arial"/>
        </w:rPr>
      </w:pPr>
      <w:r w:rsidRPr="00B114B8">
        <w:rPr>
          <w:rFonts w:ascii="Arial" w:hAnsi="Arial" w:cs="Arial"/>
        </w:rPr>
        <w:t>roční</w:t>
      </w:r>
      <w:r w:rsidRPr="00B114B8">
        <w:rPr>
          <w:rFonts w:ascii="Arial" w:hAnsi="Arial" w:cs="Arial"/>
        </w:rPr>
        <w:tab/>
        <w:t>15 000 Kč</w:t>
      </w:r>
    </w:p>
    <w:p w:rsidR="00AA7439" w:rsidRPr="00FE2D30" w:rsidRDefault="00AA7439" w:rsidP="00AA7439">
      <w:pPr>
        <w:spacing w:after="0" w:line="240" w:lineRule="auto"/>
        <w:jc w:val="both"/>
        <w:rPr>
          <w:rFonts w:ascii="Arial" w:eastAsia="Times New Roman" w:hAnsi="Arial" w:cs="Arial"/>
          <w:b/>
          <w:lang w:eastAsia="cs-CZ"/>
        </w:rPr>
      </w:pPr>
    </w:p>
    <w:p w:rsidR="00AA7439" w:rsidRPr="009B1433" w:rsidRDefault="00AA7439" w:rsidP="00AA7439">
      <w:pPr>
        <w:jc w:val="both"/>
        <w:rPr>
          <w:rFonts w:ascii="Arial" w:hAnsi="Arial" w:cs="Arial"/>
        </w:rPr>
      </w:pPr>
      <w:r>
        <w:rPr>
          <w:rFonts w:ascii="Arial" w:hAnsi="Arial" w:cs="Arial"/>
        </w:rPr>
        <w:t xml:space="preserve">Nárok na virtuální parkovací kartu (dlouhodobé parkovací oprávnění) ve vztahu k místu vzniká dle adresních míst, která náleží k vyznačeným uličním úsekům v příloze 1 v obrázku 1. Pokud je vyznačena jen část ulice (např. v případě ul. 5. května) a je rozdělena podél osy komunikace, vzniká nárok na virtuální parkovací kartu jen dle takových adresních míst, která leží na straně komunikace, která spadá do vyznačené oblasti. Pokud jsou vyznačeny obě strany uličního prostoru, platí toto pro všechna adresní místa na daném uličním úseku. Nárok neplatí pro celou ulici v celé její délce, pouze pro vyznačené úseky (např. ve smyslu ulice Liberecká, kde nárok končí u ulice Rýnovická). </w:t>
      </w:r>
    </w:p>
    <w:p w:rsidR="00AA7439" w:rsidRDefault="00AA7439" w:rsidP="00AA7439">
      <w:pPr>
        <w:tabs>
          <w:tab w:val="center" w:pos="7371"/>
        </w:tabs>
        <w:spacing w:after="0" w:line="240" w:lineRule="auto"/>
        <w:rPr>
          <w:rFonts w:ascii="Arial" w:eastAsia="Times New Roman" w:hAnsi="Arial" w:cs="Arial"/>
          <w:sz w:val="20"/>
          <w:szCs w:val="20"/>
          <w:lang w:eastAsia="cs-CZ"/>
        </w:rPr>
      </w:pPr>
    </w:p>
    <w:p w:rsidR="00AA7439" w:rsidRDefault="00AA7439" w:rsidP="00AA7439">
      <w:pPr>
        <w:tabs>
          <w:tab w:val="center" w:pos="7371"/>
        </w:tabs>
        <w:spacing w:after="0" w:line="240" w:lineRule="auto"/>
        <w:rPr>
          <w:rFonts w:ascii="Arial" w:eastAsia="Times New Roman" w:hAnsi="Arial" w:cs="Arial"/>
          <w:sz w:val="20"/>
          <w:szCs w:val="20"/>
          <w:lang w:eastAsia="cs-CZ"/>
        </w:rPr>
      </w:pPr>
    </w:p>
    <w:p w:rsidR="00AA7439" w:rsidRDefault="00AA7439" w:rsidP="00AA7439">
      <w:pPr>
        <w:tabs>
          <w:tab w:val="center" w:pos="7371"/>
        </w:tabs>
        <w:spacing w:after="0" w:line="240" w:lineRule="auto"/>
        <w:rPr>
          <w:rFonts w:ascii="Arial" w:eastAsia="Times New Roman" w:hAnsi="Arial" w:cs="Arial"/>
          <w:sz w:val="20"/>
          <w:szCs w:val="20"/>
          <w:lang w:eastAsia="cs-CZ"/>
        </w:rPr>
      </w:pPr>
    </w:p>
    <w:p w:rsidR="00AA7439" w:rsidRDefault="00AA7439" w:rsidP="00AA7439">
      <w:pPr>
        <w:tabs>
          <w:tab w:val="center" w:pos="7371"/>
        </w:tabs>
        <w:spacing w:after="0" w:line="240" w:lineRule="auto"/>
        <w:rPr>
          <w:rFonts w:ascii="Arial" w:eastAsia="Times New Roman" w:hAnsi="Arial" w:cs="Arial"/>
          <w:sz w:val="20"/>
          <w:szCs w:val="20"/>
          <w:lang w:eastAsia="cs-CZ"/>
        </w:rPr>
      </w:pPr>
    </w:p>
    <w:p w:rsidR="00AA7439" w:rsidRDefault="00AA7439" w:rsidP="00AA7439"/>
    <w:p w:rsidR="009138FC" w:rsidRDefault="009138FC"/>
    <w:sectPr w:rsidR="009138FC" w:rsidSect="00AA7439">
      <w:footerReference w:type="default" r:id="rId7"/>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439" w:rsidRDefault="00AA7439" w:rsidP="00AA7439">
      <w:pPr>
        <w:spacing w:after="0" w:line="240" w:lineRule="auto"/>
      </w:pPr>
      <w:r>
        <w:separator/>
      </w:r>
    </w:p>
  </w:endnote>
  <w:endnote w:type="continuationSeparator" w:id="0">
    <w:p w:rsidR="00AA7439" w:rsidRDefault="00AA7439" w:rsidP="00AA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425176"/>
      <w:docPartObj>
        <w:docPartGallery w:val="Page Numbers (Bottom of Page)"/>
        <w:docPartUnique/>
      </w:docPartObj>
    </w:sdtPr>
    <w:sdtEndPr/>
    <w:sdtContent>
      <w:p w:rsidR="003F2071" w:rsidRDefault="003F2071">
        <w:pPr>
          <w:pStyle w:val="Zpat"/>
          <w:jc w:val="center"/>
        </w:pPr>
        <w:r>
          <w:fldChar w:fldCharType="begin"/>
        </w:r>
        <w:r>
          <w:instrText>PAGE   \* MERGEFORMAT</w:instrText>
        </w:r>
        <w:r>
          <w:fldChar w:fldCharType="separate"/>
        </w:r>
        <w:r>
          <w:t>2</w:t>
        </w:r>
        <w:r>
          <w:fldChar w:fldCharType="end"/>
        </w:r>
      </w:p>
    </w:sdtContent>
  </w:sdt>
  <w:p w:rsidR="003F2071" w:rsidRDefault="003F20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439" w:rsidRDefault="00AA7439" w:rsidP="00AA7439">
      <w:pPr>
        <w:spacing w:after="0" w:line="240" w:lineRule="auto"/>
      </w:pPr>
      <w:r>
        <w:separator/>
      </w:r>
    </w:p>
  </w:footnote>
  <w:footnote w:type="continuationSeparator" w:id="0">
    <w:p w:rsidR="00AA7439" w:rsidRDefault="00AA7439" w:rsidP="00AA7439">
      <w:pPr>
        <w:spacing w:after="0" w:line="240" w:lineRule="auto"/>
      </w:pPr>
      <w:r>
        <w:continuationSeparator/>
      </w:r>
    </w:p>
  </w:footnote>
  <w:footnote w:id="1">
    <w:p w:rsidR="00AA7439" w:rsidRDefault="00AA7439" w:rsidP="00AA7439">
      <w:pPr>
        <w:pStyle w:val="Default"/>
      </w:pPr>
      <w:r w:rsidRPr="00591ADF">
        <w:rPr>
          <w:rFonts w:ascii="Arial" w:hAnsi="Arial" w:cs="Arial"/>
          <w:sz w:val="16"/>
          <w:szCs w:val="16"/>
        </w:rPr>
        <w:footnoteRef/>
      </w:r>
      <w:r w:rsidRPr="00591ADF">
        <w:rPr>
          <w:rFonts w:ascii="Arial" w:hAnsi="Arial" w:cs="Arial"/>
          <w:sz w:val="16"/>
          <w:szCs w:val="16"/>
        </w:rPr>
        <w:t xml:space="preserve"> Poplatkem se pro účely tohoto ceníku rozumí vzájemně sjednaná cena mezi městem Jablonec nad Nisou a uživatelem vymezené místní komunikace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D69"/>
    <w:multiLevelType w:val="hybridMultilevel"/>
    <w:tmpl w:val="1A86EA4C"/>
    <w:lvl w:ilvl="0" w:tplc="1478C050">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FEF6B55"/>
    <w:multiLevelType w:val="hybridMultilevel"/>
    <w:tmpl w:val="E5988400"/>
    <w:lvl w:ilvl="0" w:tplc="1478C050">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2D0B52"/>
    <w:multiLevelType w:val="hybridMultilevel"/>
    <w:tmpl w:val="F50C6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372190">
    <w:abstractNumId w:val="2"/>
  </w:num>
  <w:num w:numId="2" w16cid:durableId="770853138">
    <w:abstractNumId w:val="1"/>
  </w:num>
  <w:num w:numId="3" w16cid:durableId="192132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39"/>
    <w:rsid w:val="003F2071"/>
    <w:rsid w:val="006D781B"/>
    <w:rsid w:val="008E7792"/>
    <w:rsid w:val="009138FC"/>
    <w:rsid w:val="00AA7439"/>
    <w:rsid w:val="00B010DB"/>
    <w:rsid w:val="00B03940"/>
    <w:rsid w:val="00B21F29"/>
    <w:rsid w:val="00DF1622"/>
    <w:rsid w:val="00F35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3182"/>
  <w15:chartTrackingRefBased/>
  <w15:docId w15:val="{F19E214E-D149-4BFB-BE4B-70947FFA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439"/>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AA7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A7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A743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A743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A743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A743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A743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A743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A743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743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A743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A743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A743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A743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A743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A743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A743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A7439"/>
    <w:rPr>
      <w:rFonts w:eastAsiaTheme="majorEastAsia" w:cstheme="majorBidi"/>
      <w:color w:val="272727" w:themeColor="text1" w:themeTint="D8"/>
    </w:rPr>
  </w:style>
  <w:style w:type="paragraph" w:styleId="Nzev">
    <w:name w:val="Title"/>
    <w:basedOn w:val="Normln"/>
    <w:next w:val="Normln"/>
    <w:link w:val="NzevChar"/>
    <w:uiPriority w:val="10"/>
    <w:qFormat/>
    <w:rsid w:val="00AA7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A743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A743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A743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A7439"/>
    <w:pPr>
      <w:spacing w:before="160"/>
      <w:jc w:val="center"/>
    </w:pPr>
    <w:rPr>
      <w:i/>
      <w:iCs/>
      <w:color w:val="404040" w:themeColor="text1" w:themeTint="BF"/>
    </w:rPr>
  </w:style>
  <w:style w:type="character" w:customStyle="1" w:styleId="CittChar">
    <w:name w:val="Citát Char"/>
    <w:basedOn w:val="Standardnpsmoodstavce"/>
    <w:link w:val="Citt"/>
    <w:uiPriority w:val="29"/>
    <w:rsid w:val="00AA7439"/>
    <w:rPr>
      <w:i/>
      <w:iCs/>
      <w:color w:val="404040" w:themeColor="text1" w:themeTint="BF"/>
    </w:rPr>
  </w:style>
  <w:style w:type="paragraph" w:styleId="Odstavecseseznamem">
    <w:name w:val="List Paragraph"/>
    <w:basedOn w:val="Normln"/>
    <w:uiPriority w:val="34"/>
    <w:qFormat/>
    <w:rsid w:val="00AA7439"/>
    <w:pPr>
      <w:ind w:left="720"/>
      <w:contextualSpacing/>
    </w:pPr>
  </w:style>
  <w:style w:type="character" w:styleId="Zdraznnintenzivn">
    <w:name w:val="Intense Emphasis"/>
    <w:basedOn w:val="Standardnpsmoodstavce"/>
    <w:uiPriority w:val="21"/>
    <w:qFormat/>
    <w:rsid w:val="00AA7439"/>
    <w:rPr>
      <w:i/>
      <w:iCs/>
      <w:color w:val="2F5496" w:themeColor="accent1" w:themeShade="BF"/>
    </w:rPr>
  </w:style>
  <w:style w:type="paragraph" w:styleId="Vrazncitt">
    <w:name w:val="Intense Quote"/>
    <w:basedOn w:val="Normln"/>
    <w:next w:val="Normln"/>
    <w:link w:val="VrazncittChar"/>
    <w:uiPriority w:val="30"/>
    <w:qFormat/>
    <w:rsid w:val="00AA7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A7439"/>
    <w:rPr>
      <w:i/>
      <w:iCs/>
      <w:color w:val="2F5496" w:themeColor="accent1" w:themeShade="BF"/>
    </w:rPr>
  </w:style>
  <w:style w:type="character" w:styleId="Odkazintenzivn">
    <w:name w:val="Intense Reference"/>
    <w:basedOn w:val="Standardnpsmoodstavce"/>
    <w:uiPriority w:val="32"/>
    <w:qFormat/>
    <w:rsid w:val="00AA7439"/>
    <w:rPr>
      <w:b/>
      <w:bCs/>
      <w:smallCaps/>
      <w:color w:val="2F5496" w:themeColor="accent1" w:themeShade="BF"/>
      <w:spacing w:val="5"/>
    </w:rPr>
  </w:style>
  <w:style w:type="paragraph" w:customStyle="1" w:styleId="Default">
    <w:name w:val="Default"/>
    <w:rsid w:val="00AA743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Zpat">
    <w:name w:val="footer"/>
    <w:basedOn w:val="Normln"/>
    <w:link w:val="ZpatChar"/>
    <w:uiPriority w:val="99"/>
    <w:unhideWhenUsed/>
    <w:rsid w:val="00AA7439"/>
    <w:pPr>
      <w:tabs>
        <w:tab w:val="center" w:pos="4536"/>
        <w:tab w:val="right" w:pos="9072"/>
      </w:tabs>
    </w:pPr>
  </w:style>
  <w:style w:type="character" w:customStyle="1" w:styleId="ZpatChar">
    <w:name w:val="Zápatí Char"/>
    <w:basedOn w:val="Standardnpsmoodstavce"/>
    <w:link w:val="Zpat"/>
    <w:uiPriority w:val="99"/>
    <w:rsid w:val="00AA7439"/>
    <w:rPr>
      <w:rFonts w:ascii="Calibri" w:eastAsia="Calibri" w:hAnsi="Calibri" w:cs="Times New Roman"/>
      <w:kern w:val="0"/>
      <w14:ligatures w14:val="none"/>
    </w:rPr>
  </w:style>
  <w:style w:type="table" w:styleId="Mkatabulky">
    <w:name w:val="Table Grid"/>
    <w:basedOn w:val="Normlntabulka"/>
    <w:uiPriority w:val="59"/>
    <w:rsid w:val="00AA7439"/>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623</Words>
  <Characters>3678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Lucie, DiS.</dc:creator>
  <cp:keywords/>
  <dc:description/>
  <cp:lastModifiedBy>Malá Lucie, DiS.</cp:lastModifiedBy>
  <cp:revision>1</cp:revision>
  <dcterms:created xsi:type="dcterms:W3CDTF">2025-07-28T13:25:00Z</dcterms:created>
  <dcterms:modified xsi:type="dcterms:W3CDTF">2025-07-28T13:37:00Z</dcterms:modified>
</cp:coreProperties>
</file>