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user"/>
        <w:spacing w:before="240" w:after="120"/>
        <w:rPr/>
      </w:pPr>
      <w:r>
        <w:rPr/>
        <w:t>Obec Džbánice</w:t>
        <w:br/>
        <w:t>Zastupitelstvo obce Džbánice</w:t>
      </w:r>
    </w:p>
    <w:p>
      <w:pPr>
        <w:pStyle w:val="Nadpis1user"/>
        <w:tabs>
          <w:tab w:val="clear" w:pos="709"/>
          <w:tab w:val="left" w:pos="0" w:leader="none"/>
        </w:tabs>
        <w:ind w:hanging="0" w:start="0"/>
        <w:rPr/>
      </w:pPr>
      <w:r>
        <w:rPr/>
        <w:t>Obecně závazná vyhláška obce Džbánice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Džbánice se na svém zasedání dne 18.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Džbánice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FootnoteReference"/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FootnoteReference"/>
          <w:rStyle w:val="FootnoteReference"/>
        </w:rPr>
        <w:footnoteReference w:id="3"/>
      </w:r>
      <w:r>
        <w:rPr/>
        <w:t>.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12"/>
        </w:numPr>
        <w:rPr/>
      </w:pPr>
      <w:r>
        <w:rPr/>
        <w:t>Poplatníkem poplatku je</w:t>
      </w:r>
      <w:r>
        <w:rPr>
          <w:rStyle w:val="FootnoteReference"/>
          <w:rStyle w:val="FootnoteReference"/>
        </w:rPr>
        <w:footnoteReference w:id="4"/>
      </w:r>
    </w:p>
    <w:p>
      <w:pPr>
        <w:pStyle w:val="Odstavec"/>
        <w:numPr>
          <w:ilvl w:val="0"/>
          <w:numId w:val="3"/>
        </w:numPr>
        <w:tabs>
          <w:tab w:val="clear" w:pos="567"/>
          <w:tab w:val="left" w:pos="567" w:leader="none"/>
        </w:tabs>
        <w:ind w:start="993"/>
        <w:rPr/>
      </w:pPr>
      <w:r>
        <w:rPr/>
        <w:t>fyzická osoba přihlášená v obci</w:t>
      </w:r>
      <w:r>
        <w:rPr>
          <w:rStyle w:val="FootnoteReference"/>
          <w:rStyle w:val="FootnoteReference"/>
        </w:rPr>
        <w:footnoteReference w:id="5"/>
      </w:r>
    </w:p>
    <w:p>
      <w:pPr>
        <w:pStyle w:val="Odstavec"/>
        <w:numPr>
          <w:ilvl w:val="0"/>
          <w:numId w:val="3"/>
        </w:numPr>
        <w:tabs>
          <w:tab w:val="clear" w:pos="567"/>
          <w:tab w:val="left" w:pos="567" w:leader="none"/>
        </w:tabs>
        <w:ind w:start="993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  <w:rStyle w:val="FootnoteReference"/>
        </w:rPr>
        <w:footnoteReference w:id="6"/>
      </w:r>
      <w:r>
        <w:rPr/>
        <w:t>.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4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3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  <w:rStyle w:val="FootnoteReference"/>
        </w:rPr>
        <w:footnoteReference w:id="8"/>
      </w:r>
      <w:r>
        <w:rPr/>
        <w:t>.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6"/>
        </w:numPr>
        <w:rPr/>
      </w:pPr>
      <w:r>
        <w:rPr/>
        <w:t>Sazba poplatku za kalendářní rok činí 800 Kč.</w:t>
      </w:r>
    </w:p>
    <w:p>
      <w:pPr>
        <w:pStyle w:val="Odstavec"/>
        <w:numPr>
          <w:ilvl w:val="0"/>
          <w:numId w:val="15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  <w:rStyle w:val="FootnoteReference"/>
        </w:rPr>
        <w:footnoteReference w:id="9"/>
      </w:r>
    </w:p>
    <w:p>
      <w:pPr>
        <w:pStyle w:val="Odstavec"/>
        <w:numPr>
          <w:ilvl w:val="0"/>
          <w:numId w:val="4"/>
        </w:numPr>
        <w:tabs>
          <w:tab w:val="clear" w:pos="567"/>
          <w:tab w:val="left" w:pos="567" w:leader="none"/>
        </w:tabs>
        <w:ind w:start="993"/>
        <w:rPr/>
      </w:pPr>
      <w:r>
        <w:rPr/>
        <w:t>není tato fyzická osoba přihlášena v obci,</w:t>
      </w:r>
    </w:p>
    <w:p>
      <w:pPr>
        <w:pStyle w:val="Odstavec"/>
        <w:numPr>
          <w:ilvl w:val="0"/>
          <w:numId w:val="4"/>
        </w:numPr>
        <w:tabs>
          <w:tab w:val="clear" w:pos="567"/>
          <w:tab w:val="left" w:pos="567" w:leader="none"/>
        </w:tabs>
        <w:ind w:start="993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5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  <w:rStyle w:val="FootnoteReference"/>
        </w:rPr>
        <w:footnoteReference w:id="10"/>
      </w:r>
    </w:p>
    <w:p>
      <w:pPr>
        <w:pStyle w:val="Odstavec"/>
        <w:numPr>
          <w:ilvl w:val="0"/>
          <w:numId w:val="5"/>
        </w:numPr>
        <w:tabs>
          <w:tab w:val="clear" w:pos="567"/>
          <w:tab w:val="left" w:pos="567" w:leader="none"/>
        </w:tabs>
        <w:ind w:start="993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0"/>
          <w:numId w:val="5"/>
        </w:numPr>
        <w:tabs>
          <w:tab w:val="clear" w:pos="567"/>
          <w:tab w:val="left" w:pos="567" w:leader="none"/>
        </w:tabs>
        <w:ind w:start="993"/>
        <w:rPr/>
      </w:pPr>
      <w:r>
        <w:rPr/>
        <w:t>poplatník nevlastní tuto nemovitou věc,</w:t>
      </w:r>
    </w:p>
    <w:p>
      <w:pPr>
        <w:pStyle w:val="Odstavec"/>
        <w:numPr>
          <w:ilvl w:val="0"/>
          <w:numId w:val="5"/>
        </w:numPr>
        <w:tabs>
          <w:tab w:val="clear" w:pos="567"/>
          <w:tab w:val="left" w:pos="567" w:leader="none"/>
        </w:tabs>
        <w:ind w:start="993"/>
        <w:rPr/>
      </w:pPr>
      <w:r>
        <w:rPr/>
        <w:t>nebo je poplatník od poplatku osvobozen.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5</w:t>
        <w:br/>
        <w:t>Splatnost poplatku</w:t>
      </w:r>
    </w:p>
    <w:p>
      <w:pPr>
        <w:pStyle w:val="Normln"/>
        <w:numPr>
          <w:ilvl w:val="0"/>
          <w:numId w:val="6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pro poplatníky dle čl. 2 odst. 1 písm. a) je splatný:</w:t>
      </w:r>
    </w:p>
    <w:p>
      <w:pPr>
        <w:pStyle w:val="Odstavecseseznamem"/>
        <w:numPr>
          <w:ilvl w:val="0"/>
          <w:numId w:val="7"/>
        </w:numPr>
        <w:spacing w:lineRule="auto" w:line="264" w:before="120" w:after="0"/>
        <w:ind w:start="99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jednorázově, a to nejpozději do 31. března příslušného kalendářního roku, </w:t>
      </w:r>
    </w:p>
    <w:p>
      <w:pPr>
        <w:pStyle w:val="Odstavecseseznamem"/>
        <w:numPr>
          <w:ilvl w:val="0"/>
          <w:numId w:val="7"/>
        </w:numPr>
        <w:spacing w:lineRule="auto" w:line="264" w:before="120" w:after="0"/>
        <w:ind w:start="993"/>
        <w:jc w:val="both"/>
        <w:rPr>
          <w:rFonts w:ascii="Arial" w:hAnsi="Arial" w:cs="Arial"/>
        </w:rPr>
      </w:pPr>
      <w:r>
        <w:rPr>
          <w:rFonts w:cs="Arial" w:ascii="Arial" w:hAnsi="Arial"/>
        </w:rPr>
        <w:t>nebo ve dvou stejných splátkách, a to nejpozději do 31. března a do 30. září příslušného kalendářního roku.</w:t>
      </w:r>
    </w:p>
    <w:p>
      <w:pPr>
        <w:pStyle w:val="Odstavecseseznamem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Poplatek pro poplatníky dle čl. 2 odst. 1 písm. b) je splatný do 30. září příslušného kalendářního roku.</w:t>
      </w:r>
    </w:p>
    <w:p>
      <w:pPr>
        <w:pStyle w:val="Odstavecseseznamem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</w:t>
      </w:r>
    </w:p>
    <w:p>
      <w:pPr>
        <w:pStyle w:val="Odstavecseseznamem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Vznikne-li poplatková povinnost po datu splatnosti uvedeném v odstavci 2, je poplatek splatný nejpozději do 15. dne měsíce, který následuje po měsíci, ve kterém poplatková povinnost vznikla. </w:t>
      </w:r>
    </w:p>
    <w:p>
      <w:pPr>
        <w:pStyle w:val="Odstavecseseznamem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Lhůta splatnosti neskončí poplatníkovi dříve než lhůta pro podání ohlášení podle čl. 3 odst. 1 této vyhlášky. </w:t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8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  <w:rStyle w:val="FootnoteReference"/>
        </w:rPr>
        <w:footnoteReference w:id="11"/>
      </w:r>
      <w:r>
        <w:rPr/>
        <w:t>:</w:t>
      </w:r>
    </w:p>
    <w:p>
      <w:pPr>
        <w:pStyle w:val="Odstavec"/>
        <w:numPr>
          <w:ilvl w:val="0"/>
          <w:numId w:val="8"/>
        </w:numPr>
        <w:tabs>
          <w:tab w:val="clear" w:pos="567"/>
          <w:tab w:val="left" w:pos="567" w:leader="none"/>
        </w:tabs>
        <w:ind w:start="993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0"/>
          <w:numId w:val="8"/>
        </w:numPr>
        <w:tabs>
          <w:tab w:val="clear" w:pos="567"/>
          <w:tab w:val="left" w:pos="567" w:leader="none"/>
        </w:tabs>
        <w:ind w:start="993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0"/>
          <w:numId w:val="8"/>
        </w:numPr>
        <w:tabs>
          <w:tab w:val="clear" w:pos="567"/>
          <w:tab w:val="left" w:pos="567" w:leader="none"/>
        </w:tabs>
        <w:ind w:start="993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0"/>
          <w:numId w:val="8"/>
        </w:numPr>
        <w:tabs>
          <w:tab w:val="clear" w:pos="567"/>
          <w:tab w:val="left" w:pos="567" w:leader="none"/>
        </w:tabs>
        <w:ind w:start="993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0"/>
          <w:numId w:val="8"/>
        </w:numPr>
        <w:tabs>
          <w:tab w:val="clear" w:pos="567"/>
          <w:tab w:val="left" w:pos="567" w:leader="none"/>
        </w:tabs>
        <w:ind w:start="993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7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0"/>
          <w:numId w:val="9"/>
        </w:numPr>
        <w:tabs>
          <w:tab w:val="clear" w:pos="567"/>
          <w:tab w:val="left" w:pos="567" w:leader="none"/>
        </w:tabs>
        <w:ind w:start="1134"/>
        <w:rPr/>
      </w:pPr>
      <w:r>
        <w:rPr/>
        <w:t>se dlouhodobě (tj. nejméně 10 měsíců v kalendářním roce) zdržuje v zahraničí,</w:t>
      </w:r>
    </w:p>
    <w:p>
      <w:pPr>
        <w:pStyle w:val="Odstavec"/>
        <w:numPr>
          <w:ilvl w:val="0"/>
          <w:numId w:val="9"/>
        </w:numPr>
        <w:tabs>
          <w:tab w:val="clear" w:pos="567"/>
          <w:tab w:val="left" w:pos="567" w:leader="none"/>
        </w:tabs>
        <w:ind w:start="1134"/>
        <w:rPr/>
      </w:pPr>
      <w:r>
        <w:rPr/>
        <w:t>má správním rozhodnutím stanoven trvalý pobyt na ohlašovně Obecního úřadu Džbánice, Džbánice 50, 671 71 Hostěradice a jejíž pobyt není znám,</w:t>
      </w:r>
    </w:p>
    <w:p>
      <w:pPr>
        <w:pStyle w:val="Odstavec"/>
        <w:numPr>
          <w:ilvl w:val="0"/>
          <w:numId w:val="9"/>
        </w:numPr>
        <w:tabs>
          <w:tab w:val="clear" w:pos="567"/>
          <w:tab w:val="left" w:pos="567" w:leader="none"/>
        </w:tabs>
        <w:ind w:start="1134"/>
        <w:rPr/>
      </w:pPr>
      <w:r>
        <w:rPr/>
        <w:t>se v obci nejméně 10 měsíců v kalendářním roce nezdržuje a jejíž pobyt není znám.</w:t>
      </w:r>
    </w:p>
    <w:p>
      <w:pPr>
        <w:pStyle w:val="Odstavec"/>
        <w:numPr>
          <w:ilvl w:val="0"/>
          <w:numId w:val="17"/>
        </w:numPr>
        <w:rPr/>
      </w:pPr>
      <w:r>
        <w:rPr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není užívána ani k pobytu ani k rekreaci, není zde produkován komunální odpad a není požadován svoz odpadů.</w:t>
      </w:r>
    </w:p>
    <w:p>
      <w:pPr>
        <w:pStyle w:val="Odstavec"/>
        <w:numPr>
          <w:ilvl w:val="0"/>
          <w:numId w:val="17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  <w:rStyle w:val="FootnoteReference"/>
        </w:rPr>
        <w:footnoteReference w:id="12"/>
      </w:r>
      <w:r>
        <w:rPr/>
        <w:t>.</w:t>
      </w:r>
    </w:p>
    <w:p>
      <w:pPr>
        <w:pStyle w:val="slalnk"/>
        <w:spacing w:before="480" w:after="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9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ln"/>
        <w:numPr>
          <w:ilvl w:val="0"/>
          <w:numId w:val="19"/>
        </w:numPr>
        <w:suppressAutoHyphens w:val="false"/>
        <w:spacing w:lineRule="auto" w:line="288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ln"/>
        <w:numPr>
          <w:ilvl w:val="0"/>
          <w:numId w:val="10"/>
        </w:numPr>
        <w:suppressAutoHyphens w:val="false"/>
        <w:spacing w:lineRule="auto" w:line="288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2/2023, o místním poplatku za obecní systém odpadového hospodářství, ze dne 6. 11. 202</w:t>
      </w: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Odstavec"/>
        <w:rPr/>
      </w:pPr>
      <w:r>
        <w:rPr/>
      </w:r>
    </w:p>
    <w:p>
      <w:pPr>
        <w:pStyle w:val="Nadpis2user"/>
        <w:tabs>
          <w:tab w:val="clear" w:pos="709"/>
          <w:tab w:val="left" w:pos="0" w:leader="none"/>
        </w:tabs>
        <w:ind w:hanging="0" w:start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Bc. Jana Páralová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Marcela Jelínková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4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10e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5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6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10p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7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8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9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10h odst. 2 ve spojení s § 10o odst. 2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10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10h odst. 3 ve spojení s § 10o odst. 2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11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10g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  <w:footnote w:id="12">
    <w:p>
      <w:pPr>
        <w:pStyle w:val="FootnoteText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poplatcích.</w:t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Nadpis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21" w:hanging="454"/>
      </w:p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1287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07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727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447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167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887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607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27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7047" w:hanging="180"/>
      </w:p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0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  <w:rPr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emboss w:val="false"/>
        <w:imprint w:val="fals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21" w:hanging="454"/>
      </w:p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7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FootnoteReference">
    <w:name w:val="footnote reference"/>
    <w:basedOn w:val="Standardnpsmoodstavce"/>
    <w:rPr>
      <w:vertAlign w:val="superscript"/>
    </w:rPr>
  </w:style>
  <w:style w:type="character" w:styleId="WWCharLFO8LVL1">
    <w:name w:val="WW_CharLFO8LVL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WWCharLFO13LVL1">
    <w:name w:val="WW_CharLFO13LVL1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4"/>
      <w:u w:val="none"/>
      <w:vertAlign w:val="baseline"/>
    </w:rPr>
  </w:style>
  <w:style w:type="character" w:styleId="Znakypropoznmkupodarou1">
    <w:name w:val="Znaky pro poznámku pod čarou1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1user">
    <w:name w:val="Nadpis 1 (user)"/>
    <w:basedOn w:val="Nadpis"/>
    <w:next w:val="BodyText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user">
    <w:name w:val="Nadpis 2 (user)"/>
    <w:basedOn w:val="Nadpis"/>
    <w:next w:val="BodyText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user">
    <w:name w:val="Seznam (user)"/>
    <w:basedOn w:val="BodyText"/>
    <w:qFormat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user">
    <w:name w:val="Název (user)"/>
    <w:basedOn w:val="Nadpis"/>
    <w:next w:val="BodyText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170" w:start="170"/>
    </w:pPr>
    <w:rPr>
      <w:rFonts w:ascii="Arial" w:hAnsi="Arial" w:eastAsia="Arial" w:cs="Arial"/>
      <w:sz w:val="18"/>
      <w:szCs w:val="18"/>
    </w:rPr>
  </w:style>
  <w:style w:type="paragraph" w:styleId="Odstavecseseznamem">
    <w:name w:val="Odstavec se seznamem"/>
    <w:basedOn w:val="Normln"/>
    <w:qFormat/>
    <w:pPr>
      <w:tabs>
        <w:tab w:val="clear" w:pos="709"/>
      </w:tabs>
      <w:suppressAutoHyphens w:val="false"/>
      <w:ind w:start="720"/>
      <w:textAlignment w:val="auto"/>
    </w:pPr>
    <w:rPr>
      <w:rFonts w:ascii="Calibri" w:hAnsi="Calibri" w:eastAsia="Calibri" w:cs="Calibri"/>
      <w:kern w:val="0"/>
      <w:sz w:val="22"/>
      <w:szCs w:val="22"/>
      <w:lang w:eastAsia="en-US" w:bidi="ar-SA"/>
    </w:rPr>
  </w:style>
  <w:style w:type="paragraph" w:styleId="slalnk">
    <w:name w:val="Čísla článků"/>
    <w:basedOn w:val="Normln"/>
    <w:qFormat/>
    <w:pPr>
      <w:keepNext w:val="true"/>
      <w:keepLines/>
      <w:suppressAutoHyphens w:val="false"/>
      <w:spacing w:before="360" w:after="60"/>
      <w:jc w:val="center"/>
      <w:textAlignment w:val="auto"/>
    </w:pPr>
    <w:rPr>
      <w:rFonts w:ascii="Times New Roman" w:hAnsi="Times New Roman" w:eastAsia="Times New Roman" w:cs="Times New Roman"/>
      <w:b/>
      <w:bCs/>
      <w:kern w:val="0"/>
      <w:szCs w:val="20"/>
      <w:lang w:eastAsia="cs-CZ" w:bidi="ar-SA"/>
    </w:rPr>
  </w:style>
  <w:style w:type="paragraph" w:styleId="Nzvylnk">
    <w:name w:val="Názvy článků"/>
    <w:basedOn w:val="slalnk"/>
    <w:qFormat/>
    <w:pPr>
      <w:suppressAutoHyphens w:val="false"/>
      <w:spacing w:before="60" w:after="1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LibreOffice/25.8.2.2$Windows_X86_64 LibreOffice_project/d401f2107ccab8f924a8e2df40f573aab7605b6f</Application>
  <AppVersion>15.0000</AppVersion>
  <Pages>4</Pages>
  <Words>1074</Words>
  <Characters>5802</Characters>
  <CharactersWithSpaces>6780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2025-11-12T09:01:00Z</dcterms:created>
  <dc:creator>Florianová Kateřina, Mgr.</dc:creator>
  <dc:description/>
  <dc:language>cs-CZ</dc:language>
  <cp:lastModifiedBy/>
  <dcterms:modified xsi:type="dcterms:W3CDTF">2025-11-20T15:00:18Z</dcterms:modified>
  <cp:revision>19</cp:revision>
  <dc:subject/>
  <dc:title/>
</cp:coreProperties>
</file>