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style1.xml" ContentType="application/vnd.ms-office.chartstyle+xml"/>
  <Override PartName="/word/charts/colors1.xml" ContentType="application/vnd.ms-office.chartcolorstyle+xml"/>
  <Override PartName="/word/charts/style2.xml" ContentType="application/vnd.ms-office.chartstyle+xml"/>
  <Override PartName="/word/charts/colors2.xml" ContentType="application/vnd.ms-office.chartcolorstyle+xml"/>
  <Override PartName="/word/charts/style3.xml" ContentType="application/vnd.ms-office.chartstyle+xml"/>
  <Override PartName="/word/charts/colors3.xml" ContentType="application/vnd.ms-office.chartcolorstyle+xml"/>
  <Override PartName="/word/charts/style4.xml" ContentType="application/vnd.ms-office.chartstyle+xml"/>
  <Override PartName="/word/charts/colors4.xml" ContentType="application/vnd.ms-office.chartcolor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E4194E" w14:textId="77777777" w:rsidR="006A1907" w:rsidRPr="00231ABC" w:rsidRDefault="006A1907" w:rsidP="00AD20C3">
      <w:pPr>
        <w:bidi/>
        <w:jc w:val="center"/>
        <w:rPr>
          <w:caps/>
          <w:sz w:val="24"/>
        </w:rPr>
      </w:pPr>
    </w:p>
    <w:p w14:paraId="25AB6D80" w14:textId="77777777" w:rsidR="006A1907" w:rsidRPr="00231ABC" w:rsidRDefault="006A1907">
      <w:pPr>
        <w:jc w:val="center"/>
        <w:rPr>
          <w:sz w:val="24"/>
        </w:rPr>
      </w:pPr>
    </w:p>
    <w:p w14:paraId="3C9488C3" w14:textId="77777777" w:rsidR="006A1907" w:rsidRPr="00231ABC" w:rsidRDefault="006A1907">
      <w:pPr>
        <w:jc w:val="center"/>
        <w:rPr>
          <w:sz w:val="24"/>
        </w:rPr>
      </w:pPr>
    </w:p>
    <w:p w14:paraId="294F82B3" w14:textId="77777777" w:rsidR="006A1907" w:rsidRPr="00231ABC" w:rsidRDefault="006A1907">
      <w:pPr>
        <w:jc w:val="center"/>
        <w:rPr>
          <w:sz w:val="24"/>
        </w:rPr>
      </w:pPr>
    </w:p>
    <w:p w14:paraId="6A55C90B" w14:textId="77777777" w:rsidR="006A1907" w:rsidRPr="00231ABC" w:rsidRDefault="006A1907">
      <w:pPr>
        <w:jc w:val="center"/>
        <w:rPr>
          <w:sz w:val="24"/>
        </w:rPr>
      </w:pPr>
    </w:p>
    <w:p w14:paraId="1D2604C5" w14:textId="77777777" w:rsidR="004558FE" w:rsidRPr="00231ABC" w:rsidRDefault="004558FE" w:rsidP="004558FE">
      <w:pPr>
        <w:jc w:val="center"/>
        <w:rPr>
          <w:sz w:val="24"/>
        </w:rPr>
      </w:pPr>
    </w:p>
    <w:p w14:paraId="5691A8D8" w14:textId="77777777" w:rsidR="004558FE" w:rsidRPr="00231ABC" w:rsidRDefault="004558FE" w:rsidP="004558FE">
      <w:pPr>
        <w:jc w:val="center"/>
        <w:rPr>
          <w:sz w:val="24"/>
        </w:rPr>
      </w:pPr>
    </w:p>
    <w:p w14:paraId="2D0757E9" w14:textId="77777777" w:rsidR="004558FE" w:rsidRPr="00231ABC" w:rsidRDefault="004558FE" w:rsidP="004558FE">
      <w:pPr>
        <w:jc w:val="center"/>
        <w:rPr>
          <w:sz w:val="24"/>
        </w:rPr>
      </w:pPr>
    </w:p>
    <w:p w14:paraId="0DC45FA3" w14:textId="77777777" w:rsidR="004558FE" w:rsidRPr="00231ABC" w:rsidRDefault="004558FE" w:rsidP="004558FE">
      <w:pPr>
        <w:jc w:val="center"/>
        <w:rPr>
          <w:sz w:val="24"/>
        </w:rPr>
      </w:pPr>
    </w:p>
    <w:p w14:paraId="4195A976" w14:textId="77777777" w:rsidR="004558FE" w:rsidRPr="00231ABC" w:rsidRDefault="004558FE" w:rsidP="004558FE">
      <w:pPr>
        <w:jc w:val="center"/>
        <w:rPr>
          <w:sz w:val="24"/>
        </w:rPr>
      </w:pPr>
    </w:p>
    <w:p w14:paraId="2592E504" w14:textId="77777777" w:rsidR="004558FE" w:rsidRPr="00231ABC" w:rsidRDefault="004558FE" w:rsidP="004558FE">
      <w:pPr>
        <w:jc w:val="center"/>
        <w:rPr>
          <w:sz w:val="24"/>
        </w:rPr>
      </w:pPr>
    </w:p>
    <w:p w14:paraId="0F68996E" w14:textId="77777777" w:rsidR="004558FE" w:rsidRPr="00231ABC" w:rsidRDefault="004558FE" w:rsidP="004558FE">
      <w:pPr>
        <w:jc w:val="center"/>
        <w:rPr>
          <w:sz w:val="24"/>
        </w:rPr>
      </w:pPr>
    </w:p>
    <w:p w14:paraId="3AD2D5AC" w14:textId="77777777" w:rsidR="004558FE" w:rsidRPr="00231ABC" w:rsidRDefault="004558FE" w:rsidP="004558FE">
      <w:pPr>
        <w:jc w:val="center"/>
        <w:rPr>
          <w:sz w:val="24"/>
        </w:rPr>
      </w:pPr>
    </w:p>
    <w:p w14:paraId="455BF09D" w14:textId="77777777" w:rsidR="004558FE" w:rsidRPr="00231ABC" w:rsidRDefault="004558FE" w:rsidP="004558FE">
      <w:pPr>
        <w:jc w:val="center"/>
        <w:rPr>
          <w:sz w:val="24"/>
        </w:rPr>
      </w:pPr>
    </w:p>
    <w:p w14:paraId="732A9BA9" w14:textId="77777777" w:rsidR="004558FE" w:rsidRPr="00231ABC" w:rsidRDefault="004558FE" w:rsidP="004558FE">
      <w:pPr>
        <w:jc w:val="center"/>
        <w:rPr>
          <w:sz w:val="24"/>
        </w:rPr>
      </w:pPr>
    </w:p>
    <w:p w14:paraId="44A2A06D" w14:textId="77777777" w:rsidR="004558FE" w:rsidRPr="00231ABC" w:rsidRDefault="004558FE" w:rsidP="004558FE">
      <w:pPr>
        <w:jc w:val="center"/>
        <w:rPr>
          <w:sz w:val="24"/>
        </w:rPr>
      </w:pPr>
    </w:p>
    <w:p w14:paraId="2DF13D01" w14:textId="77777777" w:rsidR="004558FE" w:rsidRPr="00231ABC" w:rsidRDefault="004558FE" w:rsidP="004558FE">
      <w:pPr>
        <w:jc w:val="center"/>
        <w:rPr>
          <w:sz w:val="24"/>
        </w:rPr>
      </w:pPr>
    </w:p>
    <w:p w14:paraId="1ABE2D2D" w14:textId="77777777" w:rsidR="004558FE" w:rsidRPr="00231ABC" w:rsidRDefault="004558FE" w:rsidP="004558FE">
      <w:pPr>
        <w:pBdr>
          <w:top w:val="single" w:sz="6" w:space="1" w:color="auto"/>
          <w:left w:val="single" w:sz="6" w:space="4" w:color="auto"/>
          <w:bottom w:val="single" w:sz="6" w:space="0" w:color="auto"/>
          <w:right w:val="single" w:sz="6" w:space="4" w:color="auto"/>
        </w:pBdr>
        <w:shd w:val="pct20" w:color="auto" w:fill="FFFFFF"/>
        <w:jc w:val="center"/>
        <w:rPr>
          <w:sz w:val="24"/>
        </w:rPr>
      </w:pPr>
    </w:p>
    <w:p w14:paraId="0CD7DAB6" w14:textId="77777777" w:rsidR="004558FE" w:rsidRPr="00231ABC" w:rsidRDefault="004558FE" w:rsidP="004558FE">
      <w:pPr>
        <w:pBdr>
          <w:top w:val="single" w:sz="6" w:space="1" w:color="auto"/>
          <w:left w:val="single" w:sz="6" w:space="4" w:color="auto"/>
          <w:bottom w:val="single" w:sz="6" w:space="0" w:color="auto"/>
          <w:right w:val="single" w:sz="6" w:space="4" w:color="auto"/>
        </w:pBdr>
        <w:shd w:val="pct20" w:color="auto" w:fill="FFFFFF"/>
        <w:jc w:val="center"/>
        <w:rPr>
          <w:sz w:val="24"/>
        </w:rPr>
      </w:pPr>
    </w:p>
    <w:p w14:paraId="4FEE36E8" w14:textId="77777777" w:rsidR="004558FE" w:rsidRPr="00231ABC" w:rsidRDefault="004558FE" w:rsidP="004558FE">
      <w:pPr>
        <w:pBdr>
          <w:top w:val="single" w:sz="6" w:space="1" w:color="auto"/>
          <w:left w:val="single" w:sz="6" w:space="4" w:color="auto"/>
          <w:bottom w:val="single" w:sz="6" w:space="0" w:color="auto"/>
          <w:right w:val="single" w:sz="6" w:space="4" w:color="auto"/>
        </w:pBdr>
        <w:shd w:val="pct20" w:color="auto" w:fill="FFFFFF"/>
        <w:jc w:val="center"/>
        <w:rPr>
          <w:sz w:val="24"/>
        </w:rPr>
      </w:pPr>
    </w:p>
    <w:p w14:paraId="00BD445E" w14:textId="77777777" w:rsidR="004558FE" w:rsidRPr="00231ABC" w:rsidRDefault="004558FE" w:rsidP="004558FE">
      <w:pPr>
        <w:pBdr>
          <w:top w:val="single" w:sz="6" w:space="1" w:color="auto"/>
          <w:left w:val="single" w:sz="6" w:space="4" w:color="auto"/>
          <w:bottom w:val="single" w:sz="6" w:space="0" w:color="auto"/>
          <w:right w:val="single" w:sz="6" w:space="4" w:color="auto"/>
        </w:pBdr>
        <w:shd w:val="pct20" w:color="auto" w:fill="FFFFFF"/>
        <w:jc w:val="center"/>
        <w:rPr>
          <w:sz w:val="24"/>
        </w:rPr>
      </w:pPr>
    </w:p>
    <w:p w14:paraId="77F474B4" w14:textId="77777777" w:rsidR="004558FE" w:rsidRPr="009337E7" w:rsidRDefault="004558FE" w:rsidP="004558FE">
      <w:pPr>
        <w:pBdr>
          <w:top w:val="single" w:sz="6" w:space="1" w:color="auto"/>
          <w:left w:val="single" w:sz="6" w:space="4" w:color="auto"/>
          <w:bottom w:val="single" w:sz="6" w:space="0" w:color="auto"/>
          <w:right w:val="single" w:sz="6" w:space="4" w:color="auto"/>
        </w:pBdr>
        <w:shd w:val="pct20" w:color="auto" w:fill="FFFFFF"/>
        <w:jc w:val="center"/>
        <w:rPr>
          <w:sz w:val="44"/>
        </w:rPr>
      </w:pPr>
      <w:r w:rsidRPr="009337E7">
        <w:rPr>
          <w:sz w:val="44"/>
        </w:rPr>
        <w:t>CENOVÁ MAPA STAVEBNÍCH POZEMKŮ</w:t>
      </w:r>
    </w:p>
    <w:p w14:paraId="782E242F" w14:textId="77777777" w:rsidR="004558FE" w:rsidRPr="009337E7" w:rsidRDefault="004558FE" w:rsidP="004558FE">
      <w:pPr>
        <w:pBdr>
          <w:top w:val="single" w:sz="6" w:space="1" w:color="auto"/>
          <w:left w:val="single" w:sz="6" w:space="4" w:color="auto"/>
          <w:bottom w:val="single" w:sz="6" w:space="0" w:color="auto"/>
          <w:right w:val="single" w:sz="6" w:space="4" w:color="auto"/>
        </w:pBdr>
        <w:shd w:val="pct20" w:color="auto" w:fill="FFFFFF"/>
        <w:jc w:val="center"/>
        <w:rPr>
          <w:sz w:val="44"/>
        </w:rPr>
      </w:pPr>
      <w:r w:rsidRPr="009337E7">
        <w:rPr>
          <w:sz w:val="44"/>
        </w:rPr>
        <w:t xml:space="preserve">MĚSTA OSTRAVY č. </w:t>
      </w:r>
      <w:r>
        <w:rPr>
          <w:sz w:val="44"/>
        </w:rPr>
        <w:t>23</w:t>
      </w:r>
    </w:p>
    <w:p w14:paraId="1D2F21FA" w14:textId="77777777" w:rsidR="004558FE" w:rsidRPr="009337E7" w:rsidRDefault="004558FE" w:rsidP="004558FE">
      <w:pPr>
        <w:pBdr>
          <w:top w:val="single" w:sz="6" w:space="1" w:color="auto"/>
          <w:left w:val="single" w:sz="6" w:space="4" w:color="auto"/>
          <w:bottom w:val="single" w:sz="6" w:space="0" w:color="auto"/>
          <w:right w:val="single" w:sz="6" w:space="4" w:color="auto"/>
        </w:pBdr>
        <w:shd w:val="pct20" w:color="auto" w:fill="FFFFFF"/>
        <w:spacing w:before="240"/>
        <w:jc w:val="center"/>
        <w:rPr>
          <w:sz w:val="40"/>
        </w:rPr>
      </w:pPr>
      <w:r w:rsidRPr="009337E7">
        <w:rPr>
          <w:sz w:val="40"/>
        </w:rPr>
        <w:t>Textová část</w:t>
      </w:r>
    </w:p>
    <w:p w14:paraId="343733E3" w14:textId="77777777" w:rsidR="004558FE" w:rsidRPr="009337E7" w:rsidRDefault="004558FE" w:rsidP="004558FE">
      <w:pPr>
        <w:pBdr>
          <w:top w:val="single" w:sz="6" w:space="1" w:color="auto"/>
          <w:left w:val="single" w:sz="6" w:space="4" w:color="auto"/>
          <w:bottom w:val="single" w:sz="6" w:space="0" w:color="auto"/>
          <w:right w:val="single" w:sz="6" w:space="4" w:color="auto"/>
        </w:pBdr>
        <w:shd w:val="pct20" w:color="auto" w:fill="FFFFFF"/>
        <w:spacing w:before="240"/>
        <w:jc w:val="center"/>
        <w:rPr>
          <w:sz w:val="40"/>
        </w:rPr>
      </w:pPr>
      <w:r w:rsidRPr="009337E7">
        <w:rPr>
          <w:sz w:val="40"/>
        </w:rPr>
        <w:t>20</w:t>
      </w:r>
      <w:r>
        <w:rPr>
          <w:sz w:val="40"/>
        </w:rPr>
        <w:t>22</w:t>
      </w:r>
    </w:p>
    <w:p w14:paraId="44CE4A8E" w14:textId="77777777" w:rsidR="004558FE" w:rsidRPr="009337E7" w:rsidRDefault="004558FE" w:rsidP="004558FE">
      <w:pPr>
        <w:pBdr>
          <w:top w:val="single" w:sz="6" w:space="1" w:color="auto"/>
          <w:left w:val="single" w:sz="6" w:space="4" w:color="auto"/>
          <w:bottom w:val="single" w:sz="6" w:space="0" w:color="auto"/>
          <w:right w:val="single" w:sz="6" w:space="4" w:color="auto"/>
        </w:pBdr>
        <w:shd w:val="pct20" w:color="auto" w:fill="FFFFFF"/>
        <w:jc w:val="center"/>
        <w:rPr>
          <w:sz w:val="40"/>
        </w:rPr>
      </w:pPr>
    </w:p>
    <w:p w14:paraId="390F012E" w14:textId="77777777" w:rsidR="004558FE" w:rsidRPr="009337E7" w:rsidRDefault="004558FE" w:rsidP="004558FE">
      <w:pPr>
        <w:pBdr>
          <w:top w:val="single" w:sz="6" w:space="1" w:color="auto"/>
          <w:left w:val="single" w:sz="6" w:space="4" w:color="auto"/>
          <w:bottom w:val="single" w:sz="6" w:space="0" w:color="auto"/>
          <w:right w:val="single" w:sz="6" w:space="4" w:color="auto"/>
        </w:pBdr>
        <w:shd w:val="pct20" w:color="auto" w:fill="FFFFFF"/>
        <w:jc w:val="center"/>
        <w:rPr>
          <w:sz w:val="40"/>
        </w:rPr>
      </w:pPr>
    </w:p>
    <w:p w14:paraId="0FAD0227" w14:textId="77777777" w:rsidR="004558FE" w:rsidRPr="009337E7" w:rsidRDefault="004558FE" w:rsidP="004558FE">
      <w:pPr>
        <w:pStyle w:val="Nadpis1"/>
        <w:spacing w:before="2880"/>
        <w:ind w:left="1701" w:firstLine="2126"/>
        <w:rPr>
          <w:b/>
          <w:sz w:val="36"/>
        </w:rPr>
      </w:pPr>
      <w:r w:rsidRPr="009337E7">
        <w:rPr>
          <w:b/>
          <w:sz w:val="36"/>
        </w:rPr>
        <w:t xml:space="preserve"> </w:t>
      </w:r>
    </w:p>
    <w:p w14:paraId="7B384DBC" w14:textId="77777777" w:rsidR="004558FE" w:rsidRPr="00AA5E64" w:rsidRDefault="004558FE" w:rsidP="004558FE">
      <w:pPr>
        <w:overflowPunct/>
        <w:autoSpaceDE/>
        <w:autoSpaceDN/>
        <w:adjustRightInd/>
        <w:textAlignment w:val="auto"/>
        <w:rPr>
          <w:b/>
          <w:sz w:val="36"/>
          <w:highlight w:val="yellow"/>
        </w:rPr>
      </w:pPr>
      <w:r w:rsidRPr="00AA5E64">
        <w:rPr>
          <w:b/>
          <w:sz w:val="36"/>
          <w:highlight w:val="yellow"/>
        </w:rPr>
        <w:br w:type="page"/>
      </w:r>
    </w:p>
    <w:p w14:paraId="3A0B0EA6" w14:textId="77777777" w:rsidR="004558FE" w:rsidRPr="00FC58A1" w:rsidRDefault="004558FE" w:rsidP="004558FE">
      <w:pPr>
        <w:pStyle w:val="Nadpis1"/>
        <w:spacing w:before="1440"/>
        <w:ind w:left="1701" w:firstLine="2126"/>
        <w:rPr>
          <w:b/>
          <w:sz w:val="36"/>
        </w:rPr>
      </w:pPr>
      <w:r w:rsidRPr="00FC58A1">
        <w:rPr>
          <w:b/>
          <w:sz w:val="36"/>
        </w:rPr>
        <w:lastRenderedPageBreak/>
        <w:t>OBSAH</w:t>
      </w:r>
    </w:p>
    <w:p w14:paraId="553DB89E" w14:textId="77777777" w:rsidR="004558FE" w:rsidRPr="00FC58A1" w:rsidRDefault="004558FE" w:rsidP="004558FE"/>
    <w:p w14:paraId="3BE055B9" w14:textId="77777777" w:rsidR="004558FE" w:rsidRPr="00FC58A1" w:rsidRDefault="004558FE" w:rsidP="004558FE"/>
    <w:p w14:paraId="28456942" w14:textId="77777777" w:rsidR="004558FE" w:rsidRPr="00FC58A1" w:rsidRDefault="004558FE" w:rsidP="004558FE">
      <w:pPr>
        <w:ind w:left="2127"/>
        <w:rPr>
          <w:b/>
          <w:sz w:val="24"/>
        </w:rPr>
      </w:pPr>
    </w:p>
    <w:p w14:paraId="09E3D4A8" w14:textId="77777777" w:rsidR="004558FE" w:rsidRPr="00FC58A1" w:rsidRDefault="004558FE" w:rsidP="004558FE">
      <w:pPr>
        <w:numPr>
          <w:ilvl w:val="0"/>
          <w:numId w:val="28"/>
        </w:numPr>
        <w:tabs>
          <w:tab w:val="left" w:pos="426"/>
          <w:tab w:val="right" w:leader="dot" w:pos="9072"/>
        </w:tabs>
        <w:overflowPunct/>
        <w:autoSpaceDE/>
        <w:autoSpaceDN/>
        <w:adjustRightInd/>
        <w:spacing w:line="480" w:lineRule="auto"/>
        <w:ind w:left="426" w:right="-284" w:hanging="426"/>
        <w:jc w:val="both"/>
        <w:textAlignment w:val="auto"/>
        <w:rPr>
          <w:b/>
          <w:sz w:val="24"/>
        </w:rPr>
      </w:pPr>
      <w:r w:rsidRPr="00FC58A1">
        <w:rPr>
          <w:b/>
          <w:sz w:val="24"/>
        </w:rPr>
        <w:t>Úvod</w:t>
      </w:r>
      <w:r w:rsidRPr="00FC58A1">
        <w:rPr>
          <w:sz w:val="24"/>
        </w:rPr>
        <w:tab/>
        <w:t>3</w:t>
      </w:r>
    </w:p>
    <w:p w14:paraId="0461F60B" w14:textId="77777777" w:rsidR="004558FE" w:rsidRPr="00FC58A1" w:rsidRDefault="004558FE" w:rsidP="004558FE">
      <w:pPr>
        <w:numPr>
          <w:ilvl w:val="0"/>
          <w:numId w:val="28"/>
        </w:numPr>
        <w:tabs>
          <w:tab w:val="left" w:pos="426"/>
          <w:tab w:val="right" w:leader="dot" w:pos="9072"/>
        </w:tabs>
        <w:overflowPunct/>
        <w:autoSpaceDE/>
        <w:autoSpaceDN/>
        <w:adjustRightInd/>
        <w:spacing w:line="480" w:lineRule="auto"/>
        <w:ind w:left="426" w:hanging="426"/>
        <w:jc w:val="both"/>
        <w:textAlignment w:val="auto"/>
        <w:rPr>
          <w:b/>
          <w:sz w:val="24"/>
        </w:rPr>
      </w:pPr>
      <w:r w:rsidRPr="00FC58A1">
        <w:rPr>
          <w:b/>
          <w:sz w:val="24"/>
        </w:rPr>
        <w:t>Součásti cenové mapy</w:t>
      </w:r>
      <w:r w:rsidRPr="00FC58A1">
        <w:rPr>
          <w:sz w:val="24"/>
        </w:rPr>
        <w:tab/>
        <w:t>3</w:t>
      </w:r>
    </w:p>
    <w:p w14:paraId="3D28C2A3" w14:textId="77777777" w:rsidR="004558FE" w:rsidRPr="00FC58A1" w:rsidRDefault="004558FE" w:rsidP="004558FE">
      <w:pPr>
        <w:numPr>
          <w:ilvl w:val="0"/>
          <w:numId w:val="28"/>
        </w:numPr>
        <w:tabs>
          <w:tab w:val="left" w:pos="426"/>
          <w:tab w:val="right" w:leader="dot" w:pos="9072"/>
        </w:tabs>
        <w:overflowPunct/>
        <w:autoSpaceDE/>
        <w:autoSpaceDN/>
        <w:adjustRightInd/>
        <w:spacing w:line="480" w:lineRule="auto"/>
        <w:ind w:left="426" w:hanging="426"/>
        <w:jc w:val="both"/>
        <w:textAlignment w:val="auto"/>
        <w:rPr>
          <w:b/>
          <w:sz w:val="24"/>
        </w:rPr>
      </w:pPr>
      <w:r w:rsidRPr="00FC58A1">
        <w:rPr>
          <w:b/>
          <w:sz w:val="24"/>
        </w:rPr>
        <w:t xml:space="preserve">Instrukce k použití cenové mapy </w:t>
      </w:r>
      <w:r w:rsidRPr="00FC58A1">
        <w:rPr>
          <w:sz w:val="24"/>
        </w:rPr>
        <w:tab/>
        <w:t>4</w:t>
      </w:r>
    </w:p>
    <w:p w14:paraId="5FBFBB5C" w14:textId="77777777" w:rsidR="004558FE" w:rsidRPr="00EA3DB1" w:rsidRDefault="004558FE" w:rsidP="004558FE">
      <w:pPr>
        <w:numPr>
          <w:ilvl w:val="0"/>
          <w:numId w:val="28"/>
        </w:numPr>
        <w:tabs>
          <w:tab w:val="left" w:pos="426"/>
          <w:tab w:val="right" w:leader="dot" w:pos="9072"/>
        </w:tabs>
        <w:overflowPunct/>
        <w:autoSpaceDE/>
        <w:autoSpaceDN/>
        <w:adjustRightInd/>
        <w:spacing w:line="480" w:lineRule="auto"/>
        <w:ind w:left="426" w:hanging="426"/>
        <w:jc w:val="both"/>
        <w:textAlignment w:val="auto"/>
        <w:rPr>
          <w:b/>
          <w:sz w:val="24"/>
        </w:rPr>
      </w:pPr>
      <w:r w:rsidRPr="00EA3DB1">
        <w:rPr>
          <w:b/>
          <w:sz w:val="24"/>
        </w:rPr>
        <w:t>Stručná charakteristika města</w:t>
      </w:r>
      <w:r w:rsidRPr="00EA3DB1">
        <w:rPr>
          <w:sz w:val="24"/>
        </w:rPr>
        <w:tab/>
        <w:t>6</w:t>
      </w:r>
    </w:p>
    <w:p w14:paraId="59839196" w14:textId="77777777" w:rsidR="004558FE" w:rsidRPr="00EA3DB1" w:rsidRDefault="004558FE" w:rsidP="004558FE">
      <w:pPr>
        <w:numPr>
          <w:ilvl w:val="0"/>
          <w:numId w:val="28"/>
        </w:numPr>
        <w:tabs>
          <w:tab w:val="left" w:pos="426"/>
          <w:tab w:val="right" w:leader="dot" w:pos="9072"/>
        </w:tabs>
        <w:overflowPunct/>
        <w:autoSpaceDE/>
        <w:autoSpaceDN/>
        <w:adjustRightInd/>
        <w:spacing w:line="480" w:lineRule="auto"/>
        <w:ind w:left="426" w:hanging="426"/>
        <w:jc w:val="both"/>
        <w:textAlignment w:val="auto"/>
        <w:rPr>
          <w:b/>
          <w:sz w:val="24"/>
        </w:rPr>
      </w:pPr>
      <w:r w:rsidRPr="00EA3DB1">
        <w:rPr>
          <w:b/>
          <w:sz w:val="24"/>
        </w:rPr>
        <w:t xml:space="preserve">Metodika zpracování cenové mapy </w:t>
      </w:r>
      <w:r w:rsidRPr="00EA3DB1">
        <w:rPr>
          <w:sz w:val="24"/>
        </w:rPr>
        <w:tab/>
        <w:t>7</w:t>
      </w:r>
    </w:p>
    <w:p w14:paraId="2775072D" w14:textId="77777777" w:rsidR="004558FE" w:rsidRPr="00EA3DB1" w:rsidRDefault="004558FE" w:rsidP="004558FE">
      <w:pPr>
        <w:numPr>
          <w:ilvl w:val="0"/>
          <w:numId w:val="29"/>
        </w:numPr>
        <w:tabs>
          <w:tab w:val="clear" w:pos="360"/>
          <w:tab w:val="num" w:pos="851"/>
          <w:tab w:val="right" w:leader="dot" w:pos="9072"/>
        </w:tabs>
        <w:overflowPunct/>
        <w:autoSpaceDE/>
        <w:autoSpaceDN/>
        <w:adjustRightInd/>
        <w:spacing w:line="480" w:lineRule="auto"/>
        <w:ind w:left="709" w:hanging="283"/>
        <w:jc w:val="both"/>
        <w:textAlignment w:val="auto"/>
        <w:rPr>
          <w:b/>
          <w:sz w:val="24"/>
        </w:rPr>
      </w:pPr>
      <w:r w:rsidRPr="00EA3DB1">
        <w:rPr>
          <w:b/>
          <w:sz w:val="24"/>
        </w:rPr>
        <w:t>Účel zpracování</w:t>
      </w:r>
      <w:r w:rsidRPr="00EA3DB1">
        <w:rPr>
          <w:sz w:val="24"/>
        </w:rPr>
        <w:tab/>
        <w:t>7</w:t>
      </w:r>
    </w:p>
    <w:p w14:paraId="4FA12176" w14:textId="77777777" w:rsidR="004558FE" w:rsidRPr="00EA3DB1" w:rsidRDefault="004558FE" w:rsidP="004558FE">
      <w:pPr>
        <w:numPr>
          <w:ilvl w:val="0"/>
          <w:numId w:val="29"/>
        </w:numPr>
        <w:tabs>
          <w:tab w:val="clear" w:pos="360"/>
          <w:tab w:val="num" w:pos="851"/>
          <w:tab w:val="right" w:leader="dot" w:pos="9072"/>
        </w:tabs>
        <w:overflowPunct/>
        <w:autoSpaceDE/>
        <w:autoSpaceDN/>
        <w:adjustRightInd/>
        <w:spacing w:line="480" w:lineRule="auto"/>
        <w:ind w:left="709" w:hanging="283"/>
        <w:jc w:val="both"/>
        <w:textAlignment w:val="auto"/>
        <w:rPr>
          <w:b/>
          <w:sz w:val="24"/>
        </w:rPr>
      </w:pPr>
      <w:r w:rsidRPr="00EA3DB1">
        <w:rPr>
          <w:b/>
          <w:sz w:val="24"/>
        </w:rPr>
        <w:t>Postup zpracování a aktualizace cenové mapy</w:t>
      </w:r>
      <w:r w:rsidRPr="00EA3DB1">
        <w:rPr>
          <w:sz w:val="24"/>
        </w:rPr>
        <w:tab/>
        <w:t>7</w:t>
      </w:r>
    </w:p>
    <w:p w14:paraId="738D9D15" w14:textId="77777777" w:rsidR="004558FE" w:rsidRPr="00EA3DB1" w:rsidRDefault="004558FE" w:rsidP="004558FE">
      <w:pPr>
        <w:numPr>
          <w:ilvl w:val="0"/>
          <w:numId w:val="29"/>
        </w:numPr>
        <w:tabs>
          <w:tab w:val="clear" w:pos="360"/>
          <w:tab w:val="num" w:pos="851"/>
          <w:tab w:val="right" w:leader="dot" w:pos="9072"/>
        </w:tabs>
        <w:overflowPunct/>
        <w:autoSpaceDE/>
        <w:autoSpaceDN/>
        <w:adjustRightInd/>
        <w:spacing w:line="480" w:lineRule="auto"/>
        <w:ind w:left="709" w:hanging="283"/>
        <w:jc w:val="both"/>
        <w:textAlignment w:val="auto"/>
        <w:rPr>
          <w:b/>
          <w:sz w:val="24"/>
        </w:rPr>
      </w:pPr>
      <w:r w:rsidRPr="00EA3DB1">
        <w:rPr>
          <w:b/>
          <w:sz w:val="24"/>
        </w:rPr>
        <w:t>Rozbor území z hlediska šetřených charakteristik</w:t>
      </w:r>
      <w:r w:rsidRPr="00EA3DB1">
        <w:rPr>
          <w:sz w:val="24"/>
        </w:rPr>
        <w:tab/>
        <w:t>7</w:t>
      </w:r>
    </w:p>
    <w:p w14:paraId="1AD01A14" w14:textId="7551F4CC" w:rsidR="004558FE" w:rsidRPr="00EA3DB1" w:rsidRDefault="004558FE" w:rsidP="004558FE">
      <w:pPr>
        <w:numPr>
          <w:ilvl w:val="0"/>
          <w:numId w:val="29"/>
        </w:numPr>
        <w:tabs>
          <w:tab w:val="clear" w:pos="360"/>
          <w:tab w:val="num" w:pos="851"/>
          <w:tab w:val="right" w:leader="dot" w:pos="9072"/>
        </w:tabs>
        <w:overflowPunct/>
        <w:autoSpaceDE/>
        <w:autoSpaceDN/>
        <w:adjustRightInd/>
        <w:spacing w:line="480" w:lineRule="auto"/>
        <w:ind w:left="709" w:hanging="283"/>
        <w:jc w:val="both"/>
        <w:textAlignment w:val="auto"/>
        <w:rPr>
          <w:b/>
          <w:sz w:val="24"/>
        </w:rPr>
      </w:pPr>
      <w:r w:rsidRPr="00EA3DB1">
        <w:rPr>
          <w:b/>
          <w:sz w:val="24"/>
        </w:rPr>
        <w:t>Přiřazení cen jednotlivým skupinám pozemků</w:t>
      </w:r>
      <w:r w:rsidRPr="00EA3DB1">
        <w:rPr>
          <w:sz w:val="24"/>
        </w:rPr>
        <w:tab/>
      </w:r>
      <w:r w:rsidR="00961947">
        <w:rPr>
          <w:sz w:val="24"/>
        </w:rPr>
        <w:t>9</w:t>
      </w:r>
      <w:bookmarkStart w:id="0" w:name="_GoBack"/>
      <w:bookmarkEnd w:id="0"/>
    </w:p>
    <w:p w14:paraId="3C8536E0" w14:textId="77777777" w:rsidR="004558FE" w:rsidRPr="00EA3DB1" w:rsidRDefault="004558FE" w:rsidP="004558FE">
      <w:pPr>
        <w:numPr>
          <w:ilvl w:val="0"/>
          <w:numId w:val="36"/>
        </w:numPr>
        <w:tabs>
          <w:tab w:val="left" w:pos="426"/>
          <w:tab w:val="right" w:leader="dot" w:pos="9072"/>
        </w:tabs>
        <w:overflowPunct/>
        <w:autoSpaceDE/>
        <w:autoSpaceDN/>
        <w:adjustRightInd/>
        <w:spacing w:line="480" w:lineRule="auto"/>
        <w:jc w:val="both"/>
        <w:textAlignment w:val="auto"/>
        <w:rPr>
          <w:b/>
          <w:sz w:val="24"/>
        </w:rPr>
      </w:pPr>
      <w:r w:rsidRPr="00EA3DB1">
        <w:rPr>
          <w:b/>
          <w:sz w:val="24"/>
        </w:rPr>
        <w:t xml:space="preserve">Poměrové ukazatele </w:t>
      </w:r>
      <w:r w:rsidRPr="00EA3DB1">
        <w:rPr>
          <w:sz w:val="24"/>
        </w:rPr>
        <w:tab/>
        <w:t>10</w:t>
      </w:r>
    </w:p>
    <w:p w14:paraId="5D96FF66" w14:textId="6796ADB0" w:rsidR="004558FE" w:rsidRPr="00603F3C" w:rsidRDefault="004558FE" w:rsidP="004558FE">
      <w:pPr>
        <w:numPr>
          <w:ilvl w:val="0"/>
          <w:numId w:val="36"/>
        </w:numPr>
        <w:tabs>
          <w:tab w:val="left" w:pos="426"/>
          <w:tab w:val="right" w:leader="dot" w:pos="9072"/>
        </w:tabs>
        <w:overflowPunct/>
        <w:autoSpaceDE/>
        <w:autoSpaceDN/>
        <w:adjustRightInd/>
        <w:spacing w:line="480" w:lineRule="auto"/>
        <w:ind w:left="426" w:hanging="426"/>
        <w:jc w:val="both"/>
        <w:textAlignment w:val="auto"/>
        <w:rPr>
          <w:b/>
          <w:sz w:val="24"/>
        </w:rPr>
      </w:pPr>
      <w:r w:rsidRPr="00603F3C">
        <w:rPr>
          <w:b/>
          <w:sz w:val="24"/>
        </w:rPr>
        <w:t>Charakteristika trhu s pozemky</w:t>
      </w:r>
      <w:r w:rsidRPr="00603F3C">
        <w:rPr>
          <w:sz w:val="24"/>
        </w:rPr>
        <w:tab/>
        <w:t>1</w:t>
      </w:r>
      <w:r w:rsidR="008F1E99">
        <w:rPr>
          <w:sz w:val="24"/>
        </w:rPr>
        <w:t>3</w:t>
      </w:r>
    </w:p>
    <w:p w14:paraId="04D0C599" w14:textId="7550DB23" w:rsidR="004558FE" w:rsidRPr="00603F3C" w:rsidRDefault="004558FE" w:rsidP="004558FE">
      <w:pPr>
        <w:numPr>
          <w:ilvl w:val="0"/>
          <w:numId w:val="31"/>
        </w:numPr>
        <w:tabs>
          <w:tab w:val="clear" w:pos="360"/>
          <w:tab w:val="left" w:pos="851"/>
          <w:tab w:val="right" w:leader="dot" w:pos="9072"/>
        </w:tabs>
        <w:overflowPunct/>
        <w:autoSpaceDE/>
        <w:autoSpaceDN/>
        <w:adjustRightInd/>
        <w:spacing w:line="480" w:lineRule="auto"/>
        <w:ind w:left="567" w:hanging="141"/>
        <w:jc w:val="both"/>
        <w:textAlignment w:val="auto"/>
        <w:rPr>
          <w:b/>
          <w:sz w:val="24"/>
        </w:rPr>
      </w:pPr>
      <w:r w:rsidRPr="00603F3C">
        <w:rPr>
          <w:b/>
          <w:sz w:val="24"/>
        </w:rPr>
        <w:t>Všeobecná analýza</w:t>
      </w:r>
      <w:r w:rsidRPr="00603F3C">
        <w:rPr>
          <w:sz w:val="24"/>
        </w:rPr>
        <w:tab/>
        <w:t>1</w:t>
      </w:r>
      <w:r w:rsidR="008F1E99">
        <w:rPr>
          <w:sz w:val="24"/>
        </w:rPr>
        <w:t>3</w:t>
      </w:r>
    </w:p>
    <w:p w14:paraId="58393461" w14:textId="57DF312C" w:rsidR="004558FE" w:rsidRPr="00603F3C" w:rsidRDefault="004558FE" w:rsidP="004558FE">
      <w:pPr>
        <w:numPr>
          <w:ilvl w:val="0"/>
          <w:numId w:val="32"/>
        </w:numPr>
        <w:tabs>
          <w:tab w:val="clear" w:pos="360"/>
          <w:tab w:val="left" w:pos="851"/>
          <w:tab w:val="left" w:pos="2552"/>
          <w:tab w:val="right" w:leader="dot" w:pos="9072"/>
        </w:tabs>
        <w:overflowPunct/>
        <w:autoSpaceDE/>
        <w:autoSpaceDN/>
        <w:adjustRightInd/>
        <w:spacing w:line="480" w:lineRule="auto"/>
        <w:ind w:left="567" w:hanging="141"/>
        <w:jc w:val="both"/>
        <w:textAlignment w:val="auto"/>
        <w:rPr>
          <w:b/>
          <w:sz w:val="24"/>
        </w:rPr>
      </w:pPr>
      <w:r w:rsidRPr="00603F3C">
        <w:rPr>
          <w:b/>
          <w:sz w:val="24"/>
        </w:rPr>
        <w:t>Rozbor realizovaných prodejů</w:t>
      </w:r>
      <w:r w:rsidRPr="00603F3C">
        <w:rPr>
          <w:sz w:val="24"/>
        </w:rPr>
        <w:tab/>
        <w:t>1</w:t>
      </w:r>
      <w:r w:rsidR="008F1E99">
        <w:rPr>
          <w:sz w:val="24"/>
        </w:rPr>
        <w:t>9</w:t>
      </w:r>
    </w:p>
    <w:p w14:paraId="259B571D" w14:textId="45D7C14A" w:rsidR="004558FE" w:rsidRPr="008F1E99" w:rsidRDefault="004558FE" w:rsidP="004558FE">
      <w:pPr>
        <w:numPr>
          <w:ilvl w:val="0"/>
          <w:numId w:val="33"/>
        </w:numPr>
        <w:tabs>
          <w:tab w:val="left" w:pos="426"/>
          <w:tab w:val="right" w:leader="dot" w:pos="9072"/>
        </w:tabs>
        <w:overflowPunct/>
        <w:autoSpaceDE/>
        <w:autoSpaceDN/>
        <w:adjustRightInd/>
        <w:spacing w:line="480" w:lineRule="auto"/>
        <w:ind w:left="426" w:hanging="426"/>
        <w:jc w:val="both"/>
        <w:textAlignment w:val="auto"/>
        <w:rPr>
          <w:b/>
          <w:sz w:val="24"/>
        </w:rPr>
      </w:pPr>
      <w:r w:rsidRPr="008F1E99">
        <w:rPr>
          <w:b/>
          <w:sz w:val="24"/>
        </w:rPr>
        <w:t>Seznam městských obvodů a katastrálních území</w:t>
      </w:r>
      <w:r w:rsidRPr="008F1E99">
        <w:rPr>
          <w:sz w:val="24"/>
        </w:rPr>
        <w:tab/>
        <w:t>3</w:t>
      </w:r>
      <w:r w:rsidR="00894A7C" w:rsidRPr="008F1E99">
        <w:rPr>
          <w:sz w:val="24"/>
        </w:rPr>
        <w:t>1</w:t>
      </w:r>
    </w:p>
    <w:p w14:paraId="5369C043" w14:textId="77777777" w:rsidR="004558FE" w:rsidRPr="00AA5E64" w:rsidRDefault="004558FE" w:rsidP="004558FE">
      <w:pPr>
        <w:rPr>
          <w:sz w:val="24"/>
          <w:highlight w:val="yellow"/>
        </w:rPr>
      </w:pPr>
    </w:p>
    <w:p w14:paraId="1B01A42E" w14:textId="77777777" w:rsidR="004558FE" w:rsidRPr="00504DD0" w:rsidRDefault="004558FE" w:rsidP="004558FE">
      <w:pPr>
        <w:numPr>
          <w:ilvl w:val="0"/>
          <w:numId w:val="6"/>
        </w:numPr>
        <w:tabs>
          <w:tab w:val="left" w:pos="360"/>
        </w:tabs>
        <w:rPr>
          <w:b/>
          <w:sz w:val="36"/>
        </w:rPr>
      </w:pPr>
      <w:r w:rsidRPr="00AA5E64">
        <w:rPr>
          <w:sz w:val="24"/>
          <w:highlight w:val="yellow"/>
        </w:rPr>
        <w:br w:type="page"/>
      </w:r>
      <w:r w:rsidRPr="00504DD0">
        <w:rPr>
          <w:b/>
          <w:sz w:val="36"/>
        </w:rPr>
        <w:lastRenderedPageBreak/>
        <w:t>Úvod</w:t>
      </w:r>
    </w:p>
    <w:p w14:paraId="29044A62" w14:textId="77777777" w:rsidR="004558FE" w:rsidRPr="00504DD0" w:rsidRDefault="004558FE" w:rsidP="004558FE">
      <w:pPr>
        <w:pStyle w:val="Zkladntext"/>
        <w:tabs>
          <w:tab w:val="left" w:pos="5245"/>
        </w:tabs>
        <w:spacing w:before="480" w:after="240"/>
        <w:ind w:firstLine="425"/>
      </w:pPr>
      <w:r w:rsidRPr="00504DD0">
        <w:t>Aktualizovaná, v pořadí již celkově 2</w:t>
      </w:r>
      <w:r>
        <w:t>3</w:t>
      </w:r>
      <w:r w:rsidRPr="00504DD0">
        <w:t xml:space="preserve">. cenová mapa stavebních pozemků města Ostravy (dále jen </w:t>
      </w:r>
      <w:r w:rsidRPr="00504DD0">
        <w:rPr>
          <w:i/>
        </w:rPr>
        <w:t>cenová mapa</w:t>
      </w:r>
      <w:r w:rsidRPr="00504DD0">
        <w:t>), navazuje na svá předchozí vydání, která jsou uvedena v následujícím přehledu:</w:t>
      </w: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18"/>
        <w:gridCol w:w="1417"/>
        <w:gridCol w:w="1276"/>
        <w:gridCol w:w="851"/>
        <w:gridCol w:w="1559"/>
        <w:gridCol w:w="1276"/>
        <w:gridCol w:w="1275"/>
      </w:tblGrid>
      <w:tr w:rsidR="004558FE" w:rsidRPr="00504DD0" w14:paraId="07BCD72F" w14:textId="77777777" w:rsidTr="00895CB0">
        <w:trPr>
          <w:cantSplit/>
        </w:trPr>
        <w:tc>
          <w:tcPr>
            <w:tcW w:w="1418" w:type="dxa"/>
            <w:tcBorders>
              <w:top w:val="single" w:sz="12" w:space="0" w:color="auto"/>
              <w:left w:val="single" w:sz="12" w:space="0" w:color="auto"/>
              <w:bottom w:val="single" w:sz="6" w:space="0" w:color="auto"/>
              <w:right w:val="double" w:sz="12" w:space="0" w:color="auto"/>
            </w:tcBorders>
          </w:tcPr>
          <w:p w14:paraId="24A66AFE" w14:textId="77777777" w:rsidR="004558FE" w:rsidRPr="00504DD0" w:rsidRDefault="004558FE" w:rsidP="00895CB0">
            <w:pPr>
              <w:jc w:val="center"/>
            </w:pPr>
            <w:r w:rsidRPr="00504DD0">
              <w:t>pořadové číslo</w:t>
            </w:r>
          </w:p>
          <w:p w14:paraId="1F636080" w14:textId="77777777" w:rsidR="004558FE" w:rsidRPr="00504DD0" w:rsidRDefault="004558FE" w:rsidP="00895CB0">
            <w:pPr>
              <w:jc w:val="center"/>
            </w:pPr>
            <w:r w:rsidRPr="00504DD0">
              <w:rPr>
                <w:b/>
              </w:rPr>
              <w:t>CMSP</w:t>
            </w:r>
          </w:p>
        </w:tc>
        <w:tc>
          <w:tcPr>
            <w:tcW w:w="2693" w:type="dxa"/>
            <w:gridSpan w:val="2"/>
            <w:tcBorders>
              <w:top w:val="single" w:sz="12" w:space="0" w:color="auto"/>
              <w:left w:val="double" w:sz="12" w:space="0" w:color="auto"/>
              <w:bottom w:val="single" w:sz="6" w:space="0" w:color="auto"/>
              <w:right w:val="double" w:sz="12" w:space="0" w:color="auto"/>
            </w:tcBorders>
          </w:tcPr>
          <w:p w14:paraId="4279DA41" w14:textId="77777777" w:rsidR="004558FE" w:rsidRPr="00504DD0" w:rsidRDefault="004558FE" w:rsidP="00895CB0">
            <w:pPr>
              <w:jc w:val="center"/>
            </w:pPr>
            <w:r w:rsidRPr="00504DD0">
              <w:rPr>
                <w:b/>
              </w:rPr>
              <w:t>výměr MF /</w:t>
            </w:r>
            <w:r w:rsidRPr="00504DD0">
              <w:t xml:space="preserve"> </w:t>
            </w:r>
            <w:r w:rsidRPr="00504DD0">
              <w:rPr>
                <w:b/>
              </w:rPr>
              <w:t>vyhláška obce</w:t>
            </w:r>
          </w:p>
        </w:tc>
        <w:tc>
          <w:tcPr>
            <w:tcW w:w="2410" w:type="dxa"/>
            <w:gridSpan w:val="2"/>
            <w:tcBorders>
              <w:top w:val="single" w:sz="12" w:space="0" w:color="auto"/>
              <w:left w:val="double" w:sz="12" w:space="0" w:color="auto"/>
              <w:bottom w:val="single" w:sz="6" w:space="0" w:color="auto"/>
              <w:right w:val="double" w:sz="12" w:space="0" w:color="auto"/>
            </w:tcBorders>
          </w:tcPr>
          <w:p w14:paraId="57B6BB97" w14:textId="77777777" w:rsidR="004558FE" w:rsidRPr="00504DD0" w:rsidRDefault="004558FE" w:rsidP="00895CB0">
            <w:pPr>
              <w:jc w:val="center"/>
              <w:rPr>
                <w:b/>
              </w:rPr>
            </w:pPr>
            <w:r w:rsidRPr="00504DD0">
              <w:rPr>
                <w:b/>
              </w:rPr>
              <w:t>Cenový věstník MF</w:t>
            </w:r>
          </w:p>
        </w:tc>
        <w:tc>
          <w:tcPr>
            <w:tcW w:w="2551" w:type="dxa"/>
            <w:gridSpan w:val="2"/>
            <w:tcBorders>
              <w:top w:val="single" w:sz="12" w:space="0" w:color="auto"/>
              <w:left w:val="double" w:sz="12" w:space="0" w:color="auto"/>
              <w:bottom w:val="single" w:sz="6" w:space="0" w:color="auto"/>
              <w:right w:val="single" w:sz="12" w:space="0" w:color="auto"/>
            </w:tcBorders>
          </w:tcPr>
          <w:p w14:paraId="184770BE" w14:textId="77777777" w:rsidR="004558FE" w:rsidRPr="00504DD0" w:rsidRDefault="004558FE" w:rsidP="00895CB0">
            <w:pPr>
              <w:jc w:val="center"/>
              <w:rPr>
                <w:b/>
              </w:rPr>
            </w:pPr>
            <w:r w:rsidRPr="00504DD0">
              <w:rPr>
                <w:b/>
              </w:rPr>
              <w:t>Účinnost</w:t>
            </w:r>
          </w:p>
        </w:tc>
      </w:tr>
      <w:tr w:rsidR="004558FE" w:rsidRPr="00504DD0" w14:paraId="0C99B548" w14:textId="77777777" w:rsidTr="00895CB0">
        <w:trPr>
          <w:cantSplit/>
        </w:trPr>
        <w:tc>
          <w:tcPr>
            <w:tcW w:w="1418" w:type="dxa"/>
            <w:tcBorders>
              <w:top w:val="single" w:sz="6" w:space="0" w:color="auto"/>
              <w:left w:val="single" w:sz="12" w:space="0" w:color="auto"/>
              <w:bottom w:val="double" w:sz="12" w:space="0" w:color="auto"/>
              <w:right w:val="double" w:sz="12" w:space="0" w:color="auto"/>
            </w:tcBorders>
          </w:tcPr>
          <w:p w14:paraId="7297D55A" w14:textId="77777777" w:rsidR="004558FE" w:rsidRPr="00504DD0" w:rsidRDefault="004558FE" w:rsidP="00895CB0">
            <w:pPr>
              <w:jc w:val="center"/>
            </w:pPr>
          </w:p>
        </w:tc>
        <w:tc>
          <w:tcPr>
            <w:tcW w:w="1417" w:type="dxa"/>
            <w:tcBorders>
              <w:top w:val="single" w:sz="6" w:space="0" w:color="auto"/>
              <w:left w:val="double" w:sz="12" w:space="0" w:color="auto"/>
              <w:bottom w:val="double" w:sz="12" w:space="0" w:color="auto"/>
              <w:right w:val="single" w:sz="6" w:space="0" w:color="auto"/>
            </w:tcBorders>
          </w:tcPr>
          <w:p w14:paraId="45E0CF23" w14:textId="77777777" w:rsidR="004558FE" w:rsidRPr="00504DD0" w:rsidRDefault="004558FE" w:rsidP="00895CB0">
            <w:pPr>
              <w:jc w:val="center"/>
            </w:pPr>
            <w:r w:rsidRPr="00504DD0">
              <w:t>číslo</w:t>
            </w:r>
          </w:p>
        </w:tc>
        <w:tc>
          <w:tcPr>
            <w:tcW w:w="1276" w:type="dxa"/>
            <w:tcBorders>
              <w:top w:val="single" w:sz="6" w:space="0" w:color="auto"/>
              <w:left w:val="single" w:sz="6" w:space="0" w:color="auto"/>
              <w:bottom w:val="double" w:sz="12" w:space="0" w:color="auto"/>
              <w:right w:val="double" w:sz="12" w:space="0" w:color="auto"/>
            </w:tcBorders>
          </w:tcPr>
          <w:p w14:paraId="5C774BB4" w14:textId="77777777" w:rsidR="004558FE" w:rsidRPr="00504DD0" w:rsidRDefault="004558FE" w:rsidP="00895CB0">
            <w:pPr>
              <w:pStyle w:val="Zhlav"/>
              <w:tabs>
                <w:tab w:val="clear" w:pos="4536"/>
                <w:tab w:val="clear" w:pos="9072"/>
              </w:tabs>
              <w:jc w:val="center"/>
            </w:pPr>
            <w:r w:rsidRPr="00504DD0">
              <w:t>ze dne</w:t>
            </w:r>
          </w:p>
        </w:tc>
        <w:tc>
          <w:tcPr>
            <w:tcW w:w="851" w:type="dxa"/>
            <w:tcBorders>
              <w:top w:val="single" w:sz="6" w:space="0" w:color="auto"/>
              <w:left w:val="double" w:sz="12" w:space="0" w:color="auto"/>
              <w:bottom w:val="double" w:sz="12" w:space="0" w:color="auto"/>
              <w:right w:val="single" w:sz="6" w:space="0" w:color="auto"/>
            </w:tcBorders>
          </w:tcPr>
          <w:p w14:paraId="67A017FF" w14:textId="77777777" w:rsidR="004558FE" w:rsidRPr="00504DD0" w:rsidRDefault="004558FE" w:rsidP="00895CB0">
            <w:pPr>
              <w:jc w:val="center"/>
            </w:pPr>
            <w:r w:rsidRPr="00504DD0">
              <w:t>částka</w:t>
            </w:r>
          </w:p>
        </w:tc>
        <w:tc>
          <w:tcPr>
            <w:tcW w:w="1559" w:type="dxa"/>
            <w:tcBorders>
              <w:top w:val="single" w:sz="6" w:space="0" w:color="auto"/>
              <w:left w:val="single" w:sz="6" w:space="0" w:color="auto"/>
              <w:bottom w:val="double" w:sz="12" w:space="0" w:color="auto"/>
              <w:right w:val="double" w:sz="12" w:space="0" w:color="auto"/>
            </w:tcBorders>
          </w:tcPr>
          <w:p w14:paraId="03C58927" w14:textId="77777777" w:rsidR="004558FE" w:rsidRPr="00504DD0" w:rsidRDefault="004558FE" w:rsidP="00895CB0">
            <w:pPr>
              <w:jc w:val="center"/>
            </w:pPr>
            <w:r w:rsidRPr="00504DD0">
              <w:t>ze dne</w:t>
            </w:r>
          </w:p>
        </w:tc>
        <w:tc>
          <w:tcPr>
            <w:tcW w:w="1276" w:type="dxa"/>
            <w:tcBorders>
              <w:top w:val="single" w:sz="6" w:space="0" w:color="auto"/>
              <w:left w:val="double" w:sz="12" w:space="0" w:color="auto"/>
              <w:bottom w:val="double" w:sz="12" w:space="0" w:color="auto"/>
              <w:right w:val="single" w:sz="6" w:space="0" w:color="auto"/>
            </w:tcBorders>
          </w:tcPr>
          <w:p w14:paraId="4C2B45C7" w14:textId="77777777" w:rsidR="004558FE" w:rsidRPr="00504DD0" w:rsidRDefault="004558FE" w:rsidP="00895CB0">
            <w:pPr>
              <w:jc w:val="center"/>
            </w:pPr>
            <w:proofErr w:type="gramStart"/>
            <w:r w:rsidRPr="00504DD0">
              <w:t>od</w:t>
            </w:r>
            <w:proofErr w:type="gramEnd"/>
          </w:p>
        </w:tc>
        <w:tc>
          <w:tcPr>
            <w:tcW w:w="1275" w:type="dxa"/>
            <w:tcBorders>
              <w:top w:val="single" w:sz="6" w:space="0" w:color="auto"/>
              <w:left w:val="single" w:sz="6" w:space="0" w:color="auto"/>
              <w:bottom w:val="double" w:sz="12" w:space="0" w:color="auto"/>
              <w:right w:val="single" w:sz="12" w:space="0" w:color="auto"/>
            </w:tcBorders>
          </w:tcPr>
          <w:p w14:paraId="3320CE5E" w14:textId="77777777" w:rsidR="004558FE" w:rsidRPr="00504DD0" w:rsidRDefault="004558FE" w:rsidP="00895CB0">
            <w:pPr>
              <w:ind w:left="360"/>
            </w:pPr>
            <w:proofErr w:type="gramStart"/>
            <w:r w:rsidRPr="00504DD0">
              <w:t>do</w:t>
            </w:r>
            <w:proofErr w:type="gramEnd"/>
          </w:p>
        </w:tc>
      </w:tr>
      <w:tr w:rsidR="004558FE" w:rsidRPr="00504DD0" w14:paraId="471CFD83" w14:textId="77777777" w:rsidTr="00895CB0">
        <w:tc>
          <w:tcPr>
            <w:tcW w:w="1418" w:type="dxa"/>
            <w:tcBorders>
              <w:top w:val="double" w:sz="12" w:space="0" w:color="auto"/>
              <w:left w:val="single" w:sz="12" w:space="0" w:color="auto"/>
              <w:bottom w:val="single" w:sz="6" w:space="0" w:color="auto"/>
              <w:right w:val="double" w:sz="12" w:space="0" w:color="auto"/>
            </w:tcBorders>
          </w:tcPr>
          <w:p w14:paraId="7FCC496B" w14:textId="77777777" w:rsidR="004558FE" w:rsidRPr="00504DD0" w:rsidRDefault="004558FE" w:rsidP="00895CB0">
            <w:pPr>
              <w:jc w:val="center"/>
            </w:pPr>
            <w:r w:rsidRPr="00504DD0">
              <w:t>1</w:t>
            </w:r>
          </w:p>
        </w:tc>
        <w:tc>
          <w:tcPr>
            <w:tcW w:w="1417" w:type="dxa"/>
            <w:tcBorders>
              <w:top w:val="double" w:sz="12" w:space="0" w:color="auto"/>
              <w:left w:val="double" w:sz="12" w:space="0" w:color="auto"/>
              <w:bottom w:val="single" w:sz="6" w:space="0" w:color="auto"/>
              <w:right w:val="single" w:sz="6" w:space="0" w:color="auto"/>
            </w:tcBorders>
          </w:tcPr>
          <w:p w14:paraId="5B298BE6" w14:textId="77777777" w:rsidR="004558FE" w:rsidRPr="00504DD0" w:rsidRDefault="004558FE" w:rsidP="00895CB0">
            <w:pPr>
              <w:jc w:val="center"/>
            </w:pPr>
            <w:r w:rsidRPr="00504DD0">
              <w:t>10/16/1992</w:t>
            </w:r>
          </w:p>
        </w:tc>
        <w:tc>
          <w:tcPr>
            <w:tcW w:w="1276" w:type="dxa"/>
            <w:tcBorders>
              <w:top w:val="double" w:sz="12" w:space="0" w:color="auto"/>
              <w:left w:val="single" w:sz="6" w:space="0" w:color="auto"/>
              <w:bottom w:val="single" w:sz="6" w:space="0" w:color="auto"/>
              <w:right w:val="double" w:sz="12" w:space="0" w:color="auto"/>
            </w:tcBorders>
          </w:tcPr>
          <w:p w14:paraId="63E8E453" w14:textId="77777777" w:rsidR="004558FE" w:rsidRPr="00504DD0" w:rsidRDefault="004558FE" w:rsidP="00895CB0">
            <w:pPr>
              <w:jc w:val="center"/>
            </w:pPr>
            <w:proofErr w:type="gramStart"/>
            <w:r w:rsidRPr="00504DD0">
              <w:t>4.11.1992</w:t>
            </w:r>
            <w:proofErr w:type="gramEnd"/>
          </w:p>
        </w:tc>
        <w:tc>
          <w:tcPr>
            <w:tcW w:w="851" w:type="dxa"/>
            <w:tcBorders>
              <w:top w:val="double" w:sz="12" w:space="0" w:color="auto"/>
              <w:left w:val="double" w:sz="12" w:space="0" w:color="auto"/>
              <w:bottom w:val="single" w:sz="6" w:space="0" w:color="auto"/>
              <w:right w:val="single" w:sz="6" w:space="0" w:color="auto"/>
            </w:tcBorders>
          </w:tcPr>
          <w:p w14:paraId="788C21F6" w14:textId="77777777" w:rsidR="004558FE" w:rsidRPr="00504DD0" w:rsidRDefault="004558FE" w:rsidP="00895CB0">
            <w:pPr>
              <w:jc w:val="center"/>
            </w:pPr>
            <w:r w:rsidRPr="00504DD0">
              <w:t>47</w:t>
            </w:r>
          </w:p>
        </w:tc>
        <w:tc>
          <w:tcPr>
            <w:tcW w:w="1559" w:type="dxa"/>
            <w:tcBorders>
              <w:top w:val="double" w:sz="12" w:space="0" w:color="auto"/>
              <w:left w:val="single" w:sz="6" w:space="0" w:color="auto"/>
              <w:bottom w:val="single" w:sz="6" w:space="0" w:color="auto"/>
              <w:right w:val="double" w:sz="12" w:space="0" w:color="auto"/>
            </w:tcBorders>
          </w:tcPr>
          <w:p w14:paraId="32FFC418" w14:textId="77777777" w:rsidR="004558FE" w:rsidRPr="00504DD0" w:rsidRDefault="004558FE" w:rsidP="00895CB0">
            <w:pPr>
              <w:jc w:val="center"/>
            </w:pPr>
            <w:proofErr w:type="gramStart"/>
            <w:r w:rsidRPr="00504DD0">
              <w:t>30.11.1992</w:t>
            </w:r>
            <w:proofErr w:type="gramEnd"/>
          </w:p>
        </w:tc>
        <w:tc>
          <w:tcPr>
            <w:tcW w:w="1276" w:type="dxa"/>
            <w:tcBorders>
              <w:top w:val="double" w:sz="12" w:space="0" w:color="auto"/>
              <w:left w:val="double" w:sz="12" w:space="0" w:color="auto"/>
              <w:bottom w:val="single" w:sz="6" w:space="0" w:color="auto"/>
              <w:right w:val="single" w:sz="6" w:space="0" w:color="auto"/>
            </w:tcBorders>
          </w:tcPr>
          <w:p w14:paraId="19128B96" w14:textId="77777777" w:rsidR="004558FE" w:rsidRPr="00504DD0" w:rsidRDefault="004558FE" w:rsidP="00895CB0">
            <w:pPr>
              <w:jc w:val="center"/>
            </w:pPr>
            <w:proofErr w:type="gramStart"/>
            <w:r w:rsidRPr="00504DD0">
              <w:t>1.01.1993</w:t>
            </w:r>
            <w:proofErr w:type="gramEnd"/>
          </w:p>
        </w:tc>
        <w:tc>
          <w:tcPr>
            <w:tcW w:w="1275" w:type="dxa"/>
            <w:tcBorders>
              <w:top w:val="double" w:sz="12" w:space="0" w:color="auto"/>
              <w:left w:val="single" w:sz="6" w:space="0" w:color="auto"/>
              <w:bottom w:val="single" w:sz="6" w:space="0" w:color="auto"/>
              <w:right w:val="single" w:sz="12" w:space="0" w:color="auto"/>
            </w:tcBorders>
          </w:tcPr>
          <w:p w14:paraId="7781BC2D" w14:textId="77777777" w:rsidR="004558FE" w:rsidRPr="00504DD0" w:rsidRDefault="004558FE" w:rsidP="00895CB0">
            <w:pPr>
              <w:jc w:val="center"/>
            </w:pPr>
            <w:proofErr w:type="gramStart"/>
            <w:r w:rsidRPr="00504DD0">
              <w:t>30.06.1995</w:t>
            </w:r>
            <w:proofErr w:type="gramEnd"/>
          </w:p>
        </w:tc>
      </w:tr>
      <w:tr w:rsidR="004558FE" w:rsidRPr="00504DD0" w14:paraId="2225DB34" w14:textId="77777777" w:rsidTr="00895CB0">
        <w:tc>
          <w:tcPr>
            <w:tcW w:w="1418" w:type="dxa"/>
            <w:tcBorders>
              <w:top w:val="single" w:sz="6" w:space="0" w:color="auto"/>
              <w:left w:val="single" w:sz="12" w:space="0" w:color="auto"/>
              <w:bottom w:val="single" w:sz="6" w:space="0" w:color="auto"/>
              <w:right w:val="double" w:sz="12" w:space="0" w:color="auto"/>
            </w:tcBorders>
          </w:tcPr>
          <w:p w14:paraId="3E366B79" w14:textId="77777777" w:rsidR="004558FE" w:rsidRPr="00504DD0" w:rsidRDefault="004558FE" w:rsidP="00895CB0">
            <w:pPr>
              <w:jc w:val="center"/>
            </w:pPr>
            <w:r w:rsidRPr="00504DD0">
              <w:t>2</w:t>
            </w:r>
          </w:p>
        </w:tc>
        <w:tc>
          <w:tcPr>
            <w:tcW w:w="1417" w:type="dxa"/>
            <w:tcBorders>
              <w:top w:val="single" w:sz="6" w:space="0" w:color="auto"/>
              <w:left w:val="double" w:sz="12" w:space="0" w:color="auto"/>
              <w:bottom w:val="single" w:sz="6" w:space="0" w:color="auto"/>
              <w:right w:val="single" w:sz="6" w:space="0" w:color="auto"/>
            </w:tcBorders>
          </w:tcPr>
          <w:p w14:paraId="48C5D57A" w14:textId="77777777" w:rsidR="004558FE" w:rsidRPr="00504DD0" w:rsidRDefault="004558FE" w:rsidP="00895CB0">
            <w:pPr>
              <w:jc w:val="center"/>
            </w:pPr>
            <w:r w:rsidRPr="00504DD0">
              <w:t>10/2000</w:t>
            </w:r>
          </w:p>
        </w:tc>
        <w:tc>
          <w:tcPr>
            <w:tcW w:w="1276" w:type="dxa"/>
            <w:tcBorders>
              <w:top w:val="single" w:sz="6" w:space="0" w:color="auto"/>
              <w:left w:val="single" w:sz="6" w:space="0" w:color="auto"/>
              <w:bottom w:val="single" w:sz="6" w:space="0" w:color="auto"/>
              <w:right w:val="double" w:sz="12" w:space="0" w:color="auto"/>
            </w:tcBorders>
          </w:tcPr>
          <w:p w14:paraId="689B7EF6" w14:textId="77777777" w:rsidR="004558FE" w:rsidRPr="00504DD0" w:rsidRDefault="004558FE" w:rsidP="00895CB0">
            <w:pPr>
              <w:jc w:val="center"/>
            </w:pPr>
            <w:proofErr w:type="gramStart"/>
            <w:r w:rsidRPr="00504DD0">
              <w:t>12.09.2000</w:t>
            </w:r>
            <w:proofErr w:type="gramEnd"/>
          </w:p>
        </w:tc>
        <w:tc>
          <w:tcPr>
            <w:tcW w:w="851" w:type="dxa"/>
            <w:tcBorders>
              <w:top w:val="single" w:sz="6" w:space="0" w:color="auto"/>
              <w:left w:val="double" w:sz="12" w:space="0" w:color="auto"/>
              <w:bottom w:val="single" w:sz="6" w:space="0" w:color="auto"/>
              <w:right w:val="single" w:sz="6" w:space="0" w:color="auto"/>
            </w:tcBorders>
          </w:tcPr>
          <w:p w14:paraId="306294CF" w14:textId="77777777" w:rsidR="004558FE" w:rsidRPr="00504DD0" w:rsidRDefault="004558FE" w:rsidP="00895CB0">
            <w:pPr>
              <w:jc w:val="center"/>
            </w:pPr>
            <w:r w:rsidRPr="00504DD0">
              <w:t>4</w:t>
            </w:r>
          </w:p>
        </w:tc>
        <w:tc>
          <w:tcPr>
            <w:tcW w:w="1559" w:type="dxa"/>
            <w:tcBorders>
              <w:top w:val="single" w:sz="6" w:space="0" w:color="auto"/>
              <w:left w:val="single" w:sz="6" w:space="0" w:color="auto"/>
              <w:bottom w:val="single" w:sz="6" w:space="0" w:color="auto"/>
              <w:right w:val="double" w:sz="12" w:space="0" w:color="auto"/>
            </w:tcBorders>
          </w:tcPr>
          <w:p w14:paraId="50F3A330" w14:textId="77777777" w:rsidR="004558FE" w:rsidRPr="00504DD0" w:rsidRDefault="004558FE" w:rsidP="00895CB0">
            <w:pPr>
              <w:jc w:val="center"/>
            </w:pPr>
            <w:proofErr w:type="gramStart"/>
            <w:r w:rsidRPr="00504DD0">
              <w:t>9.01.2001</w:t>
            </w:r>
            <w:proofErr w:type="gramEnd"/>
          </w:p>
        </w:tc>
        <w:tc>
          <w:tcPr>
            <w:tcW w:w="1276" w:type="dxa"/>
            <w:tcBorders>
              <w:top w:val="single" w:sz="6" w:space="0" w:color="auto"/>
              <w:left w:val="double" w:sz="12" w:space="0" w:color="auto"/>
              <w:bottom w:val="single" w:sz="6" w:space="0" w:color="auto"/>
              <w:right w:val="single" w:sz="6" w:space="0" w:color="auto"/>
            </w:tcBorders>
          </w:tcPr>
          <w:p w14:paraId="2DC8480C" w14:textId="77777777" w:rsidR="004558FE" w:rsidRPr="00504DD0" w:rsidRDefault="004558FE" w:rsidP="00895CB0">
            <w:pPr>
              <w:jc w:val="center"/>
            </w:pPr>
            <w:proofErr w:type="gramStart"/>
            <w:r w:rsidRPr="00504DD0">
              <w:t>1.10.2000</w:t>
            </w:r>
            <w:proofErr w:type="gramEnd"/>
          </w:p>
        </w:tc>
        <w:tc>
          <w:tcPr>
            <w:tcW w:w="1275" w:type="dxa"/>
            <w:tcBorders>
              <w:top w:val="single" w:sz="6" w:space="0" w:color="auto"/>
              <w:left w:val="single" w:sz="6" w:space="0" w:color="auto"/>
              <w:bottom w:val="single" w:sz="6" w:space="0" w:color="auto"/>
              <w:right w:val="single" w:sz="12" w:space="0" w:color="auto"/>
            </w:tcBorders>
          </w:tcPr>
          <w:p w14:paraId="7780C581" w14:textId="77777777" w:rsidR="004558FE" w:rsidRPr="00504DD0" w:rsidRDefault="004558FE" w:rsidP="00895CB0">
            <w:pPr>
              <w:jc w:val="center"/>
            </w:pPr>
            <w:proofErr w:type="gramStart"/>
            <w:r w:rsidRPr="00504DD0">
              <w:t>13.11.2002</w:t>
            </w:r>
            <w:proofErr w:type="gramEnd"/>
          </w:p>
        </w:tc>
      </w:tr>
      <w:tr w:rsidR="004558FE" w:rsidRPr="00504DD0" w14:paraId="2049A46F" w14:textId="77777777" w:rsidTr="00895CB0">
        <w:tc>
          <w:tcPr>
            <w:tcW w:w="1418" w:type="dxa"/>
            <w:tcBorders>
              <w:top w:val="single" w:sz="6" w:space="0" w:color="auto"/>
              <w:left w:val="single" w:sz="12" w:space="0" w:color="auto"/>
              <w:bottom w:val="single" w:sz="6" w:space="0" w:color="auto"/>
              <w:right w:val="double" w:sz="12" w:space="0" w:color="auto"/>
            </w:tcBorders>
          </w:tcPr>
          <w:p w14:paraId="21571E9A" w14:textId="77777777" w:rsidR="004558FE" w:rsidRPr="00504DD0" w:rsidRDefault="004558FE" w:rsidP="00895CB0">
            <w:pPr>
              <w:jc w:val="center"/>
            </w:pPr>
            <w:r w:rsidRPr="00504DD0">
              <w:t>3</w:t>
            </w:r>
          </w:p>
        </w:tc>
        <w:tc>
          <w:tcPr>
            <w:tcW w:w="1417" w:type="dxa"/>
            <w:tcBorders>
              <w:top w:val="single" w:sz="6" w:space="0" w:color="auto"/>
              <w:left w:val="double" w:sz="12" w:space="0" w:color="auto"/>
              <w:bottom w:val="single" w:sz="6" w:space="0" w:color="auto"/>
              <w:right w:val="single" w:sz="6" w:space="0" w:color="auto"/>
            </w:tcBorders>
          </w:tcPr>
          <w:p w14:paraId="263DC314" w14:textId="77777777" w:rsidR="004558FE" w:rsidRPr="00504DD0" w:rsidRDefault="004558FE" w:rsidP="00895CB0">
            <w:pPr>
              <w:jc w:val="center"/>
            </w:pPr>
            <w:r w:rsidRPr="00504DD0">
              <w:t>10/2002</w:t>
            </w:r>
          </w:p>
        </w:tc>
        <w:tc>
          <w:tcPr>
            <w:tcW w:w="1276" w:type="dxa"/>
            <w:tcBorders>
              <w:top w:val="single" w:sz="6" w:space="0" w:color="auto"/>
              <w:left w:val="single" w:sz="6" w:space="0" w:color="auto"/>
              <w:bottom w:val="single" w:sz="6" w:space="0" w:color="auto"/>
              <w:right w:val="double" w:sz="12" w:space="0" w:color="auto"/>
            </w:tcBorders>
          </w:tcPr>
          <w:p w14:paraId="2A719488" w14:textId="77777777" w:rsidR="004558FE" w:rsidRPr="00504DD0" w:rsidRDefault="004558FE" w:rsidP="00895CB0">
            <w:pPr>
              <w:jc w:val="center"/>
            </w:pPr>
            <w:proofErr w:type="gramStart"/>
            <w:r w:rsidRPr="00504DD0">
              <w:t>30.10.2002</w:t>
            </w:r>
            <w:proofErr w:type="gramEnd"/>
          </w:p>
        </w:tc>
        <w:tc>
          <w:tcPr>
            <w:tcW w:w="851" w:type="dxa"/>
            <w:tcBorders>
              <w:top w:val="single" w:sz="6" w:space="0" w:color="auto"/>
              <w:left w:val="double" w:sz="12" w:space="0" w:color="auto"/>
              <w:bottom w:val="single" w:sz="6" w:space="0" w:color="auto"/>
              <w:right w:val="single" w:sz="6" w:space="0" w:color="auto"/>
            </w:tcBorders>
          </w:tcPr>
          <w:p w14:paraId="625BFD12" w14:textId="77777777" w:rsidR="004558FE" w:rsidRPr="00504DD0" w:rsidRDefault="004558FE" w:rsidP="00895CB0">
            <w:pPr>
              <w:jc w:val="center"/>
            </w:pPr>
            <w:r w:rsidRPr="00504DD0">
              <w:t>23</w:t>
            </w:r>
          </w:p>
        </w:tc>
        <w:tc>
          <w:tcPr>
            <w:tcW w:w="1559" w:type="dxa"/>
            <w:tcBorders>
              <w:top w:val="single" w:sz="6" w:space="0" w:color="auto"/>
              <w:left w:val="single" w:sz="6" w:space="0" w:color="auto"/>
              <w:bottom w:val="single" w:sz="6" w:space="0" w:color="auto"/>
              <w:right w:val="double" w:sz="12" w:space="0" w:color="auto"/>
            </w:tcBorders>
          </w:tcPr>
          <w:p w14:paraId="7E08894E" w14:textId="77777777" w:rsidR="004558FE" w:rsidRPr="00504DD0" w:rsidRDefault="004558FE" w:rsidP="00895CB0">
            <w:pPr>
              <w:jc w:val="center"/>
            </w:pPr>
            <w:proofErr w:type="gramStart"/>
            <w:r w:rsidRPr="00504DD0">
              <w:t>18.12.2002</w:t>
            </w:r>
            <w:proofErr w:type="gramEnd"/>
          </w:p>
        </w:tc>
        <w:tc>
          <w:tcPr>
            <w:tcW w:w="1276" w:type="dxa"/>
            <w:tcBorders>
              <w:top w:val="single" w:sz="6" w:space="0" w:color="auto"/>
              <w:left w:val="double" w:sz="12" w:space="0" w:color="auto"/>
              <w:bottom w:val="single" w:sz="6" w:space="0" w:color="auto"/>
              <w:right w:val="single" w:sz="6" w:space="0" w:color="auto"/>
            </w:tcBorders>
          </w:tcPr>
          <w:p w14:paraId="28887983" w14:textId="77777777" w:rsidR="004558FE" w:rsidRPr="00504DD0" w:rsidRDefault="004558FE" w:rsidP="00895CB0">
            <w:pPr>
              <w:jc w:val="center"/>
            </w:pPr>
            <w:proofErr w:type="gramStart"/>
            <w:r w:rsidRPr="00504DD0">
              <w:t>14.11.2002</w:t>
            </w:r>
            <w:proofErr w:type="gramEnd"/>
          </w:p>
        </w:tc>
        <w:tc>
          <w:tcPr>
            <w:tcW w:w="1275" w:type="dxa"/>
            <w:tcBorders>
              <w:top w:val="single" w:sz="6" w:space="0" w:color="auto"/>
              <w:left w:val="single" w:sz="6" w:space="0" w:color="auto"/>
              <w:bottom w:val="single" w:sz="6" w:space="0" w:color="auto"/>
              <w:right w:val="single" w:sz="12" w:space="0" w:color="auto"/>
            </w:tcBorders>
          </w:tcPr>
          <w:p w14:paraId="16AA59F4" w14:textId="77777777" w:rsidR="004558FE" w:rsidRPr="00504DD0" w:rsidRDefault="004558FE" w:rsidP="00895CB0">
            <w:pPr>
              <w:jc w:val="center"/>
            </w:pPr>
            <w:proofErr w:type="gramStart"/>
            <w:r w:rsidRPr="00504DD0">
              <w:t>31.05.2004</w:t>
            </w:r>
            <w:proofErr w:type="gramEnd"/>
          </w:p>
        </w:tc>
      </w:tr>
      <w:tr w:rsidR="004558FE" w:rsidRPr="00504DD0" w14:paraId="11BEEBC4" w14:textId="77777777" w:rsidTr="00895CB0">
        <w:tc>
          <w:tcPr>
            <w:tcW w:w="1418" w:type="dxa"/>
            <w:tcBorders>
              <w:top w:val="single" w:sz="6" w:space="0" w:color="auto"/>
              <w:left w:val="single" w:sz="12" w:space="0" w:color="auto"/>
              <w:bottom w:val="single" w:sz="6" w:space="0" w:color="auto"/>
              <w:right w:val="double" w:sz="12" w:space="0" w:color="auto"/>
            </w:tcBorders>
          </w:tcPr>
          <w:p w14:paraId="4435F20B" w14:textId="77777777" w:rsidR="004558FE" w:rsidRPr="00504DD0" w:rsidRDefault="004558FE" w:rsidP="00895CB0">
            <w:pPr>
              <w:jc w:val="center"/>
            </w:pPr>
            <w:r w:rsidRPr="00504DD0">
              <w:t>4</w:t>
            </w:r>
          </w:p>
        </w:tc>
        <w:tc>
          <w:tcPr>
            <w:tcW w:w="1417" w:type="dxa"/>
            <w:tcBorders>
              <w:top w:val="single" w:sz="6" w:space="0" w:color="auto"/>
              <w:left w:val="double" w:sz="12" w:space="0" w:color="auto"/>
              <w:bottom w:val="single" w:sz="6" w:space="0" w:color="auto"/>
              <w:right w:val="single" w:sz="6" w:space="0" w:color="auto"/>
            </w:tcBorders>
          </w:tcPr>
          <w:p w14:paraId="649360EB" w14:textId="77777777" w:rsidR="004558FE" w:rsidRPr="00504DD0" w:rsidRDefault="004558FE" w:rsidP="00895CB0">
            <w:pPr>
              <w:jc w:val="center"/>
            </w:pPr>
            <w:r w:rsidRPr="00504DD0">
              <w:t>7/2004</w:t>
            </w:r>
          </w:p>
        </w:tc>
        <w:tc>
          <w:tcPr>
            <w:tcW w:w="1276" w:type="dxa"/>
            <w:tcBorders>
              <w:top w:val="single" w:sz="6" w:space="0" w:color="auto"/>
              <w:left w:val="single" w:sz="6" w:space="0" w:color="auto"/>
              <w:bottom w:val="single" w:sz="6" w:space="0" w:color="auto"/>
              <w:right w:val="double" w:sz="12" w:space="0" w:color="auto"/>
            </w:tcBorders>
          </w:tcPr>
          <w:p w14:paraId="04F9F7CF" w14:textId="77777777" w:rsidR="004558FE" w:rsidRPr="00504DD0" w:rsidRDefault="004558FE" w:rsidP="00895CB0">
            <w:pPr>
              <w:jc w:val="center"/>
            </w:pPr>
            <w:proofErr w:type="gramStart"/>
            <w:r w:rsidRPr="00504DD0">
              <w:t>12.05.2004</w:t>
            </w:r>
            <w:proofErr w:type="gramEnd"/>
          </w:p>
        </w:tc>
        <w:tc>
          <w:tcPr>
            <w:tcW w:w="851" w:type="dxa"/>
            <w:tcBorders>
              <w:top w:val="single" w:sz="6" w:space="0" w:color="auto"/>
              <w:left w:val="double" w:sz="12" w:space="0" w:color="auto"/>
              <w:bottom w:val="single" w:sz="6" w:space="0" w:color="auto"/>
              <w:right w:val="single" w:sz="6" w:space="0" w:color="auto"/>
            </w:tcBorders>
          </w:tcPr>
          <w:p w14:paraId="04A46AEA" w14:textId="77777777" w:rsidR="004558FE" w:rsidRPr="00504DD0" w:rsidRDefault="004558FE" w:rsidP="00895CB0">
            <w:pPr>
              <w:jc w:val="center"/>
            </w:pPr>
            <w:r w:rsidRPr="00504DD0">
              <w:t>8</w:t>
            </w:r>
          </w:p>
        </w:tc>
        <w:tc>
          <w:tcPr>
            <w:tcW w:w="1559" w:type="dxa"/>
            <w:tcBorders>
              <w:top w:val="single" w:sz="6" w:space="0" w:color="auto"/>
              <w:left w:val="single" w:sz="6" w:space="0" w:color="auto"/>
              <w:bottom w:val="single" w:sz="6" w:space="0" w:color="auto"/>
              <w:right w:val="double" w:sz="12" w:space="0" w:color="auto"/>
            </w:tcBorders>
          </w:tcPr>
          <w:p w14:paraId="32A634A7" w14:textId="77777777" w:rsidR="004558FE" w:rsidRPr="00504DD0" w:rsidRDefault="004558FE" w:rsidP="00895CB0">
            <w:pPr>
              <w:jc w:val="center"/>
            </w:pPr>
            <w:proofErr w:type="gramStart"/>
            <w:r w:rsidRPr="00504DD0">
              <w:t>28.06.2004</w:t>
            </w:r>
            <w:proofErr w:type="gramEnd"/>
          </w:p>
        </w:tc>
        <w:tc>
          <w:tcPr>
            <w:tcW w:w="1276" w:type="dxa"/>
            <w:tcBorders>
              <w:top w:val="single" w:sz="6" w:space="0" w:color="auto"/>
              <w:left w:val="double" w:sz="12" w:space="0" w:color="auto"/>
              <w:bottom w:val="single" w:sz="6" w:space="0" w:color="auto"/>
              <w:right w:val="single" w:sz="6" w:space="0" w:color="auto"/>
            </w:tcBorders>
          </w:tcPr>
          <w:p w14:paraId="2D3EB380" w14:textId="77777777" w:rsidR="004558FE" w:rsidRPr="00504DD0" w:rsidRDefault="004558FE" w:rsidP="00895CB0">
            <w:pPr>
              <w:jc w:val="center"/>
            </w:pPr>
            <w:proofErr w:type="gramStart"/>
            <w:r w:rsidRPr="00504DD0">
              <w:t>1.06.2004</w:t>
            </w:r>
            <w:proofErr w:type="gramEnd"/>
          </w:p>
        </w:tc>
        <w:tc>
          <w:tcPr>
            <w:tcW w:w="1275" w:type="dxa"/>
            <w:tcBorders>
              <w:top w:val="single" w:sz="6" w:space="0" w:color="auto"/>
              <w:left w:val="single" w:sz="6" w:space="0" w:color="auto"/>
              <w:bottom w:val="single" w:sz="6" w:space="0" w:color="auto"/>
              <w:right w:val="single" w:sz="12" w:space="0" w:color="auto"/>
            </w:tcBorders>
          </w:tcPr>
          <w:p w14:paraId="5978FE41" w14:textId="77777777" w:rsidR="004558FE" w:rsidRPr="00504DD0" w:rsidRDefault="004558FE" w:rsidP="00895CB0">
            <w:pPr>
              <w:jc w:val="center"/>
            </w:pPr>
            <w:proofErr w:type="gramStart"/>
            <w:r w:rsidRPr="00504DD0">
              <w:t>31.12.2004</w:t>
            </w:r>
            <w:proofErr w:type="gramEnd"/>
          </w:p>
        </w:tc>
      </w:tr>
      <w:tr w:rsidR="004558FE" w:rsidRPr="00504DD0" w14:paraId="5F351500" w14:textId="77777777" w:rsidTr="00895CB0">
        <w:tc>
          <w:tcPr>
            <w:tcW w:w="1418" w:type="dxa"/>
            <w:tcBorders>
              <w:top w:val="single" w:sz="6" w:space="0" w:color="auto"/>
              <w:left w:val="single" w:sz="12" w:space="0" w:color="auto"/>
              <w:bottom w:val="single" w:sz="6" w:space="0" w:color="auto"/>
              <w:right w:val="double" w:sz="12" w:space="0" w:color="auto"/>
            </w:tcBorders>
          </w:tcPr>
          <w:p w14:paraId="6467841C" w14:textId="77777777" w:rsidR="004558FE" w:rsidRPr="00504DD0" w:rsidRDefault="004558FE" w:rsidP="00895CB0">
            <w:pPr>
              <w:jc w:val="center"/>
              <w:rPr>
                <w:bCs/>
              </w:rPr>
            </w:pPr>
            <w:r w:rsidRPr="00504DD0">
              <w:rPr>
                <w:bCs/>
              </w:rPr>
              <w:t>5</w:t>
            </w:r>
          </w:p>
        </w:tc>
        <w:tc>
          <w:tcPr>
            <w:tcW w:w="1417" w:type="dxa"/>
            <w:tcBorders>
              <w:top w:val="single" w:sz="6" w:space="0" w:color="auto"/>
              <w:left w:val="double" w:sz="12" w:space="0" w:color="auto"/>
              <w:bottom w:val="single" w:sz="6" w:space="0" w:color="auto"/>
              <w:right w:val="single" w:sz="6" w:space="0" w:color="auto"/>
            </w:tcBorders>
          </w:tcPr>
          <w:p w14:paraId="72441211" w14:textId="77777777" w:rsidR="004558FE" w:rsidRPr="00504DD0" w:rsidRDefault="004558FE" w:rsidP="00895CB0">
            <w:pPr>
              <w:jc w:val="center"/>
              <w:rPr>
                <w:bCs/>
              </w:rPr>
            </w:pPr>
            <w:r w:rsidRPr="00504DD0">
              <w:rPr>
                <w:bCs/>
              </w:rPr>
              <w:t>15/2004</w:t>
            </w:r>
          </w:p>
        </w:tc>
        <w:tc>
          <w:tcPr>
            <w:tcW w:w="1276" w:type="dxa"/>
            <w:tcBorders>
              <w:top w:val="single" w:sz="6" w:space="0" w:color="auto"/>
              <w:left w:val="single" w:sz="6" w:space="0" w:color="auto"/>
              <w:bottom w:val="single" w:sz="6" w:space="0" w:color="auto"/>
              <w:right w:val="double" w:sz="12" w:space="0" w:color="auto"/>
            </w:tcBorders>
          </w:tcPr>
          <w:p w14:paraId="38760598" w14:textId="77777777" w:rsidR="004558FE" w:rsidRPr="00504DD0" w:rsidRDefault="004558FE" w:rsidP="00895CB0">
            <w:pPr>
              <w:jc w:val="center"/>
              <w:rPr>
                <w:bCs/>
              </w:rPr>
            </w:pPr>
            <w:proofErr w:type="gramStart"/>
            <w:r w:rsidRPr="00504DD0">
              <w:rPr>
                <w:bCs/>
              </w:rPr>
              <w:t>15.12.2004</w:t>
            </w:r>
            <w:proofErr w:type="gramEnd"/>
          </w:p>
        </w:tc>
        <w:tc>
          <w:tcPr>
            <w:tcW w:w="851" w:type="dxa"/>
            <w:tcBorders>
              <w:top w:val="single" w:sz="6" w:space="0" w:color="auto"/>
              <w:left w:val="double" w:sz="12" w:space="0" w:color="auto"/>
              <w:bottom w:val="single" w:sz="6" w:space="0" w:color="auto"/>
              <w:right w:val="single" w:sz="6" w:space="0" w:color="auto"/>
            </w:tcBorders>
          </w:tcPr>
          <w:p w14:paraId="22C175F5" w14:textId="77777777" w:rsidR="004558FE" w:rsidRPr="00504DD0" w:rsidRDefault="004558FE" w:rsidP="00895CB0">
            <w:pPr>
              <w:jc w:val="center"/>
              <w:rPr>
                <w:bCs/>
              </w:rPr>
            </w:pPr>
            <w:r w:rsidRPr="00504DD0">
              <w:rPr>
                <w:bCs/>
              </w:rPr>
              <w:t>2</w:t>
            </w:r>
          </w:p>
        </w:tc>
        <w:tc>
          <w:tcPr>
            <w:tcW w:w="1559" w:type="dxa"/>
            <w:tcBorders>
              <w:top w:val="single" w:sz="6" w:space="0" w:color="auto"/>
              <w:left w:val="single" w:sz="6" w:space="0" w:color="auto"/>
              <w:bottom w:val="single" w:sz="6" w:space="0" w:color="auto"/>
              <w:right w:val="double" w:sz="12" w:space="0" w:color="auto"/>
            </w:tcBorders>
          </w:tcPr>
          <w:p w14:paraId="72D6F465" w14:textId="77777777" w:rsidR="004558FE" w:rsidRPr="00504DD0" w:rsidRDefault="004558FE" w:rsidP="00895CB0">
            <w:pPr>
              <w:jc w:val="center"/>
              <w:rPr>
                <w:bCs/>
              </w:rPr>
            </w:pPr>
            <w:proofErr w:type="gramStart"/>
            <w:r w:rsidRPr="00504DD0">
              <w:rPr>
                <w:bCs/>
              </w:rPr>
              <w:t>10.01.2005</w:t>
            </w:r>
            <w:proofErr w:type="gramEnd"/>
          </w:p>
        </w:tc>
        <w:tc>
          <w:tcPr>
            <w:tcW w:w="1276" w:type="dxa"/>
            <w:tcBorders>
              <w:top w:val="single" w:sz="6" w:space="0" w:color="auto"/>
              <w:left w:val="double" w:sz="12" w:space="0" w:color="auto"/>
              <w:bottom w:val="single" w:sz="6" w:space="0" w:color="auto"/>
              <w:right w:val="single" w:sz="6" w:space="0" w:color="auto"/>
            </w:tcBorders>
          </w:tcPr>
          <w:p w14:paraId="3B6AAFF7" w14:textId="77777777" w:rsidR="004558FE" w:rsidRPr="00504DD0" w:rsidRDefault="004558FE" w:rsidP="00895CB0">
            <w:pPr>
              <w:jc w:val="center"/>
              <w:rPr>
                <w:bCs/>
              </w:rPr>
            </w:pPr>
            <w:proofErr w:type="gramStart"/>
            <w:r w:rsidRPr="00504DD0">
              <w:rPr>
                <w:bCs/>
              </w:rPr>
              <w:t>1.01.2005</w:t>
            </w:r>
            <w:proofErr w:type="gramEnd"/>
          </w:p>
        </w:tc>
        <w:tc>
          <w:tcPr>
            <w:tcW w:w="1275" w:type="dxa"/>
            <w:tcBorders>
              <w:top w:val="single" w:sz="6" w:space="0" w:color="auto"/>
              <w:left w:val="single" w:sz="6" w:space="0" w:color="auto"/>
              <w:bottom w:val="single" w:sz="6" w:space="0" w:color="auto"/>
              <w:right w:val="single" w:sz="12" w:space="0" w:color="auto"/>
            </w:tcBorders>
          </w:tcPr>
          <w:p w14:paraId="06ED7884" w14:textId="77777777" w:rsidR="004558FE" w:rsidRPr="00504DD0" w:rsidRDefault="004558FE" w:rsidP="00895CB0">
            <w:pPr>
              <w:jc w:val="center"/>
              <w:rPr>
                <w:bCs/>
              </w:rPr>
            </w:pPr>
            <w:proofErr w:type="gramStart"/>
            <w:r w:rsidRPr="00504DD0">
              <w:rPr>
                <w:bCs/>
              </w:rPr>
              <w:t>31.12.2005</w:t>
            </w:r>
            <w:proofErr w:type="gramEnd"/>
          </w:p>
        </w:tc>
      </w:tr>
      <w:tr w:rsidR="004558FE" w:rsidRPr="00504DD0" w14:paraId="304E7DBB" w14:textId="77777777" w:rsidTr="00895CB0">
        <w:tc>
          <w:tcPr>
            <w:tcW w:w="1418" w:type="dxa"/>
            <w:tcBorders>
              <w:top w:val="single" w:sz="6" w:space="0" w:color="auto"/>
              <w:left w:val="single" w:sz="12" w:space="0" w:color="auto"/>
              <w:bottom w:val="single" w:sz="6" w:space="0" w:color="auto"/>
              <w:right w:val="double" w:sz="12" w:space="0" w:color="auto"/>
            </w:tcBorders>
          </w:tcPr>
          <w:p w14:paraId="127391EC" w14:textId="77777777" w:rsidR="004558FE" w:rsidRPr="00504DD0" w:rsidRDefault="004558FE" w:rsidP="00895CB0">
            <w:pPr>
              <w:jc w:val="center"/>
              <w:rPr>
                <w:bCs/>
              </w:rPr>
            </w:pPr>
            <w:r w:rsidRPr="00504DD0">
              <w:rPr>
                <w:bCs/>
              </w:rPr>
              <w:t>6</w:t>
            </w:r>
          </w:p>
        </w:tc>
        <w:tc>
          <w:tcPr>
            <w:tcW w:w="1417" w:type="dxa"/>
            <w:tcBorders>
              <w:top w:val="single" w:sz="6" w:space="0" w:color="auto"/>
              <w:left w:val="double" w:sz="12" w:space="0" w:color="auto"/>
              <w:bottom w:val="single" w:sz="6" w:space="0" w:color="auto"/>
              <w:right w:val="single" w:sz="6" w:space="0" w:color="auto"/>
            </w:tcBorders>
          </w:tcPr>
          <w:p w14:paraId="76B1B3F1" w14:textId="77777777" w:rsidR="004558FE" w:rsidRPr="00504DD0" w:rsidRDefault="004558FE" w:rsidP="00895CB0">
            <w:pPr>
              <w:jc w:val="center"/>
              <w:rPr>
                <w:bCs/>
              </w:rPr>
            </w:pPr>
            <w:r w:rsidRPr="00504DD0">
              <w:rPr>
                <w:bCs/>
              </w:rPr>
              <w:t>13/2005</w:t>
            </w:r>
          </w:p>
        </w:tc>
        <w:tc>
          <w:tcPr>
            <w:tcW w:w="1276" w:type="dxa"/>
            <w:tcBorders>
              <w:top w:val="single" w:sz="6" w:space="0" w:color="auto"/>
              <w:left w:val="single" w:sz="6" w:space="0" w:color="auto"/>
              <w:bottom w:val="single" w:sz="6" w:space="0" w:color="auto"/>
              <w:right w:val="double" w:sz="12" w:space="0" w:color="auto"/>
            </w:tcBorders>
          </w:tcPr>
          <w:p w14:paraId="1A512102" w14:textId="77777777" w:rsidR="004558FE" w:rsidRPr="00504DD0" w:rsidRDefault="004558FE" w:rsidP="00895CB0">
            <w:pPr>
              <w:jc w:val="center"/>
              <w:rPr>
                <w:bCs/>
              </w:rPr>
            </w:pPr>
            <w:proofErr w:type="gramStart"/>
            <w:r w:rsidRPr="00504DD0">
              <w:rPr>
                <w:bCs/>
              </w:rPr>
              <w:t>19.12.2005</w:t>
            </w:r>
            <w:proofErr w:type="gramEnd"/>
          </w:p>
        </w:tc>
        <w:tc>
          <w:tcPr>
            <w:tcW w:w="851" w:type="dxa"/>
            <w:tcBorders>
              <w:top w:val="single" w:sz="6" w:space="0" w:color="auto"/>
              <w:left w:val="double" w:sz="12" w:space="0" w:color="auto"/>
              <w:bottom w:val="single" w:sz="6" w:space="0" w:color="auto"/>
              <w:right w:val="single" w:sz="6" w:space="0" w:color="auto"/>
            </w:tcBorders>
          </w:tcPr>
          <w:p w14:paraId="356C1854" w14:textId="77777777" w:rsidR="004558FE" w:rsidRPr="00504DD0" w:rsidRDefault="004558FE" w:rsidP="00895CB0">
            <w:pPr>
              <w:jc w:val="center"/>
              <w:rPr>
                <w:bCs/>
              </w:rPr>
            </w:pPr>
            <w:r w:rsidRPr="00504DD0">
              <w:rPr>
                <w:bCs/>
              </w:rPr>
              <w:t>2</w:t>
            </w:r>
          </w:p>
        </w:tc>
        <w:tc>
          <w:tcPr>
            <w:tcW w:w="1559" w:type="dxa"/>
            <w:tcBorders>
              <w:top w:val="single" w:sz="6" w:space="0" w:color="auto"/>
              <w:left w:val="single" w:sz="6" w:space="0" w:color="auto"/>
              <w:bottom w:val="single" w:sz="6" w:space="0" w:color="auto"/>
              <w:right w:val="double" w:sz="12" w:space="0" w:color="auto"/>
            </w:tcBorders>
          </w:tcPr>
          <w:p w14:paraId="0EEE16C0" w14:textId="77777777" w:rsidR="004558FE" w:rsidRPr="00504DD0" w:rsidRDefault="004558FE" w:rsidP="00895CB0">
            <w:pPr>
              <w:jc w:val="center"/>
              <w:rPr>
                <w:bCs/>
              </w:rPr>
            </w:pPr>
            <w:proofErr w:type="gramStart"/>
            <w:r w:rsidRPr="00504DD0">
              <w:rPr>
                <w:bCs/>
              </w:rPr>
              <w:t>17.01.2006</w:t>
            </w:r>
            <w:proofErr w:type="gramEnd"/>
          </w:p>
        </w:tc>
        <w:tc>
          <w:tcPr>
            <w:tcW w:w="1276" w:type="dxa"/>
            <w:tcBorders>
              <w:top w:val="single" w:sz="6" w:space="0" w:color="auto"/>
              <w:left w:val="double" w:sz="12" w:space="0" w:color="auto"/>
              <w:bottom w:val="single" w:sz="6" w:space="0" w:color="auto"/>
              <w:right w:val="single" w:sz="6" w:space="0" w:color="auto"/>
            </w:tcBorders>
          </w:tcPr>
          <w:p w14:paraId="5EEB7B1F" w14:textId="77777777" w:rsidR="004558FE" w:rsidRPr="00504DD0" w:rsidRDefault="004558FE" w:rsidP="00895CB0">
            <w:pPr>
              <w:jc w:val="center"/>
              <w:rPr>
                <w:bCs/>
              </w:rPr>
            </w:pPr>
            <w:proofErr w:type="gramStart"/>
            <w:r w:rsidRPr="00504DD0">
              <w:rPr>
                <w:bCs/>
              </w:rPr>
              <w:t>1.01.2006</w:t>
            </w:r>
            <w:proofErr w:type="gramEnd"/>
          </w:p>
        </w:tc>
        <w:tc>
          <w:tcPr>
            <w:tcW w:w="1275" w:type="dxa"/>
            <w:tcBorders>
              <w:top w:val="single" w:sz="6" w:space="0" w:color="auto"/>
              <w:left w:val="single" w:sz="6" w:space="0" w:color="auto"/>
              <w:bottom w:val="single" w:sz="6" w:space="0" w:color="auto"/>
              <w:right w:val="single" w:sz="12" w:space="0" w:color="auto"/>
            </w:tcBorders>
          </w:tcPr>
          <w:p w14:paraId="0ADF3705" w14:textId="77777777" w:rsidR="004558FE" w:rsidRPr="00504DD0" w:rsidRDefault="004558FE" w:rsidP="00895CB0">
            <w:pPr>
              <w:jc w:val="center"/>
              <w:rPr>
                <w:bCs/>
              </w:rPr>
            </w:pPr>
            <w:proofErr w:type="gramStart"/>
            <w:r w:rsidRPr="00504DD0">
              <w:rPr>
                <w:bCs/>
              </w:rPr>
              <w:t>31.12.2006</w:t>
            </w:r>
            <w:proofErr w:type="gramEnd"/>
          </w:p>
        </w:tc>
      </w:tr>
      <w:tr w:rsidR="004558FE" w:rsidRPr="00504DD0" w14:paraId="044433D2" w14:textId="77777777" w:rsidTr="00895CB0">
        <w:tc>
          <w:tcPr>
            <w:tcW w:w="1418" w:type="dxa"/>
            <w:tcBorders>
              <w:top w:val="single" w:sz="6" w:space="0" w:color="auto"/>
              <w:left w:val="single" w:sz="12" w:space="0" w:color="auto"/>
              <w:bottom w:val="single" w:sz="6" w:space="0" w:color="auto"/>
              <w:right w:val="double" w:sz="12" w:space="0" w:color="auto"/>
            </w:tcBorders>
          </w:tcPr>
          <w:p w14:paraId="4E3A2A47" w14:textId="77777777" w:rsidR="004558FE" w:rsidRPr="00504DD0" w:rsidRDefault="004558FE" w:rsidP="00895CB0">
            <w:pPr>
              <w:jc w:val="center"/>
              <w:rPr>
                <w:bCs/>
              </w:rPr>
            </w:pPr>
            <w:r w:rsidRPr="00504DD0">
              <w:rPr>
                <w:bCs/>
              </w:rPr>
              <w:t>7</w:t>
            </w:r>
          </w:p>
        </w:tc>
        <w:tc>
          <w:tcPr>
            <w:tcW w:w="1417" w:type="dxa"/>
            <w:tcBorders>
              <w:top w:val="single" w:sz="6" w:space="0" w:color="auto"/>
              <w:left w:val="double" w:sz="12" w:space="0" w:color="auto"/>
              <w:bottom w:val="single" w:sz="6" w:space="0" w:color="auto"/>
              <w:right w:val="single" w:sz="6" w:space="0" w:color="auto"/>
            </w:tcBorders>
          </w:tcPr>
          <w:p w14:paraId="2874BA3D" w14:textId="77777777" w:rsidR="004558FE" w:rsidRPr="00504DD0" w:rsidRDefault="004558FE" w:rsidP="00895CB0">
            <w:pPr>
              <w:jc w:val="center"/>
              <w:rPr>
                <w:bCs/>
              </w:rPr>
            </w:pPr>
            <w:r w:rsidRPr="00504DD0">
              <w:rPr>
                <w:bCs/>
              </w:rPr>
              <w:t>22/2006</w:t>
            </w:r>
          </w:p>
        </w:tc>
        <w:tc>
          <w:tcPr>
            <w:tcW w:w="1276" w:type="dxa"/>
            <w:tcBorders>
              <w:top w:val="single" w:sz="6" w:space="0" w:color="auto"/>
              <w:left w:val="single" w:sz="6" w:space="0" w:color="auto"/>
              <w:bottom w:val="single" w:sz="6" w:space="0" w:color="auto"/>
              <w:right w:val="double" w:sz="12" w:space="0" w:color="auto"/>
            </w:tcBorders>
          </w:tcPr>
          <w:p w14:paraId="211984D6" w14:textId="77777777" w:rsidR="004558FE" w:rsidRPr="00504DD0" w:rsidRDefault="004558FE" w:rsidP="00895CB0">
            <w:pPr>
              <w:jc w:val="center"/>
              <w:rPr>
                <w:bCs/>
              </w:rPr>
            </w:pPr>
            <w:proofErr w:type="gramStart"/>
            <w:r w:rsidRPr="00504DD0">
              <w:rPr>
                <w:bCs/>
              </w:rPr>
              <w:t>13.12.2006</w:t>
            </w:r>
            <w:proofErr w:type="gramEnd"/>
          </w:p>
        </w:tc>
        <w:tc>
          <w:tcPr>
            <w:tcW w:w="851" w:type="dxa"/>
            <w:tcBorders>
              <w:top w:val="single" w:sz="6" w:space="0" w:color="auto"/>
              <w:left w:val="double" w:sz="12" w:space="0" w:color="auto"/>
              <w:bottom w:val="single" w:sz="6" w:space="0" w:color="auto"/>
              <w:right w:val="single" w:sz="6" w:space="0" w:color="auto"/>
            </w:tcBorders>
          </w:tcPr>
          <w:p w14:paraId="6B09D4F0" w14:textId="77777777" w:rsidR="004558FE" w:rsidRPr="00504DD0" w:rsidRDefault="004558FE" w:rsidP="00895CB0">
            <w:pPr>
              <w:jc w:val="center"/>
              <w:rPr>
                <w:bCs/>
              </w:rPr>
            </w:pPr>
            <w:r w:rsidRPr="00504DD0">
              <w:rPr>
                <w:bCs/>
              </w:rPr>
              <w:t>1</w:t>
            </w:r>
          </w:p>
        </w:tc>
        <w:tc>
          <w:tcPr>
            <w:tcW w:w="1559" w:type="dxa"/>
            <w:tcBorders>
              <w:top w:val="single" w:sz="6" w:space="0" w:color="auto"/>
              <w:left w:val="single" w:sz="6" w:space="0" w:color="auto"/>
              <w:bottom w:val="single" w:sz="6" w:space="0" w:color="auto"/>
              <w:right w:val="double" w:sz="12" w:space="0" w:color="auto"/>
            </w:tcBorders>
          </w:tcPr>
          <w:p w14:paraId="733AFB2A" w14:textId="77777777" w:rsidR="004558FE" w:rsidRPr="00504DD0" w:rsidRDefault="004558FE" w:rsidP="00895CB0">
            <w:pPr>
              <w:jc w:val="center"/>
              <w:rPr>
                <w:bCs/>
              </w:rPr>
            </w:pPr>
            <w:proofErr w:type="gramStart"/>
            <w:r w:rsidRPr="00504DD0">
              <w:rPr>
                <w:bCs/>
              </w:rPr>
              <w:t>26.01.2007</w:t>
            </w:r>
            <w:proofErr w:type="gramEnd"/>
          </w:p>
        </w:tc>
        <w:tc>
          <w:tcPr>
            <w:tcW w:w="1276" w:type="dxa"/>
            <w:tcBorders>
              <w:top w:val="single" w:sz="6" w:space="0" w:color="auto"/>
              <w:left w:val="double" w:sz="12" w:space="0" w:color="auto"/>
              <w:bottom w:val="single" w:sz="6" w:space="0" w:color="auto"/>
              <w:right w:val="single" w:sz="6" w:space="0" w:color="auto"/>
            </w:tcBorders>
          </w:tcPr>
          <w:p w14:paraId="38C25D64" w14:textId="77777777" w:rsidR="004558FE" w:rsidRPr="00504DD0" w:rsidRDefault="004558FE" w:rsidP="00895CB0">
            <w:pPr>
              <w:jc w:val="center"/>
              <w:rPr>
                <w:bCs/>
              </w:rPr>
            </w:pPr>
            <w:proofErr w:type="gramStart"/>
            <w:r w:rsidRPr="00504DD0">
              <w:rPr>
                <w:bCs/>
              </w:rPr>
              <w:t>1.01.2007</w:t>
            </w:r>
            <w:proofErr w:type="gramEnd"/>
          </w:p>
        </w:tc>
        <w:tc>
          <w:tcPr>
            <w:tcW w:w="1275" w:type="dxa"/>
            <w:tcBorders>
              <w:top w:val="single" w:sz="6" w:space="0" w:color="auto"/>
              <w:left w:val="single" w:sz="6" w:space="0" w:color="auto"/>
              <w:bottom w:val="single" w:sz="6" w:space="0" w:color="auto"/>
              <w:right w:val="single" w:sz="12" w:space="0" w:color="auto"/>
            </w:tcBorders>
          </w:tcPr>
          <w:p w14:paraId="138584CC" w14:textId="77777777" w:rsidR="004558FE" w:rsidRPr="00504DD0" w:rsidRDefault="004558FE" w:rsidP="00895CB0">
            <w:pPr>
              <w:jc w:val="center"/>
              <w:rPr>
                <w:bCs/>
              </w:rPr>
            </w:pPr>
            <w:proofErr w:type="gramStart"/>
            <w:r w:rsidRPr="00504DD0">
              <w:rPr>
                <w:bCs/>
              </w:rPr>
              <w:t>31.12.2007</w:t>
            </w:r>
            <w:proofErr w:type="gramEnd"/>
          </w:p>
        </w:tc>
      </w:tr>
      <w:tr w:rsidR="004558FE" w:rsidRPr="00504DD0" w14:paraId="08BE6D68" w14:textId="77777777" w:rsidTr="00895CB0">
        <w:tc>
          <w:tcPr>
            <w:tcW w:w="1418" w:type="dxa"/>
            <w:tcBorders>
              <w:top w:val="single" w:sz="6" w:space="0" w:color="auto"/>
              <w:left w:val="single" w:sz="12" w:space="0" w:color="auto"/>
              <w:bottom w:val="single" w:sz="6" w:space="0" w:color="auto"/>
              <w:right w:val="double" w:sz="12" w:space="0" w:color="auto"/>
            </w:tcBorders>
          </w:tcPr>
          <w:p w14:paraId="4784AB1F" w14:textId="77777777" w:rsidR="004558FE" w:rsidRPr="00504DD0" w:rsidRDefault="004558FE" w:rsidP="00895CB0">
            <w:pPr>
              <w:jc w:val="center"/>
            </w:pPr>
            <w:r w:rsidRPr="00504DD0">
              <w:t>8</w:t>
            </w:r>
          </w:p>
        </w:tc>
        <w:tc>
          <w:tcPr>
            <w:tcW w:w="1417" w:type="dxa"/>
            <w:tcBorders>
              <w:top w:val="single" w:sz="6" w:space="0" w:color="auto"/>
              <w:left w:val="double" w:sz="12" w:space="0" w:color="auto"/>
              <w:bottom w:val="single" w:sz="6" w:space="0" w:color="auto"/>
              <w:right w:val="single" w:sz="6" w:space="0" w:color="auto"/>
            </w:tcBorders>
          </w:tcPr>
          <w:p w14:paraId="47A5A811" w14:textId="77777777" w:rsidR="004558FE" w:rsidRPr="00504DD0" w:rsidRDefault="004558FE" w:rsidP="00895CB0">
            <w:pPr>
              <w:jc w:val="center"/>
            </w:pPr>
            <w:r w:rsidRPr="00504DD0">
              <w:t>12/2007</w:t>
            </w:r>
          </w:p>
        </w:tc>
        <w:tc>
          <w:tcPr>
            <w:tcW w:w="1276" w:type="dxa"/>
            <w:tcBorders>
              <w:top w:val="single" w:sz="6" w:space="0" w:color="auto"/>
              <w:left w:val="single" w:sz="6" w:space="0" w:color="auto"/>
              <w:bottom w:val="single" w:sz="6" w:space="0" w:color="auto"/>
              <w:right w:val="double" w:sz="12" w:space="0" w:color="auto"/>
            </w:tcBorders>
          </w:tcPr>
          <w:p w14:paraId="392D6BEB" w14:textId="77777777" w:rsidR="004558FE" w:rsidRPr="00504DD0" w:rsidRDefault="004558FE" w:rsidP="00895CB0">
            <w:pPr>
              <w:jc w:val="center"/>
            </w:pPr>
            <w:proofErr w:type="gramStart"/>
            <w:r w:rsidRPr="00504DD0">
              <w:t>12.12.2007</w:t>
            </w:r>
            <w:proofErr w:type="gramEnd"/>
          </w:p>
        </w:tc>
        <w:tc>
          <w:tcPr>
            <w:tcW w:w="851" w:type="dxa"/>
            <w:tcBorders>
              <w:top w:val="single" w:sz="6" w:space="0" w:color="auto"/>
              <w:left w:val="double" w:sz="12" w:space="0" w:color="auto"/>
              <w:bottom w:val="single" w:sz="6" w:space="0" w:color="auto"/>
              <w:right w:val="single" w:sz="6" w:space="0" w:color="auto"/>
            </w:tcBorders>
          </w:tcPr>
          <w:p w14:paraId="1E91E4C0" w14:textId="77777777" w:rsidR="004558FE" w:rsidRPr="00504DD0" w:rsidRDefault="004558FE" w:rsidP="00895CB0">
            <w:pPr>
              <w:jc w:val="center"/>
            </w:pPr>
            <w:r w:rsidRPr="00504DD0">
              <w:t>1</w:t>
            </w:r>
          </w:p>
        </w:tc>
        <w:tc>
          <w:tcPr>
            <w:tcW w:w="1559" w:type="dxa"/>
            <w:tcBorders>
              <w:top w:val="single" w:sz="6" w:space="0" w:color="auto"/>
              <w:left w:val="single" w:sz="6" w:space="0" w:color="auto"/>
              <w:bottom w:val="single" w:sz="6" w:space="0" w:color="auto"/>
              <w:right w:val="double" w:sz="12" w:space="0" w:color="auto"/>
            </w:tcBorders>
          </w:tcPr>
          <w:p w14:paraId="5E014D13" w14:textId="77777777" w:rsidR="004558FE" w:rsidRPr="00504DD0" w:rsidRDefault="004558FE" w:rsidP="00895CB0">
            <w:pPr>
              <w:jc w:val="center"/>
            </w:pPr>
            <w:proofErr w:type="gramStart"/>
            <w:r w:rsidRPr="00504DD0">
              <w:t>25.01.2008</w:t>
            </w:r>
            <w:proofErr w:type="gramEnd"/>
          </w:p>
        </w:tc>
        <w:tc>
          <w:tcPr>
            <w:tcW w:w="1276" w:type="dxa"/>
            <w:tcBorders>
              <w:top w:val="single" w:sz="6" w:space="0" w:color="auto"/>
              <w:left w:val="double" w:sz="12" w:space="0" w:color="auto"/>
              <w:bottom w:val="single" w:sz="6" w:space="0" w:color="auto"/>
              <w:right w:val="single" w:sz="6" w:space="0" w:color="auto"/>
            </w:tcBorders>
          </w:tcPr>
          <w:p w14:paraId="72F6BBFF" w14:textId="77777777" w:rsidR="004558FE" w:rsidRPr="00504DD0" w:rsidRDefault="004558FE" w:rsidP="00895CB0">
            <w:pPr>
              <w:jc w:val="center"/>
            </w:pPr>
            <w:proofErr w:type="gramStart"/>
            <w:r w:rsidRPr="00504DD0">
              <w:t>1.01.2008</w:t>
            </w:r>
            <w:proofErr w:type="gramEnd"/>
          </w:p>
        </w:tc>
        <w:tc>
          <w:tcPr>
            <w:tcW w:w="1275" w:type="dxa"/>
            <w:tcBorders>
              <w:top w:val="single" w:sz="6" w:space="0" w:color="auto"/>
              <w:left w:val="single" w:sz="6" w:space="0" w:color="auto"/>
              <w:bottom w:val="single" w:sz="6" w:space="0" w:color="auto"/>
              <w:right w:val="single" w:sz="12" w:space="0" w:color="auto"/>
            </w:tcBorders>
          </w:tcPr>
          <w:p w14:paraId="7E972DA1" w14:textId="77777777" w:rsidR="004558FE" w:rsidRPr="00504DD0" w:rsidRDefault="004558FE" w:rsidP="00895CB0">
            <w:pPr>
              <w:jc w:val="center"/>
            </w:pPr>
            <w:proofErr w:type="gramStart"/>
            <w:r w:rsidRPr="00504DD0">
              <w:t>31.12.2008</w:t>
            </w:r>
            <w:proofErr w:type="gramEnd"/>
          </w:p>
        </w:tc>
      </w:tr>
      <w:tr w:rsidR="004558FE" w:rsidRPr="00504DD0" w14:paraId="1838F231" w14:textId="77777777" w:rsidTr="00895CB0">
        <w:tc>
          <w:tcPr>
            <w:tcW w:w="1418" w:type="dxa"/>
            <w:tcBorders>
              <w:top w:val="single" w:sz="6" w:space="0" w:color="auto"/>
              <w:left w:val="single" w:sz="12" w:space="0" w:color="auto"/>
              <w:bottom w:val="single" w:sz="6" w:space="0" w:color="auto"/>
              <w:right w:val="double" w:sz="12" w:space="0" w:color="auto"/>
            </w:tcBorders>
          </w:tcPr>
          <w:p w14:paraId="0C77E243" w14:textId="77777777" w:rsidR="004558FE" w:rsidRPr="00504DD0" w:rsidRDefault="004558FE" w:rsidP="00895CB0">
            <w:pPr>
              <w:jc w:val="center"/>
            </w:pPr>
            <w:r w:rsidRPr="00504DD0">
              <w:t>9</w:t>
            </w:r>
          </w:p>
        </w:tc>
        <w:tc>
          <w:tcPr>
            <w:tcW w:w="1417" w:type="dxa"/>
            <w:tcBorders>
              <w:top w:val="single" w:sz="6" w:space="0" w:color="auto"/>
              <w:left w:val="double" w:sz="12" w:space="0" w:color="auto"/>
              <w:bottom w:val="single" w:sz="6" w:space="0" w:color="auto"/>
              <w:right w:val="single" w:sz="6" w:space="0" w:color="auto"/>
            </w:tcBorders>
          </w:tcPr>
          <w:p w14:paraId="6E2FCFA5" w14:textId="77777777" w:rsidR="004558FE" w:rsidRPr="00504DD0" w:rsidRDefault="004558FE" w:rsidP="00895CB0">
            <w:pPr>
              <w:jc w:val="center"/>
            </w:pPr>
            <w:r w:rsidRPr="00504DD0">
              <w:t>15/2008</w:t>
            </w:r>
          </w:p>
        </w:tc>
        <w:tc>
          <w:tcPr>
            <w:tcW w:w="1276" w:type="dxa"/>
            <w:tcBorders>
              <w:top w:val="single" w:sz="6" w:space="0" w:color="auto"/>
              <w:left w:val="single" w:sz="6" w:space="0" w:color="auto"/>
              <w:bottom w:val="single" w:sz="6" w:space="0" w:color="auto"/>
              <w:right w:val="double" w:sz="12" w:space="0" w:color="auto"/>
            </w:tcBorders>
          </w:tcPr>
          <w:p w14:paraId="3B3DECB2" w14:textId="77777777" w:rsidR="004558FE" w:rsidRPr="00504DD0" w:rsidRDefault="004558FE" w:rsidP="00895CB0">
            <w:pPr>
              <w:jc w:val="center"/>
            </w:pPr>
            <w:proofErr w:type="gramStart"/>
            <w:r w:rsidRPr="00504DD0">
              <w:t>17.12.2008</w:t>
            </w:r>
            <w:proofErr w:type="gramEnd"/>
          </w:p>
        </w:tc>
        <w:tc>
          <w:tcPr>
            <w:tcW w:w="851" w:type="dxa"/>
            <w:tcBorders>
              <w:top w:val="single" w:sz="6" w:space="0" w:color="auto"/>
              <w:left w:val="double" w:sz="12" w:space="0" w:color="auto"/>
              <w:bottom w:val="single" w:sz="6" w:space="0" w:color="auto"/>
              <w:right w:val="single" w:sz="6" w:space="0" w:color="auto"/>
            </w:tcBorders>
          </w:tcPr>
          <w:p w14:paraId="51AE36F7" w14:textId="77777777" w:rsidR="004558FE" w:rsidRPr="00504DD0" w:rsidRDefault="004558FE" w:rsidP="00895CB0">
            <w:pPr>
              <w:jc w:val="center"/>
            </w:pPr>
            <w:r w:rsidRPr="00504DD0">
              <w:t>1</w:t>
            </w:r>
          </w:p>
        </w:tc>
        <w:tc>
          <w:tcPr>
            <w:tcW w:w="1559" w:type="dxa"/>
            <w:tcBorders>
              <w:top w:val="single" w:sz="6" w:space="0" w:color="auto"/>
              <w:left w:val="single" w:sz="6" w:space="0" w:color="auto"/>
              <w:bottom w:val="single" w:sz="6" w:space="0" w:color="auto"/>
              <w:right w:val="double" w:sz="12" w:space="0" w:color="auto"/>
            </w:tcBorders>
          </w:tcPr>
          <w:p w14:paraId="237F7474" w14:textId="77777777" w:rsidR="004558FE" w:rsidRPr="00504DD0" w:rsidRDefault="004558FE" w:rsidP="00895CB0">
            <w:pPr>
              <w:jc w:val="center"/>
            </w:pPr>
            <w:proofErr w:type="gramStart"/>
            <w:r w:rsidRPr="00504DD0">
              <w:t>23.01.2009</w:t>
            </w:r>
            <w:proofErr w:type="gramEnd"/>
          </w:p>
        </w:tc>
        <w:tc>
          <w:tcPr>
            <w:tcW w:w="1276" w:type="dxa"/>
            <w:tcBorders>
              <w:top w:val="single" w:sz="6" w:space="0" w:color="auto"/>
              <w:left w:val="double" w:sz="12" w:space="0" w:color="auto"/>
              <w:bottom w:val="single" w:sz="6" w:space="0" w:color="auto"/>
              <w:right w:val="single" w:sz="6" w:space="0" w:color="auto"/>
            </w:tcBorders>
          </w:tcPr>
          <w:p w14:paraId="6BA34DFF" w14:textId="77777777" w:rsidR="004558FE" w:rsidRPr="00504DD0" w:rsidRDefault="004558FE" w:rsidP="00895CB0">
            <w:pPr>
              <w:jc w:val="center"/>
            </w:pPr>
            <w:proofErr w:type="gramStart"/>
            <w:r w:rsidRPr="00504DD0">
              <w:t>1.01.2009</w:t>
            </w:r>
            <w:proofErr w:type="gramEnd"/>
          </w:p>
        </w:tc>
        <w:tc>
          <w:tcPr>
            <w:tcW w:w="1275" w:type="dxa"/>
            <w:tcBorders>
              <w:top w:val="single" w:sz="6" w:space="0" w:color="auto"/>
              <w:left w:val="single" w:sz="6" w:space="0" w:color="auto"/>
              <w:bottom w:val="single" w:sz="6" w:space="0" w:color="auto"/>
              <w:right w:val="single" w:sz="12" w:space="0" w:color="auto"/>
            </w:tcBorders>
          </w:tcPr>
          <w:p w14:paraId="72F410E4" w14:textId="77777777" w:rsidR="004558FE" w:rsidRPr="00504DD0" w:rsidRDefault="004558FE" w:rsidP="00895CB0">
            <w:pPr>
              <w:jc w:val="center"/>
            </w:pPr>
            <w:proofErr w:type="gramStart"/>
            <w:r w:rsidRPr="00504DD0">
              <w:t>31.12.2009</w:t>
            </w:r>
            <w:proofErr w:type="gramEnd"/>
          </w:p>
        </w:tc>
      </w:tr>
      <w:tr w:rsidR="004558FE" w:rsidRPr="00504DD0" w14:paraId="79FE6EFE" w14:textId="77777777" w:rsidTr="00895CB0">
        <w:tc>
          <w:tcPr>
            <w:tcW w:w="1418" w:type="dxa"/>
            <w:tcBorders>
              <w:top w:val="single" w:sz="6" w:space="0" w:color="auto"/>
              <w:left w:val="single" w:sz="12" w:space="0" w:color="auto"/>
              <w:bottom w:val="single" w:sz="6" w:space="0" w:color="auto"/>
              <w:right w:val="double" w:sz="12" w:space="0" w:color="auto"/>
            </w:tcBorders>
          </w:tcPr>
          <w:p w14:paraId="5BB002E9" w14:textId="77777777" w:rsidR="004558FE" w:rsidRPr="00504DD0" w:rsidRDefault="004558FE" w:rsidP="00895CB0">
            <w:pPr>
              <w:jc w:val="center"/>
            </w:pPr>
            <w:r w:rsidRPr="00504DD0">
              <w:t>10</w:t>
            </w:r>
          </w:p>
        </w:tc>
        <w:tc>
          <w:tcPr>
            <w:tcW w:w="1417" w:type="dxa"/>
            <w:tcBorders>
              <w:top w:val="single" w:sz="6" w:space="0" w:color="auto"/>
              <w:left w:val="double" w:sz="12" w:space="0" w:color="auto"/>
              <w:bottom w:val="single" w:sz="6" w:space="0" w:color="auto"/>
              <w:right w:val="single" w:sz="6" w:space="0" w:color="auto"/>
            </w:tcBorders>
          </w:tcPr>
          <w:p w14:paraId="0A6C9EEE" w14:textId="77777777" w:rsidR="004558FE" w:rsidRPr="00504DD0" w:rsidRDefault="004558FE" w:rsidP="00895CB0">
            <w:pPr>
              <w:jc w:val="center"/>
            </w:pPr>
            <w:r w:rsidRPr="00504DD0">
              <w:t>12/2009</w:t>
            </w:r>
          </w:p>
        </w:tc>
        <w:tc>
          <w:tcPr>
            <w:tcW w:w="1276" w:type="dxa"/>
            <w:tcBorders>
              <w:top w:val="single" w:sz="6" w:space="0" w:color="auto"/>
              <w:left w:val="single" w:sz="6" w:space="0" w:color="auto"/>
              <w:bottom w:val="single" w:sz="6" w:space="0" w:color="auto"/>
              <w:right w:val="double" w:sz="12" w:space="0" w:color="auto"/>
            </w:tcBorders>
          </w:tcPr>
          <w:p w14:paraId="0419D4B9" w14:textId="77777777" w:rsidR="004558FE" w:rsidRPr="00504DD0" w:rsidRDefault="004558FE" w:rsidP="00895CB0">
            <w:pPr>
              <w:jc w:val="center"/>
            </w:pPr>
            <w:proofErr w:type="gramStart"/>
            <w:r w:rsidRPr="00504DD0">
              <w:t>16.12.2009</w:t>
            </w:r>
            <w:proofErr w:type="gramEnd"/>
          </w:p>
        </w:tc>
        <w:tc>
          <w:tcPr>
            <w:tcW w:w="851" w:type="dxa"/>
            <w:tcBorders>
              <w:top w:val="single" w:sz="6" w:space="0" w:color="auto"/>
              <w:left w:val="double" w:sz="12" w:space="0" w:color="auto"/>
              <w:bottom w:val="single" w:sz="6" w:space="0" w:color="auto"/>
              <w:right w:val="single" w:sz="6" w:space="0" w:color="auto"/>
            </w:tcBorders>
          </w:tcPr>
          <w:p w14:paraId="6E0282E3" w14:textId="77777777" w:rsidR="004558FE" w:rsidRPr="00504DD0" w:rsidRDefault="004558FE" w:rsidP="00895CB0">
            <w:pPr>
              <w:jc w:val="center"/>
            </w:pPr>
            <w:r w:rsidRPr="00504DD0">
              <w:t>2</w:t>
            </w:r>
          </w:p>
        </w:tc>
        <w:tc>
          <w:tcPr>
            <w:tcW w:w="1559" w:type="dxa"/>
            <w:tcBorders>
              <w:top w:val="single" w:sz="6" w:space="0" w:color="auto"/>
              <w:left w:val="single" w:sz="6" w:space="0" w:color="auto"/>
              <w:bottom w:val="single" w:sz="6" w:space="0" w:color="auto"/>
              <w:right w:val="double" w:sz="12" w:space="0" w:color="auto"/>
            </w:tcBorders>
          </w:tcPr>
          <w:p w14:paraId="71643BD1" w14:textId="77777777" w:rsidR="004558FE" w:rsidRPr="00504DD0" w:rsidRDefault="004558FE" w:rsidP="00895CB0">
            <w:pPr>
              <w:jc w:val="center"/>
            </w:pPr>
            <w:proofErr w:type="gramStart"/>
            <w:r w:rsidRPr="00504DD0">
              <w:t>28.01.2010</w:t>
            </w:r>
            <w:proofErr w:type="gramEnd"/>
          </w:p>
        </w:tc>
        <w:tc>
          <w:tcPr>
            <w:tcW w:w="1276" w:type="dxa"/>
            <w:tcBorders>
              <w:top w:val="single" w:sz="6" w:space="0" w:color="auto"/>
              <w:left w:val="double" w:sz="12" w:space="0" w:color="auto"/>
              <w:bottom w:val="single" w:sz="6" w:space="0" w:color="auto"/>
              <w:right w:val="single" w:sz="6" w:space="0" w:color="auto"/>
            </w:tcBorders>
          </w:tcPr>
          <w:p w14:paraId="2D57BCC9" w14:textId="77777777" w:rsidR="004558FE" w:rsidRPr="00504DD0" w:rsidRDefault="004558FE" w:rsidP="00895CB0">
            <w:pPr>
              <w:jc w:val="center"/>
            </w:pPr>
            <w:proofErr w:type="gramStart"/>
            <w:r w:rsidRPr="00504DD0">
              <w:t>1.01.2010</w:t>
            </w:r>
            <w:proofErr w:type="gramEnd"/>
          </w:p>
        </w:tc>
        <w:tc>
          <w:tcPr>
            <w:tcW w:w="1275" w:type="dxa"/>
            <w:tcBorders>
              <w:top w:val="single" w:sz="6" w:space="0" w:color="auto"/>
              <w:left w:val="single" w:sz="6" w:space="0" w:color="auto"/>
              <w:bottom w:val="single" w:sz="6" w:space="0" w:color="auto"/>
              <w:right w:val="single" w:sz="12" w:space="0" w:color="auto"/>
            </w:tcBorders>
          </w:tcPr>
          <w:p w14:paraId="19F2283D" w14:textId="77777777" w:rsidR="004558FE" w:rsidRPr="00504DD0" w:rsidRDefault="004558FE" w:rsidP="00895CB0">
            <w:pPr>
              <w:jc w:val="center"/>
            </w:pPr>
            <w:proofErr w:type="gramStart"/>
            <w:r w:rsidRPr="00504DD0">
              <w:t>31.12.2010</w:t>
            </w:r>
            <w:proofErr w:type="gramEnd"/>
          </w:p>
        </w:tc>
      </w:tr>
      <w:tr w:rsidR="004558FE" w:rsidRPr="00504DD0" w14:paraId="41DD1697" w14:textId="77777777" w:rsidTr="00895CB0">
        <w:tc>
          <w:tcPr>
            <w:tcW w:w="1418" w:type="dxa"/>
            <w:tcBorders>
              <w:top w:val="single" w:sz="6" w:space="0" w:color="auto"/>
              <w:left w:val="single" w:sz="12" w:space="0" w:color="auto"/>
              <w:bottom w:val="single" w:sz="6" w:space="0" w:color="auto"/>
              <w:right w:val="double" w:sz="12" w:space="0" w:color="auto"/>
            </w:tcBorders>
          </w:tcPr>
          <w:p w14:paraId="30F50760" w14:textId="77777777" w:rsidR="004558FE" w:rsidRPr="00504DD0" w:rsidRDefault="004558FE" w:rsidP="00895CB0">
            <w:pPr>
              <w:jc w:val="center"/>
            </w:pPr>
            <w:r w:rsidRPr="00504DD0">
              <w:t>11</w:t>
            </w:r>
          </w:p>
        </w:tc>
        <w:tc>
          <w:tcPr>
            <w:tcW w:w="1417" w:type="dxa"/>
            <w:tcBorders>
              <w:top w:val="single" w:sz="6" w:space="0" w:color="auto"/>
              <w:left w:val="double" w:sz="12" w:space="0" w:color="auto"/>
              <w:bottom w:val="single" w:sz="6" w:space="0" w:color="auto"/>
              <w:right w:val="single" w:sz="6" w:space="0" w:color="auto"/>
            </w:tcBorders>
          </w:tcPr>
          <w:p w14:paraId="4328C684" w14:textId="77777777" w:rsidR="004558FE" w:rsidRPr="00504DD0" w:rsidRDefault="004558FE" w:rsidP="00895CB0">
            <w:pPr>
              <w:jc w:val="center"/>
            </w:pPr>
            <w:r w:rsidRPr="00504DD0">
              <w:t>11/2010</w:t>
            </w:r>
          </w:p>
        </w:tc>
        <w:tc>
          <w:tcPr>
            <w:tcW w:w="1276" w:type="dxa"/>
            <w:tcBorders>
              <w:top w:val="single" w:sz="6" w:space="0" w:color="auto"/>
              <w:left w:val="single" w:sz="6" w:space="0" w:color="auto"/>
              <w:bottom w:val="single" w:sz="6" w:space="0" w:color="auto"/>
              <w:right w:val="double" w:sz="12" w:space="0" w:color="auto"/>
            </w:tcBorders>
          </w:tcPr>
          <w:p w14:paraId="0E548B3A" w14:textId="77777777" w:rsidR="004558FE" w:rsidRPr="00504DD0" w:rsidRDefault="004558FE" w:rsidP="00895CB0">
            <w:pPr>
              <w:jc w:val="center"/>
            </w:pPr>
            <w:proofErr w:type="gramStart"/>
            <w:r w:rsidRPr="00504DD0">
              <w:t>15.12.2010</w:t>
            </w:r>
            <w:proofErr w:type="gramEnd"/>
          </w:p>
        </w:tc>
        <w:tc>
          <w:tcPr>
            <w:tcW w:w="851" w:type="dxa"/>
            <w:tcBorders>
              <w:top w:val="single" w:sz="6" w:space="0" w:color="auto"/>
              <w:left w:val="double" w:sz="12" w:space="0" w:color="auto"/>
              <w:bottom w:val="single" w:sz="6" w:space="0" w:color="auto"/>
              <w:right w:val="single" w:sz="6" w:space="0" w:color="auto"/>
            </w:tcBorders>
          </w:tcPr>
          <w:p w14:paraId="5C6DD84E" w14:textId="77777777" w:rsidR="004558FE" w:rsidRPr="00504DD0" w:rsidRDefault="004558FE" w:rsidP="00895CB0">
            <w:pPr>
              <w:jc w:val="center"/>
            </w:pPr>
            <w:r w:rsidRPr="00504DD0">
              <w:t>2</w:t>
            </w:r>
          </w:p>
        </w:tc>
        <w:tc>
          <w:tcPr>
            <w:tcW w:w="1559" w:type="dxa"/>
            <w:tcBorders>
              <w:top w:val="single" w:sz="6" w:space="0" w:color="auto"/>
              <w:left w:val="single" w:sz="6" w:space="0" w:color="auto"/>
              <w:bottom w:val="single" w:sz="6" w:space="0" w:color="auto"/>
              <w:right w:val="double" w:sz="12" w:space="0" w:color="auto"/>
            </w:tcBorders>
          </w:tcPr>
          <w:p w14:paraId="7D1016ED" w14:textId="77777777" w:rsidR="004558FE" w:rsidRPr="00504DD0" w:rsidRDefault="004558FE" w:rsidP="00895CB0">
            <w:pPr>
              <w:jc w:val="center"/>
            </w:pPr>
            <w:proofErr w:type="gramStart"/>
            <w:r w:rsidRPr="00504DD0">
              <w:t>23.01.2011</w:t>
            </w:r>
            <w:proofErr w:type="gramEnd"/>
          </w:p>
        </w:tc>
        <w:tc>
          <w:tcPr>
            <w:tcW w:w="1276" w:type="dxa"/>
            <w:tcBorders>
              <w:top w:val="single" w:sz="6" w:space="0" w:color="auto"/>
              <w:left w:val="double" w:sz="12" w:space="0" w:color="auto"/>
              <w:bottom w:val="single" w:sz="6" w:space="0" w:color="auto"/>
              <w:right w:val="single" w:sz="6" w:space="0" w:color="auto"/>
            </w:tcBorders>
          </w:tcPr>
          <w:p w14:paraId="6D4C8632" w14:textId="77777777" w:rsidR="004558FE" w:rsidRPr="00504DD0" w:rsidRDefault="004558FE" w:rsidP="00895CB0">
            <w:pPr>
              <w:jc w:val="center"/>
            </w:pPr>
            <w:proofErr w:type="gramStart"/>
            <w:r w:rsidRPr="00504DD0">
              <w:t>1.01.2011</w:t>
            </w:r>
            <w:proofErr w:type="gramEnd"/>
          </w:p>
        </w:tc>
        <w:tc>
          <w:tcPr>
            <w:tcW w:w="1275" w:type="dxa"/>
            <w:tcBorders>
              <w:top w:val="single" w:sz="6" w:space="0" w:color="auto"/>
              <w:left w:val="single" w:sz="6" w:space="0" w:color="auto"/>
              <w:bottom w:val="single" w:sz="6" w:space="0" w:color="auto"/>
              <w:right w:val="single" w:sz="12" w:space="0" w:color="auto"/>
            </w:tcBorders>
          </w:tcPr>
          <w:p w14:paraId="2BC50EFF" w14:textId="77777777" w:rsidR="004558FE" w:rsidRPr="00504DD0" w:rsidRDefault="004558FE" w:rsidP="00895CB0">
            <w:pPr>
              <w:jc w:val="center"/>
            </w:pPr>
            <w:proofErr w:type="gramStart"/>
            <w:r w:rsidRPr="00504DD0">
              <w:t>31.12.2011</w:t>
            </w:r>
            <w:proofErr w:type="gramEnd"/>
          </w:p>
        </w:tc>
      </w:tr>
      <w:tr w:rsidR="004558FE" w:rsidRPr="00504DD0" w14:paraId="6C1579E1" w14:textId="77777777" w:rsidTr="00895CB0">
        <w:tc>
          <w:tcPr>
            <w:tcW w:w="1418" w:type="dxa"/>
            <w:tcBorders>
              <w:top w:val="single" w:sz="6" w:space="0" w:color="auto"/>
              <w:left w:val="single" w:sz="12" w:space="0" w:color="auto"/>
              <w:bottom w:val="single" w:sz="6" w:space="0" w:color="auto"/>
              <w:right w:val="double" w:sz="12" w:space="0" w:color="auto"/>
            </w:tcBorders>
          </w:tcPr>
          <w:p w14:paraId="59B88368" w14:textId="77777777" w:rsidR="004558FE" w:rsidRPr="00504DD0" w:rsidRDefault="004558FE" w:rsidP="00895CB0">
            <w:pPr>
              <w:jc w:val="center"/>
            </w:pPr>
            <w:r w:rsidRPr="00504DD0">
              <w:t>12</w:t>
            </w:r>
          </w:p>
        </w:tc>
        <w:tc>
          <w:tcPr>
            <w:tcW w:w="1417" w:type="dxa"/>
            <w:tcBorders>
              <w:top w:val="single" w:sz="6" w:space="0" w:color="auto"/>
              <w:left w:val="double" w:sz="12" w:space="0" w:color="auto"/>
              <w:bottom w:val="single" w:sz="6" w:space="0" w:color="auto"/>
              <w:right w:val="single" w:sz="6" w:space="0" w:color="auto"/>
            </w:tcBorders>
          </w:tcPr>
          <w:p w14:paraId="169623D8" w14:textId="77777777" w:rsidR="004558FE" w:rsidRPr="00504DD0" w:rsidRDefault="004558FE" w:rsidP="00895CB0">
            <w:pPr>
              <w:jc w:val="center"/>
            </w:pPr>
            <w:r w:rsidRPr="00504DD0">
              <w:t>10/2011</w:t>
            </w:r>
          </w:p>
        </w:tc>
        <w:tc>
          <w:tcPr>
            <w:tcW w:w="1276" w:type="dxa"/>
            <w:tcBorders>
              <w:top w:val="single" w:sz="6" w:space="0" w:color="auto"/>
              <w:left w:val="single" w:sz="6" w:space="0" w:color="auto"/>
              <w:bottom w:val="single" w:sz="6" w:space="0" w:color="auto"/>
              <w:right w:val="double" w:sz="12" w:space="0" w:color="auto"/>
            </w:tcBorders>
          </w:tcPr>
          <w:p w14:paraId="18E9E100" w14:textId="77777777" w:rsidR="004558FE" w:rsidRPr="00504DD0" w:rsidRDefault="004558FE" w:rsidP="00895CB0">
            <w:pPr>
              <w:jc w:val="center"/>
            </w:pPr>
            <w:proofErr w:type="gramStart"/>
            <w:r w:rsidRPr="00504DD0">
              <w:t>7.12.2011</w:t>
            </w:r>
            <w:proofErr w:type="gramEnd"/>
          </w:p>
        </w:tc>
        <w:tc>
          <w:tcPr>
            <w:tcW w:w="851" w:type="dxa"/>
            <w:tcBorders>
              <w:top w:val="single" w:sz="6" w:space="0" w:color="auto"/>
              <w:left w:val="double" w:sz="12" w:space="0" w:color="auto"/>
              <w:bottom w:val="single" w:sz="6" w:space="0" w:color="auto"/>
              <w:right w:val="single" w:sz="6" w:space="0" w:color="auto"/>
            </w:tcBorders>
          </w:tcPr>
          <w:p w14:paraId="5F697412" w14:textId="77777777" w:rsidR="004558FE" w:rsidRPr="00504DD0" w:rsidRDefault="004558FE" w:rsidP="00895CB0">
            <w:pPr>
              <w:jc w:val="center"/>
            </w:pPr>
            <w:r w:rsidRPr="00504DD0">
              <w:t>2</w:t>
            </w:r>
          </w:p>
        </w:tc>
        <w:tc>
          <w:tcPr>
            <w:tcW w:w="1559" w:type="dxa"/>
            <w:tcBorders>
              <w:top w:val="single" w:sz="6" w:space="0" w:color="auto"/>
              <w:left w:val="single" w:sz="6" w:space="0" w:color="auto"/>
              <w:bottom w:val="single" w:sz="6" w:space="0" w:color="auto"/>
              <w:right w:val="double" w:sz="12" w:space="0" w:color="auto"/>
            </w:tcBorders>
          </w:tcPr>
          <w:p w14:paraId="6B96C3C8" w14:textId="77777777" w:rsidR="004558FE" w:rsidRPr="00504DD0" w:rsidRDefault="004558FE" w:rsidP="00895CB0">
            <w:pPr>
              <w:jc w:val="center"/>
            </w:pPr>
            <w:proofErr w:type="gramStart"/>
            <w:r w:rsidRPr="00504DD0">
              <w:t>25.01.2012</w:t>
            </w:r>
            <w:proofErr w:type="gramEnd"/>
          </w:p>
        </w:tc>
        <w:tc>
          <w:tcPr>
            <w:tcW w:w="1276" w:type="dxa"/>
            <w:tcBorders>
              <w:top w:val="single" w:sz="6" w:space="0" w:color="auto"/>
              <w:left w:val="double" w:sz="12" w:space="0" w:color="auto"/>
              <w:bottom w:val="single" w:sz="6" w:space="0" w:color="auto"/>
              <w:right w:val="single" w:sz="6" w:space="0" w:color="auto"/>
            </w:tcBorders>
          </w:tcPr>
          <w:p w14:paraId="11E1C96B" w14:textId="77777777" w:rsidR="004558FE" w:rsidRPr="00504DD0" w:rsidRDefault="004558FE" w:rsidP="00895CB0">
            <w:pPr>
              <w:jc w:val="center"/>
            </w:pPr>
            <w:proofErr w:type="gramStart"/>
            <w:r w:rsidRPr="00504DD0">
              <w:t>1.01.2012</w:t>
            </w:r>
            <w:proofErr w:type="gramEnd"/>
          </w:p>
        </w:tc>
        <w:tc>
          <w:tcPr>
            <w:tcW w:w="1275" w:type="dxa"/>
            <w:tcBorders>
              <w:top w:val="single" w:sz="6" w:space="0" w:color="auto"/>
              <w:left w:val="single" w:sz="6" w:space="0" w:color="auto"/>
              <w:bottom w:val="single" w:sz="6" w:space="0" w:color="auto"/>
              <w:right w:val="single" w:sz="12" w:space="0" w:color="auto"/>
            </w:tcBorders>
          </w:tcPr>
          <w:p w14:paraId="1DF8C7CB" w14:textId="77777777" w:rsidR="004558FE" w:rsidRPr="00504DD0" w:rsidRDefault="004558FE" w:rsidP="00895CB0">
            <w:pPr>
              <w:jc w:val="center"/>
            </w:pPr>
            <w:proofErr w:type="gramStart"/>
            <w:r w:rsidRPr="00504DD0">
              <w:t>31.12.2012</w:t>
            </w:r>
            <w:proofErr w:type="gramEnd"/>
          </w:p>
        </w:tc>
      </w:tr>
      <w:tr w:rsidR="004558FE" w:rsidRPr="00504DD0" w14:paraId="2CE2E60B" w14:textId="77777777" w:rsidTr="00895CB0">
        <w:tc>
          <w:tcPr>
            <w:tcW w:w="1418" w:type="dxa"/>
            <w:tcBorders>
              <w:top w:val="single" w:sz="6" w:space="0" w:color="auto"/>
              <w:left w:val="single" w:sz="12" w:space="0" w:color="auto"/>
              <w:bottom w:val="single" w:sz="6" w:space="0" w:color="auto"/>
              <w:right w:val="double" w:sz="12" w:space="0" w:color="auto"/>
            </w:tcBorders>
          </w:tcPr>
          <w:p w14:paraId="0EF1A35A" w14:textId="77777777" w:rsidR="004558FE" w:rsidRPr="00504DD0" w:rsidRDefault="004558FE" w:rsidP="00895CB0">
            <w:pPr>
              <w:jc w:val="center"/>
            </w:pPr>
            <w:r w:rsidRPr="00504DD0">
              <w:t>13</w:t>
            </w:r>
          </w:p>
        </w:tc>
        <w:tc>
          <w:tcPr>
            <w:tcW w:w="1417" w:type="dxa"/>
            <w:tcBorders>
              <w:top w:val="single" w:sz="6" w:space="0" w:color="auto"/>
              <w:left w:val="double" w:sz="12" w:space="0" w:color="auto"/>
              <w:bottom w:val="single" w:sz="6" w:space="0" w:color="auto"/>
              <w:right w:val="single" w:sz="6" w:space="0" w:color="auto"/>
            </w:tcBorders>
          </w:tcPr>
          <w:p w14:paraId="67147BD9" w14:textId="77777777" w:rsidR="004558FE" w:rsidRPr="00504DD0" w:rsidRDefault="004558FE" w:rsidP="00895CB0">
            <w:pPr>
              <w:jc w:val="center"/>
            </w:pPr>
            <w:r w:rsidRPr="00504DD0">
              <w:t>10/2012</w:t>
            </w:r>
          </w:p>
        </w:tc>
        <w:tc>
          <w:tcPr>
            <w:tcW w:w="1276" w:type="dxa"/>
            <w:tcBorders>
              <w:top w:val="single" w:sz="6" w:space="0" w:color="auto"/>
              <w:left w:val="single" w:sz="6" w:space="0" w:color="auto"/>
              <w:bottom w:val="single" w:sz="6" w:space="0" w:color="auto"/>
              <w:right w:val="double" w:sz="12" w:space="0" w:color="auto"/>
            </w:tcBorders>
          </w:tcPr>
          <w:p w14:paraId="17E030F7" w14:textId="77777777" w:rsidR="004558FE" w:rsidRPr="00504DD0" w:rsidRDefault="004558FE" w:rsidP="00895CB0">
            <w:pPr>
              <w:jc w:val="center"/>
            </w:pPr>
            <w:proofErr w:type="gramStart"/>
            <w:r w:rsidRPr="00504DD0">
              <w:t>5.12.2012</w:t>
            </w:r>
            <w:proofErr w:type="gramEnd"/>
          </w:p>
        </w:tc>
        <w:tc>
          <w:tcPr>
            <w:tcW w:w="851" w:type="dxa"/>
            <w:tcBorders>
              <w:top w:val="single" w:sz="6" w:space="0" w:color="auto"/>
              <w:left w:val="double" w:sz="12" w:space="0" w:color="auto"/>
              <w:bottom w:val="single" w:sz="6" w:space="0" w:color="auto"/>
              <w:right w:val="single" w:sz="6" w:space="0" w:color="auto"/>
            </w:tcBorders>
          </w:tcPr>
          <w:p w14:paraId="0EC3343F" w14:textId="77777777" w:rsidR="004558FE" w:rsidRPr="00504DD0" w:rsidRDefault="004558FE" w:rsidP="00895CB0">
            <w:pPr>
              <w:jc w:val="center"/>
            </w:pPr>
            <w:r w:rsidRPr="00504DD0">
              <w:t>2</w:t>
            </w:r>
          </w:p>
        </w:tc>
        <w:tc>
          <w:tcPr>
            <w:tcW w:w="1559" w:type="dxa"/>
            <w:tcBorders>
              <w:top w:val="single" w:sz="6" w:space="0" w:color="auto"/>
              <w:left w:val="single" w:sz="6" w:space="0" w:color="auto"/>
              <w:bottom w:val="single" w:sz="6" w:space="0" w:color="auto"/>
              <w:right w:val="double" w:sz="12" w:space="0" w:color="auto"/>
            </w:tcBorders>
          </w:tcPr>
          <w:p w14:paraId="71B8176C" w14:textId="77777777" w:rsidR="004558FE" w:rsidRPr="00504DD0" w:rsidRDefault="004558FE" w:rsidP="00895CB0">
            <w:pPr>
              <w:jc w:val="center"/>
            </w:pPr>
            <w:proofErr w:type="gramStart"/>
            <w:r w:rsidRPr="00504DD0">
              <w:t>23.01.2013</w:t>
            </w:r>
            <w:proofErr w:type="gramEnd"/>
          </w:p>
        </w:tc>
        <w:tc>
          <w:tcPr>
            <w:tcW w:w="1276" w:type="dxa"/>
            <w:tcBorders>
              <w:top w:val="single" w:sz="6" w:space="0" w:color="auto"/>
              <w:left w:val="double" w:sz="12" w:space="0" w:color="auto"/>
              <w:bottom w:val="single" w:sz="6" w:space="0" w:color="auto"/>
              <w:right w:val="single" w:sz="6" w:space="0" w:color="auto"/>
            </w:tcBorders>
          </w:tcPr>
          <w:p w14:paraId="3E676F77" w14:textId="77777777" w:rsidR="004558FE" w:rsidRPr="00504DD0" w:rsidRDefault="004558FE" w:rsidP="00895CB0">
            <w:pPr>
              <w:jc w:val="center"/>
            </w:pPr>
            <w:proofErr w:type="gramStart"/>
            <w:r w:rsidRPr="00504DD0">
              <w:t>1.01.2013</w:t>
            </w:r>
            <w:proofErr w:type="gramEnd"/>
          </w:p>
        </w:tc>
        <w:tc>
          <w:tcPr>
            <w:tcW w:w="1275" w:type="dxa"/>
            <w:tcBorders>
              <w:top w:val="single" w:sz="6" w:space="0" w:color="auto"/>
              <w:left w:val="single" w:sz="6" w:space="0" w:color="auto"/>
              <w:bottom w:val="single" w:sz="6" w:space="0" w:color="auto"/>
              <w:right w:val="single" w:sz="12" w:space="0" w:color="auto"/>
            </w:tcBorders>
          </w:tcPr>
          <w:p w14:paraId="212BEAFE" w14:textId="77777777" w:rsidR="004558FE" w:rsidRPr="00504DD0" w:rsidRDefault="004558FE" w:rsidP="00895CB0">
            <w:pPr>
              <w:jc w:val="center"/>
            </w:pPr>
            <w:proofErr w:type="gramStart"/>
            <w:r w:rsidRPr="00504DD0">
              <w:t>31.12.2013</w:t>
            </w:r>
            <w:proofErr w:type="gramEnd"/>
          </w:p>
        </w:tc>
      </w:tr>
      <w:tr w:rsidR="004558FE" w:rsidRPr="00504DD0" w14:paraId="0D97381D" w14:textId="77777777" w:rsidTr="00895CB0">
        <w:tc>
          <w:tcPr>
            <w:tcW w:w="1418" w:type="dxa"/>
            <w:tcBorders>
              <w:top w:val="single" w:sz="6" w:space="0" w:color="auto"/>
              <w:left w:val="single" w:sz="12" w:space="0" w:color="auto"/>
              <w:bottom w:val="single" w:sz="6" w:space="0" w:color="auto"/>
              <w:right w:val="double" w:sz="12" w:space="0" w:color="auto"/>
            </w:tcBorders>
          </w:tcPr>
          <w:p w14:paraId="17A010AF" w14:textId="77777777" w:rsidR="004558FE" w:rsidRPr="00504DD0" w:rsidRDefault="004558FE" w:rsidP="00895CB0">
            <w:pPr>
              <w:jc w:val="center"/>
            </w:pPr>
            <w:r w:rsidRPr="00504DD0">
              <w:t>14</w:t>
            </w:r>
          </w:p>
        </w:tc>
        <w:tc>
          <w:tcPr>
            <w:tcW w:w="1417" w:type="dxa"/>
            <w:tcBorders>
              <w:top w:val="single" w:sz="6" w:space="0" w:color="auto"/>
              <w:left w:val="double" w:sz="12" w:space="0" w:color="auto"/>
              <w:bottom w:val="single" w:sz="6" w:space="0" w:color="auto"/>
              <w:right w:val="single" w:sz="6" w:space="0" w:color="auto"/>
            </w:tcBorders>
          </w:tcPr>
          <w:p w14:paraId="72ACD77F" w14:textId="77777777" w:rsidR="004558FE" w:rsidRPr="00504DD0" w:rsidRDefault="004558FE" w:rsidP="00895CB0">
            <w:pPr>
              <w:jc w:val="center"/>
            </w:pPr>
            <w:r w:rsidRPr="00504DD0">
              <w:t>15/2013</w:t>
            </w:r>
          </w:p>
        </w:tc>
        <w:tc>
          <w:tcPr>
            <w:tcW w:w="1276" w:type="dxa"/>
            <w:tcBorders>
              <w:top w:val="single" w:sz="6" w:space="0" w:color="auto"/>
              <w:left w:val="single" w:sz="6" w:space="0" w:color="auto"/>
              <w:bottom w:val="single" w:sz="6" w:space="0" w:color="auto"/>
              <w:right w:val="double" w:sz="12" w:space="0" w:color="auto"/>
            </w:tcBorders>
          </w:tcPr>
          <w:p w14:paraId="6BD41FBD" w14:textId="77777777" w:rsidR="004558FE" w:rsidRPr="00504DD0" w:rsidRDefault="004558FE" w:rsidP="00895CB0">
            <w:pPr>
              <w:jc w:val="center"/>
            </w:pPr>
            <w:proofErr w:type="gramStart"/>
            <w:r w:rsidRPr="00504DD0">
              <w:t>11.12.2013</w:t>
            </w:r>
            <w:proofErr w:type="gramEnd"/>
          </w:p>
        </w:tc>
        <w:tc>
          <w:tcPr>
            <w:tcW w:w="851" w:type="dxa"/>
            <w:tcBorders>
              <w:top w:val="single" w:sz="6" w:space="0" w:color="auto"/>
              <w:left w:val="double" w:sz="12" w:space="0" w:color="auto"/>
              <w:bottom w:val="single" w:sz="6" w:space="0" w:color="auto"/>
              <w:right w:val="single" w:sz="6" w:space="0" w:color="auto"/>
            </w:tcBorders>
          </w:tcPr>
          <w:p w14:paraId="43D2988F" w14:textId="77777777" w:rsidR="004558FE" w:rsidRPr="00504DD0" w:rsidRDefault="004558FE" w:rsidP="00895CB0">
            <w:pPr>
              <w:jc w:val="center"/>
            </w:pPr>
            <w:r w:rsidRPr="00504DD0">
              <w:t>2</w:t>
            </w:r>
          </w:p>
        </w:tc>
        <w:tc>
          <w:tcPr>
            <w:tcW w:w="1559" w:type="dxa"/>
            <w:tcBorders>
              <w:top w:val="single" w:sz="6" w:space="0" w:color="auto"/>
              <w:left w:val="single" w:sz="6" w:space="0" w:color="auto"/>
              <w:bottom w:val="single" w:sz="6" w:space="0" w:color="auto"/>
              <w:right w:val="double" w:sz="12" w:space="0" w:color="auto"/>
            </w:tcBorders>
          </w:tcPr>
          <w:p w14:paraId="01338C61" w14:textId="77777777" w:rsidR="004558FE" w:rsidRPr="00504DD0" w:rsidRDefault="004558FE" w:rsidP="00895CB0">
            <w:pPr>
              <w:jc w:val="center"/>
            </w:pPr>
            <w:proofErr w:type="gramStart"/>
            <w:r w:rsidRPr="00504DD0">
              <w:t>27.01.2014</w:t>
            </w:r>
            <w:proofErr w:type="gramEnd"/>
          </w:p>
        </w:tc>
        <w:tc>
          <w:tcPr>
            <w:tcW w:w="1276" w:type="dxa"/>
            <w:tcBorders>
              <w:top w:val="single" w:sz="6" w:space="0" w:color="auto"/>
              <w:left w:val="double" w:sz="12" w:space="0" w:color="auto"/>
              <w:bottom w:val="single" w:sz="6" w:space="0" w:color="auto"/>
              <w:right w:val="single" w:sz="6" w:space="0" w:color="auto"/>
            </w:tcBorders>
          </w:tcPr>
          <w:p w14:paraId="319D2454" w14:textId="77777777" w:rsidR="004558FE" w:rsidRPr="00504DD0" w:rsidRDefault="004558FE" w:rsidP="00895CB0">
            <w:pPr>
              <w:jc w:val="center"/>
            </w:pPr>
            <w:proofErr w:type="gramStart"/>
            <w:r w:rsidRPr="00504DD0">
              <w:t>1.01.2014</w:t>
            </w:r>
            <w:proofErr w:type="gramEnd"/>
          </w:p>
        </w:tc>
        <w:tc>
          <w:tcPr>
            <w:tcW w:w="1275" w:type="dxa"/>
            <w:tcBorders>
              <w:top w:val="single" w:sz="6" w:space="0" w:color="auto"/>
              <w:left w:val="single" w:sz="6" w:space="0" w:color="auto"/>
              <w:bottom w:val="single" w:sz="6" w:space="0" w:color="auto"/>
              <w:right w:val="single" w:sz="12" w:space="0" w:color="auto"/>
            </w:tcBorders>
          </w:tcPr>
          <w:p w14:paraId="7487821B" w14:textId="77777777" w:rsidR="004558FE" w:rsidRPr="00504DD0" w:rsidRDefault="004558FE" w:rsidP="00895CB0">
            <w:pPr>
              <w:jc w:val="center"/>
            </w:pPr>
            <w:proofErr w:type="gramStart"/>
            <w:r w:rsidRPr="00504DD0">
              <w:t>31.12.2014</w:t>
            </w:r>
            <w:proofErr w:type="gramEnd"/>
          </w:p>
        </w:tc>
      </w:tr>
      <w:tr w:rsidR="004558FE" w:rsidRPr="00504DD0" w14:paraId="0F82A747" w14:textId="77777777" w:rsidTr="00895CB0">
        <w:tc>
          <w:tcPr>
            <w:tcW w:w="1418" w:type="dxa"/>
            <w:tcBorders>
              <w:top w:val="single" w:sz="6" w:space="0" w:color="auto"/>
              <w:left w:val="single" w:sz="12" w:space="0" w:color="auto"/>
              <w:bottom w:val="single" w:sz="6" w:space="0" w:color="auto"/>
              <w:right w:val="double" w:sz="12" w:space="0" w:color="auto"/>
            </w:tcBorders>
          </w:tcPr>
          <w:p w14:paraId="7D507AC9" w14:textId="77777777" w:rsidR="004558FE" w:rsidRPr="00504DD0" w:rsidRDefault="004558FE" w:rsidP="00895CB0">
            <w:pPr>
              <w:jc w:val="center"/>
            </w:pPr>
            <w:r w:rsidRPr="00504DD0">
              <w:t>15</w:t>
            </w:r>
          </w:p>
        </w:tc>
        <w:tc>
          <w:tcPr>
            <w:tcW w:w="1417" w:type="dxa"/>
            <w:tcBorders>
              <w:top w:val="single" w:sz="6" w:space="0" w:color="auto"/>
              <w:left w:val="double" w:sz="12" w:space="0" w:color="auto"/>
              <w:bottom w:val="single" w:sz="6" w:space="0" w:color="auto"/>
              <w:right w:val="single" w:sz="6" w:space="0" w:color="auto"/>
            </w:tcBorders>
          </w:tcPr>
          <w:p w14:paraId="13837173" w14:textId="77777777" w:rsidR="004558FE" w:rsidRPr="00504DD0" w:rsidRDefault="004558FE" w:rsidP="00895CB0">
            <w:pPr>
              <w:jc w:val="center"/>
            </w:pPr>
            <w:r w:rsidRPr="00504DD0">
              <w:t>10/2014</w:t>
            </w:r>
          </w:p>
        </w:tc>
        <w:tc>
          <w:tcPr>
            <w:tcW w:w="1276" w:type="dxa"/>
            <w:tcBorders>
              <w:top w:val="single" w:sz="6" w:space="0" w:color="auto"/>
              <w:left w:val="single" w:sz="6" w:space="0" w:color="auto"/>
              <w:bottom w:val="single" w:sz="6" w:space="0" w:color="auto"/>
              <w:right w:val="double" w:sz="12" w:space="0" w:color="auto"/>
            </w:tcBorders>
          </w:tcPr>
          <w:p w14:paraId="34A408FE" w14:textId="77777777" w:rsidR="004558FE" w:rsidRPr="00504DD0" w:rsidRDefault="004558FE" w:rsidP="00895CB0">
            <w:pPr>
              <w:jc w:val="center"/>
            </w:pPr>
            <w:proofErr w:type="gramStart"/>
            <w:r w:rsidRPr="00504DD0">
              <w:t>17.12.2014</w:t>
            </w:r>
            <w:proofErr w:type="gramEnd"/>
          </w:p>
        </w:tc>
        <w:tc>
          <w:tcPr>
            <w:tcW w:w="851" w:type="dxa"/>
            <w:tcBorders>
              <w:top w:val="single" w:sz="6" w:space="0" w:color="auto"/>
              <w:left w:val="double" w:sz="12" w:space="0" w:color="auto"/>
              <w:bottom w:val="single" w:sz="6" w:space="0" w:color="auto"/>
              <w:right w:val="single" w:sz="6" w:space="0" w:color="auto"/>
            </w:tcBorders>
          </w:tcPr>
          <w:p w14:paraId="13F9C54E" w14:textId="77777777" w:rsidR="004558FE" w:rsidRPr="00504DD0" w:rsidRDefault="004558FE" w:rsidP="00895CB0">
            <w:pPr>
              <w:jc w:val="center"/>
            </w:pPr>
            <w:r w:rsidRPr="00504DD0">
              <w:t>1</w:t>
            </w:r>
          </w:p>
        </w:tc>
        <w:tc>
          <w:tcPr>
            <w:tcW w:w="1559" w:type="dxa"/>
            <w:tcBorders>
              <w:top w:val="single" w:sz="6" w:space="0" w:color="auto"/>
              <w:left w:val="single" w:sz="6" w:space="0" w:color="auto"/>
              <w:bottom w:val="single" w:sz="6" w:space="0" w:color="auto"/>
              <w:right w:val="double" w:sz="12" w:space="0" w:color="auto"/>
            </w:tcBorders>
          </w:tcPr>
          <w:p w14:paraId="7012EA52" w14:textId="77777777" w:rsidR="004558FE" w:rsidRPr="00504DD0" w:rsidRDefault="004558FE" w:rsidP="00895CB0">
            <w:pPr>
              <w:jc w:val="center"/>
            </w:pPr>
            <w:proofErr w:type="gramStart"/>
            <w:r w:rsidRPr="00504DD0">
              <w:t>27.01.2015</w:t>
            </w:r>
            <w:proofErr w:type="gramEnd"/>
          </w:p>
        </w:tc>
        <w:tc>
          <w:tcPr>
            <w:tcW w:w="1276" w:type="dxa"/>
            <w:tcBorders>
              <w:top w:val="single" w:sz="6" w:space="0" w:color="auto"/>
              <w:left w:val="double" w:sz="12" w:space="0" w:color="auto"/>
              <w:bottom w:val="single" w:sz="6" w:space="0" w:color="auto"/>
              <w:right w:val="single" w:sz="6" w:space="0" w:color="auto"/>
            </w:tcBorders>
          </w:tcPr>
          <w:p w14:paraId="20B43358" w14:textId="77777777" w:rsidR="004558FE" w:rsidRPr="00504DD0" w:rsidRDefault="004558FE" w:rsidP="00895CB0">
            <w:pPr>
              <w:jc w:val="center"/>
            </w:pPr>
            <w:proofErr w:type="gramStart"/>
            <w:r w:rsidRPr="00504DD0">
              <w:t>1.01.2015</w:t>
            </w:r>
            <w:proofErr w:type="gramEnd"/>
          </w:p>
        </w:tc>
        <w:tc>
          <w:tcPr>
            <w:tcW w:w="1275" w:type="dxa"/>
            <w:tcBorders>
              <w:top w:val="single" w:sz="6" w:space="0" w:color="auto"/>
              <w:left w:val="single" w:sz="6" w:space="0" w:color="auto"/>
              <w:bottom w:val="single" w:sz="6" w:space="0" w:color="auto"/>
              <w:right w:val="single" w:sz="12" w:space="0" w:color="auto"/>
            </w:tcBorders>
          </w:tcPr>
          <w:p w14:paraId="3C226B7E" w14:textId="77777777" w:rsidR="004558FE" w:rsidRPr="00504DD0" w:rsidRDefault="004558FE" w:rsidP="00895CB0">
            <w:pPr>
              <w:jc w:val="center"/>
            </w:pPr>
            <w:proofErr w:type="gramStart"/>
            <w:r w:rsidRPr="00504DD0">
              <w:t>31.12.2015</w:t>
            </w:r>
            <w:proofErr w:type="gramEnd"/>
          </w:p>
        </w:tc>
      </w:tr>
      <w:tr w:rsidR="004558FE" w:rsidRPr="00504DD0" w14:paraId="3A8B2D12" w14:textId="77777777" w:rsidTr="00895CB0">
        <w:tc>
          <w:tcPr>
            <w:tcW w:w="1418" w:type="dxa"/>
            <w:tcBorders>
              <w:top w:val="single" w:sz="6" w:space="0" w:color="auto"/>
              <w:left w:val="single" w:sz="12" w:space="0" w:color="auto"/>
              <w:bottom w:val="single" w:sz="6" w:space="0" w:color="auto"/>
              <w:right w:val="double" w:sz="12" w:space="0" w:color="auto"/>
            </w:tcBorders>
          </w:tcPr>
          <w:p w14:paraId="225814DA" w14:textId="77777777" w:rsidR="004558FE" w:rsidRPr="00504DD0" w:rsidRDefault="004558FE" w:rsidP="00895CB0">
            <w:pPr>
              <w:jc w:val="center"/>
            </w:pPr>
            <w:r w:rsidRPr="00504DD0">
              <w:t>16</w:t>
            </w:r>
          </w:p>
        </w:tc>
        <w:tc>
          <w:tcPr>
            <w:tcW w:w="1417" w:type="dxa"/>
            <w:tcBorders>
              <w:top w:val="single" w:sz="6" w:space="0" w:color="auto"/>
              <w:left w:val="double" w:sz="12" w:space="0" w:color="auto"/>
              <w:bottom w:val="single" w:sz="6" w:space="0" w:color="auto"/>
              <w:right w:val="single" w:sz="6" w:space="0" w:color="auto"/>
            </w:tcBorders>
          </w:tcPr>
          <w:p w14:paraId="2824C2AB" w14:textId="77777777" w:rsidR="004558FE" w:rsidRPr="00504DD0" w:rsidRDefault="004558FE" w:rsidP="00895CB0">
            <w:pPr>
              <w:jc w:val="center"/>
            </w:pPr>
            <w:r w:rsidRPr="00504DD0">
              <w:t>15/2015</w:t>
            </w:r>
          </w:p>
        </w:tc>
        <w:tc>
          <w:tcPr>
            <w:tcW w:w="1276" w:type="dxa"/>
            <w:tcBorders>
              <w:top w:val="single" w:sz="6" w:space="0" w:color="auto"/>
              <w:left w:val="single" w:sz="6" w:space="0" w:color="auto"/>
              <w:bottom w:val="single" w:sz="6" w:space="0" w:color="auto"/>
              <w:right w:val="double" w:sz="12" w:space="0" w:color="auto"/>
            </w:tcBorders>
          </w:tcPr>
          <w:p w14:paraId="254CDAF0" w14:textId="77777777" w:rsidR="004558FE" w:rsidRPr="00504DD0" w:rsidRDefault="004558FE" w:rsidP="00895CB0">
            <w:pPr>
              <w:jc w:val="center"/>
            </w:pPr>
            <w:proofErr w:type="gramStart"/>
            <w:r w:rsidRPr="00504DD0">
              <w:t>16.12.2015</w:t>
            </w:r>
            <w:proofErr w:type="gramEnd"/>
          </w:p>
        </w:tc>
        <w:tc>
          <w:tcPr>
            <w:tcW w:w="851" w:type="dxa"/>
            <w:tcBorders>
              <w:top w:val="single" w:sz="6" w:space="0" w:color="auto"/>
              <w:left w:val="double" w:sz="12" w:space="0" w:color="auto"/>
              <w:bottom w:val="single" w:sz="6" w:space="0" w:color="auto"/>
              <w:right w:val="single" w:sz="6" w:space="0" w:color="auto"/>
            </w:tcBorders>
          </w:tcPr>
          <w:p w14:paraId="1077E13D" w14:textId="77777777" w:rsidR="004558FE" w:rsidRPr="00504DD0" w:rsidRDefault="004558FE" w:rsidP="00895CB0">
            <w:pPr>
              <w:jc w:val="center"/>
            </w:pPr>
            <w:r w:rsidRPr="00504DD0">
              <w:t>13</w:t>
            </w:r>
          </w:p>
        </w:tc>
        <w:tc>
          <w:tcPr>
            <w:tcW w:w="1559" w:type="dxa"/>
            <w:tcBorders>
              <w:top w:val="single" w:sz="6" w:space="0" w:color="auto"/>
              <w:left w:val="single" w:sz="6" w:space="0" w:color="auto"/>
              <w:bottom w:val="single" w:sz="6" w:space="0" w:color="auto"/>
              <w:right w:val="double" w:sz="12" w:space="0" w:color="auto"/>
            </w:tcBorders>
          </w:tcPr>
          <w:p w14:paraId="62088F8A" w14:textId="77777777" w:rsidR="004558FE" w:rsidRPr="00504DD0" w:rsidRDefault="004558FE" w:rsidP="00895CB0">
            <w:pPr>
              <w:jc w:val="center"/>
            </w:pPr>
            <w:proofErr w:type="gramStart"/>
            <w:r w:rsidRPr="00504DD0">
              <w:t>23.12.2015</w:t>
            </w:r>
            <w:proofErr w:type="gramEnd"/>
          </w:p>
        </w:tc>
        <w:tc>
          <w:tcPr>
            <w:tcW w:w="1276" w:type="dxa"/>
            <w:tcBorders>
              <w:top w:val="single" w:sz="6" w:space="0" w:color="auto"/>
              <w:left w:val="double" w:sz="12" w:space="0" w:color="auto"/>
              <w:bottom w:val="single" w:sz="6" w:space="0" w:color="auto"/>
              <w:right w:val="single" w:sz="6" w:space="0" w:color="auto"/>
            </w:tcBorders>
          </w:tcPr>
          <w:p w14:paraId="7D778BAD" w14:textId="77777777" w:rsidR="004558FE" w:rsidRPr="00504DD0" w:rsidRDefault="004558FE" w:rsidP="00895CB0">
            <w:pPr>
              <w:jc w:val="center"/>
            </w:pPr>
            <w:proofErr w:type="gramStart"/>
            <w:r w:rsidRPr="00504DD0">
              <w:t>1.01.2016</w:t>
            </w:r>
            <w:proofErr w:type="gramEnd"/>
          </w:p>
        </w:tc>
        <w:tc>
          <w:tcPr>
            <w:tcW w:w="1275" w:type="dxa"/>
            <w:tcBorders>
              <w:top w:val="single" w:sz="6" w:space="0" w:color="auto"/>
              <w:left w:val="single" w:sz="6" w:space="0" w:color="auto"/>
              <w:bottom w:val="single" w:sz="6" w:space="0" w:color="auto"/>
              <w:right w:val="single" w:sz="12" w:space="0" w:color="auto"/>
            </w:tcBorders>
          </w:tcPr>
          <w:p w14:paraId="6E367749" w14:textId="77777777" w:rsidR="004558FE" w:rsidRPr="00504DD0" w:rsidRDefault="004558FE" w:rsidP="00895CB0">
            <w:pPr>
              <w:jc w:val="center"/>
            </w:pPr>
            <w:proofErr w:type="gramStart"/>
            <w:r w:rsidRPr="00504DD0">
              <w:t>31.12.2016</w:t>
            </w:r>
            <w:proofErr w:type="gramEnd"/>
          </w:p>
        </w:tc>
      </w:tr>
      <w:tr w:rsidR="004558FE" w:rsidRPr="00504DD0" w14:paraId="485E310E" w14:textId="77777777" w:rsidTr="00895CB0">
        <w:tc>
          <w:tcPr>
            <w:tcW w:w="1418" w:type="dxa"/>
            <w:tcBorders>
              <w:top w:val="single" w:sz="6" w:space="0" w:color="auto"/>
              <w:left w:val="single" w:sz="12" w:space="0" w:color="auto"/>
              <w:bottom w:val="single" w:sz="6" w:space="0" w:color="auto"/>
              <w:right w:val="double" w:sz="12" w:space="0" w:color="auto"/>
            </w:tcBorders>
          </w:tcPr>
          <w:p w14:paraId="084CE7A1" w14:textId="77777777" w:rsidR="004558FE" w:rsidRPr="00504DD0" w:rsidRDefault="004558FE" w:rsidP="00895CB0">
            <w:pPr>
              <w:jc w:val="center"/>
            </w:pPr>
            <w:r w:rsidRPr="00504DD0">
              <w:t>17</w:t>
            </w:r>
          </w:p>
        </w:tc>
        <w:tc>
          <w:tcPr>
            <w:tcW w:w="1417" w:type="dxa"/>
            <w:tcBorders>
              <w:top w:val="single" w:sz="6" w:space="0" w:color="auto"/>
              <w:left w:val="double" w:sz="12" w:space="0" w:color="auto"/>
              <w:bottom w:val="single" w:sz="6" w:space="0" w:color="auto"/>
              <w:right w:val="single" w:sz="6" w:space="0" w:color="auto"/>
            </w:tcBorders>
          </w:tcPr>
          <w:p w14:paraId="095EC809" w14:textId="77777777" w:rsidR="004558FE" w:rsidRPr="00504DD0" w:rsidRDefault="004558FE" w:rsidP="00895CB0">
            <w:pPr>
              <w:jc w:val="center"/>
            </w:pPr>
            <w:r w:rsidRPr="00504DD0">
              <w:t>16/2016</w:t>
            </w:r>
          </w:p>
        </w:tc>
        <w:tc>
          <w:tcPr>
            <w:tcW w:w="1276" w:type="dxa"/>
            <w:tcBorders>
              <w:top w:val="single" w:sz="6" w:space="0" w:color="auto"/>
              <w:left w:val="single" w:sz="6" w:space="0" w:color="auto"/>
              <w:bottom w:val="single" w:sz="6" w:space="0" w:color="auto"/>
              <w:right w:val="double" w:sz="12" w:space="0" w:color="auto"/>
            </w:tcBorders>
          </w:tcPr>
          <w:p w14:paraId="142CABC2" w14:textId="77777777" w:rsidR="004558FE" w:rsidRPr="00504DD0" w:rsidRDefault="004558FE" w:rsidP="00895CB0">
            <w:pPr>
              <w:jc w:val="center"/>
            </w:pPr>
            <w:proofErr w:type="gramStart"/>
            <w:r w:rsidRPr="00504DD0">
              <w:t>14.12.2016</w:t>
            </w:r>
            <w:proofErr w:type="gramEnd"/>
          </w:p>
        </w:tc>
        <w:tc>
          <w:tcPr>
            <w:tcW w:w="851" w:type="dxa"/>
            <w:tcBorders>
              <w:top w:val="single" w:sz="6" w:space="0" w:color="auto"/>
              <w:left w:val="double" w:sz="12" w:space="0" w:color="auto"/>
              <w:bottom w:val="single" w:sz="6" w:space="0" w:color="auto"/>
              <w:right w:val="single" w:sz="6" w:space="0" w:color="auto"/>
            </w:tcBorders>
          </w:tcPr>
          <w:p w14:paraId="10C5E495" w14:textId="77777777" w:rsidR="004558FE" w:rsidRPr="00504DD0" w:rsidRDefault="004558FE" w:rsidP="00895CB0">
            <w:pPr>
              <w:jc w:val="center"/>
            </w:pPr>
            <w:r w:rsidRPr="00504DD0">
              <w:t>13</w:t>
            </w:r>
          </w:p>
        </w:tc>
        <w:tc>
          <w:tcPr>
            <w:tcW w:w="1559" w:type="dxa"/>
            <w:tcBorders>
              <w:top w:val="single" w:sz="6" w:space="0" w:color="auto"/>
              <w:left w:val="single" w:sz="6" w:space="0" w:color="auto"/>
              <w:bottom w:val="single" w:sz="6" w:space="0" w:color="auto"/>
              <w:right w:val="double" w:sz="12" w:space="0" w:color="auto"/>
            </w:tcBorders>
          </w:tcPr>
          <w:p w14:paraId="12DED6F6" w14:textId="77777777" w:rsidR="004558FE" w:rsidRPr="00504DD0" w:rsidRDefault="004558FE" w:rsidP="00895CB0">
            <w:pPr>
              <w:jc w:val="center"/>
            </w:pPr>
            <w:proofErr w:type="gramStart"/>
            <w:r w:rsidRPr="00504DD0">
              <w:t>27.12.2016</w:t>
            </w:r>
            <w:proofErr w:type="gramEnd"/>
          </w:p>
        </w:tc>
        <w:tc>
          <w:tcPr>
            <w:tcW w:w="1276" w:type="dxa"/>
            <w:tcBorders>
              <w:top w:val="single" w:sz="6" w:space="0" w:color="auto"/>
              <w:left w:val="double" w:sz="12" w:space="0" w:color="auto"/>
              <w:bottom w:val="single" w:sz="6" w:space="0" w:color="auto"/>
              <w:right w:val="single" w:sz="6" w:space="0" w:color="auto"/>
            </w:tcBorders>
          </w:tcPr>
          <w:p w14:paraId="09E96301" w14:textId="77777777" w:rsidR="004558FE" w:rsidRPr="00504DD0" w:rsidRDefault="004558FE" w:rsidP="00895CB0">
            <w:pPr>
              <w:jc w:val="center"/>
            </w:pPr>
            <w:proofErr w:type="gramStart"/>
            <w:r w:rsidRPr="00504DD0">
              <w:t>1.01.2017</w:t>
            </w:r>
            <w:proofErr w:type="gramEnd"/>
          </w:p>
        </w:tc>
        <w:tc>
          <w:tcPr>
            <w:tcW w:w="1275" w:type="dxa"/>
            <w:tcBorders>
              <w:top w:val="single" w:sz="6" w:space="0" w:color="auto"/>
              <w:left w:val="single" w:sz="6" w:space="0" w:color="auto"/>
              <w:bottom w:val="single" w:sz="6" w:space="0" w:color="auto"/>
              <w:right w:val="single" w:sz="12" w:space="0" w:color="auto"/>
            </w:tcBorders>
          </w:tcPr>
          <w:p w14:paraId="5987C35A" w14:textId="77777777" w:rsidR="004558FE" w:rsidRPr="00504DD0" w:rsidRDefault="004558FE" w:rsidP="00895CB0">
            <w:pPr>
              <w:jc w:val="center"/>
            </w:pPr>
            <w:proofErr w:type="gramStart"/>
            <w:r w:rsidRPr="00504DD0">
              <w:t>31.12.2017</w:t>
            </w:r>
            <w:proofErr w:type="gramEnd"/>
          </w:p>
        </w:tc>
      </w:tr>
      <w:tr w:rsidR="004558FE" w:rsidRPr="00504DD0" w14:paraId="4C603015" w14:textId="77777777" w:rsidTr="00895CB0">
        <w:tc>
          <w:tcPr>
            <w:tcW w:w="1418" w:type="dxa"/>
            <w:tcBorders>
              <w:top w:val="single" w:sz="6" w:space="0" w:color="auto"/>
              <w:left w:val="single" w:sz="12" w:space="0" w:color="auto"/>
              <w:bottom w:val="single" w:sz="6" w:space="0" w:color="auto"/>
              <w:right w:val="double" w:sz="12" w:space="0" w:color="auto"/>
            </w:tcBorders>
          </w:tcPr>
          <w:p w14:paraId="608CCC5D" w14:textId="77777777" w:rsidR="004558FE" w:rsidRPr="00504DD0" w:rsidRDefault="004558FE" w:rsidP="00895CB0">
            <w:pPr>
              <w:jc w:val="center"/>
            </w:pPr>
            <w:r w:rsidRPr="00504DD0">
              <w:t>18</w:t>
            </w:r>
          </w:p>
        </w:tc>
        <w:tc>
          <w:tcPr>
            <w:tcW w:w="1417" w:type="dxa"/>
            <w:tcBorders>
              <w:top w:val="single" w:sz="6" w:space="0" w:color="auto"/>
              <w:left w:val="double" w:sz="12" w:space="0" w:color="auto"/>
              <w:bottom w:val="single" w:sz="6" w:space="0" w:color="auto"/>
              <w:right w:val="single" w:sz="6" w:space="0" w:color="auto"/>
            </w:tcBorders>
          </w:tcPr>
          <w:p w14:paraId="1488E34E" w14:textId="77777777" w:rsidR="004558FE" w:rsidRPr="00504DD0" w:rsidRDefault="004558FE" w:rsidP="00895CB0">
            <w:pPr>
              <w:jc w:val="center"/>
            </w:pPr>
            <w:r w:rsidRPr="00504DD0">
              <w:t>21/2017</w:t>
            </w:r>
          </w:p>
        </w:tc>
        <w:tc>
          <w:tcPr>
            <w:tcW w:w="1276" w:type="dxa"/>
            <w:tcBorders>
              <w:top w:val="single" w:sz="6" w:space="0" w:color="auto"/>
              <w:left w:val="single" w:sz="6" w:space="0" w:color="auto"/>
              <w:bottom w:val="single" w:sz="6" w:space="0" w:color="auto"/>
              <w:right w:val="double" w:sz="12" w:space="0" w:color="auto"/>
            </w:tcBorders>
          </w:tcPr>
          <w:p w14:paraId="6284E0CE" w14:textId="77777777" w:rsidR="004558FE" w:rsidRPr="00504DD0" w:rsidRDefault="004558FE" w:rsidP="00895CB0">
            <w:pPr>
              <w:jc w:val="center"/>
            </w:pPr>
            <w:proofErr w:type="gramStart"/>
            <w:r w:rsidRPr="00504DD0">
              <w:t>13.12.2017</w:t>
            </w:r>
            <w:proofErr w:type="gramEnd"/>
          </w:p>
        </w:tc>
        <w:tc>
          <w:tcPr>
            <w:tcW w:w="851" w:type="dxa"/>
            <w:tcBorders>
              <w:top w:val="single" w:sz="6" w:space="0" w:color="auto"/>
              <w:left w:val="double" w:sz="12" w:space="0" w:color="auto"/>
              <w:bottom w:val="single" w:sz="6" w:space="0" w:color="auto"/>
              <w:right w:val="single" w:sz="6" w:space="0" w:color="auto"/>
            </w:tcBorders>
          </w:tcPr>
          <w:p w14:paraId="1EB124E4" w14:textId="77777777" w:rsidR="004558FE" w:rsidRPr="00504DD0" w:rsidRDefault="004558FE" w:rsidP="00895CB0">
            <w:pPr>
              <w:jc w:val="center"/>
            </w:pPr>
            <w:r w:rsidRPr="00504DD0">
              <w:t>1</w:t>
            </w:r>
          </w:p>
        </w:tc>
        <w:tc>
          <w:tcPr>
            <w:tcW w:w="1559" w:type="dxa"/>
            <w:tcBorders>
              <w:top w:val="single" w:sz="6" w:space="0" w:color="auto"/>
              <w:left w:val="single" w:sz="6" w:space="0" w:color="auto"/>
              <w:bottom w:val="single" w:sz="6" w:space="0" w:color="auto"/>
              <w:right w:val="double" w:sz="12" w:space="0" w:color="auto"/>
            </w:tcBorders>
          </w:tcPr>
          <w:p w14:paraId="0CE10171" w14:textId="77777777" w:rsidR="004558FE" w:rsidRPr="00504DD0" w:rsidRDefault="004558FE" w:rsidP="00895CB0">
            <w:pPr>
              <w:jc w:val="center"/>
            </w:pPr>
            <w:proofErr w:type="gramStart"/>
            <w:r w:rsidRPr="00504DD0">
              <w:t>22.01.2018</w:t>
            </w:r>
            <w:proofErr w:type="gramEnd"/>
          </w:p>
        </w:tc>
        <w:tc>
          <w:tcPr>
            <w:tcW w:w="1276" w:type="dxa"/>
            <w:tcBorders>
              <w:top w:val="single" w:sz="6" w:space="0" w:color="auto"/>
              <w:left w:val="double" w:sz="12" w:space="0" w:color="auto"/>
              <w:bottom w:val="single" w:sz="6" w:space="0" w:color="auto"/>
              <w:right w:val="single" w:sz="6" w:space="0" w:color="auto"/>
            </w:tcBorders>
          </w:tcPr>
          <w:p w14:paraId="2F0111E3" w14:textId="77777777" w:rsidR="004558FE" w:rsidRPr="00504DD0" w:rsidRDefault="004558FE" w:rsidP="00895CB0">
            <w:pPr>
              <w:jc w:val="center"/>
            </w:pPr>
            <w:proofErr w:type="gramStart"/>
            <w:r w:rsidRPr="00504DD0">
              <w:t>1.01.2018</w:t>
            </w:r>
            <w:proofErr w:type="gramEnd"/>
          </w:p>
        </w:tc>
        <w:tc>
          <w:tcPr>
            <w:tcW w:w="1275" w:type="dxa"/>
            <w:tcBorders>
              <w:top w:val="single" w:sz="6" w:space="0" w:color="auto"/>
              <w:left w:val="single" w:sz="6" w:space="0" w:color="auto"/>
              <w:bottom w:val="single" w:sz="6" w:space="0" w:color="auto"/>
              <w:right w:val="single" w:sz="12" w:space="0" w:color="auto"/>
            </w:tcBorders>
          </w:tcPr>
          <w:p w14:paraId="5717F007" w14:textId="77777777" w:rsidR="004558FE" w:rsidRPr="00504DD0" w:rsidRDefault="004558FE" w:rsidP="00895CB0">
            <w:pPr>
              <w:jc w:val="center"/>
            </w:pPr>
            <w:proofErr w:type="gramStart"/>
            <w:r w:rsidRPr="00504DD0">
              <w:t>31.12.2018</w:t>
            </w:r>
            <w:proofErr w:type="gramEnd"/>
          </w:p>
        </w:tc>
      </w:tr>
      <w:tr w:rsidR="004558FE" w:rsidRPr="00504DD0" w14:paraId="32A2E957" w14:textId="77777777" w:rsidTr="00895CB0">
        <w:tc>
          <w:tcPr>
            <w:tcW w:w="1418" w:type="dxa"/>
            <w:tcBorders>
              <w:top w:val="single" w:sz="6" w:space="0" w:color="auto"/>
              <w:left w:val="single" w:sz="12" w:space="0" w:color="auto"/>
              <w:bottom w:val="single" w:sz="6" w:space="0" w:color="auto"/>
              <w:right w:val="double" w:sz="12" w:space="0" w:color="auto"/>
            </w:tcBorders>
          </w:tcPr>
          <w:p w14:paraId="212172EB" w14:textId="77777777" w:rsidR="004558FE" w:rsidRPr="00504DD0" w:rsidRDefault="004558FE" w:rsidP="00895CB0">
            <w:pPr>
              <w:jc w:val="center"/>
            </w:pPr>
            <w:r w:rsidRPr="00504DD0">
              <w:t>19 OZV č.11/2018 a její změna a doplnění OZV č.3/2019</w:t>
            </w:r>
          </w:p>
        </w:tc>
        <w:tc>
          <w:tcPr>
            <w:tcW w:w="1417" w:type="dxa"/>
            <w:tcBorders>
              <w:top w:val="single" w:sz="6" w:space="0" w:color="auto"/>
              <w:left w:val="double" w:sz="12" w:space="0" w:color="auto"/>
              <w:bottom w:val="single" w:sz="6" w:space="0" w:color="auto"/>
              <w:right w:val="single" w:sz="6" w:space="0" w:color="auto"/>
            </w:tcBorders>
            <w:vAlign w:val="center"/>
          </w:tcPr>
          <w:p w14:paraId="1B425A52" w14:textId="77777777" w:rsidR="004558FE" w:rsidRPr="00504DD0" w:rsidRDefault="004558FE" w:rsidP="00895CB0">
            <w:pPr>
              <w:jc w:val="center"/>
            </w:pPr>
            <w:r w:rsidRPr="00504DD0">
              <w:t>11/2018</w:t>
            </w:r>
          </w:p>
          <w:p w14:paraId="5B8FB110" w14:textId="77777777" w:rsidR="004558FE" w:rsidRPr="00504DD0" w:rsidRDefault="004558FE" w:rsidP="00895CB0">
            <w:pPr>
              <w:jc w:val="center"/>
            </w:pPr>
            <w:r w:rsidRPr="00504DD0">
              <w:t>3/2019</w:t>
            </w:r>
          </w:p>
        </w:tc>
        <w:tc>
          <w:tcPr>
            <w:tcW w:w="1276" w:type="dxa"/>
            <w:tcBorders>
              <w:top w:val="single" w:sz="6" w:space="0" w:color="auto"/>
              <w:left w:val="single" w:sz="6" w:space="0" w:color="auto"/>
              <w:bottom w:val="single" w:sz="6" w:space="0" w:color="auto"/>
              <w:right w:val="double" w:sz="12" w:space="0" w:color="auto"/>
            </w:tcBorders>
            <w:vAlign w:val="center"/>
          </w:tcPr>
          <w:p w14:paraId="32889246" w14:textId="77777777" w:rsidR="004558FE" w:rsidRPr="00504DD0" w:rsidRDefault="004558FE" w:rsidP="00895CB0">
            <w:pPr>
              <w:jc w:val="center"/>
            </w:pPr>
            <w:proofErr w:type="gramStart"/>
            <w:r w:rsidRPr="00504DD0">
              <w:t>12.12.2018</w:t>
            </w:r>
            <w:proofErr w:type="gramEnd"/>
          </w:p>
          <w:p w14:paraId="3C604AA4" w14:textId="77777777" w:rsidR="004558FE" w:rsidRPr="00504DD0" w:rsidRDefault="004558FE" w:rsidP="00895CB0">
            <w:pPr>
              <w:jc w:val="center"/>
            </w:pPr>
            <w:proofErr w:type="gramStart"/>
            <w:r w:rsidRPr="00504DD0">
              <w:t>30.01.2019</w:t>
            </w:r>
            <w:proofErr w:type="gramEnd"/>
          </w:p>
        </w:tc>
        <w:tc>
          <w:tcPr>
            <w:tcW w:w="851" w:type="dxa"/>
            <w:tcBorders>
              <w:top w:val="single" w:sz="6" w:space="0" w:color="auto"/>
              <w:left w:val="double" w:sz="12" w:space="0" w:color="auto"/>
              <w:bottom w:val="single" w:sz="6" w:space="0" w:color="auto"/>
              <w:right w:val="single" w:sz="6" w:space="0" w:color="auto"/>
            </w:tcBorders>
            <w:vAlign w:val="center"/>
          </w:tcPr>
          <w:p w14:paraId="551C4CCB" w14:textId="77777777" w:rsidR="004558FE" w:rsidRPr="00504DD0" w:rsidRDefault="004558FE" w:rsidP="00895CB0">
            <w:pPr>
              <w:jc w:val="center"/>
            </w:pPr>
            <w:r w:rsidRPr="00504DD0">
              <w:t>3</w:t>
            </w:r>
          </w:p>
        </w:tc>
        <w:tc>
          <w:tcPr>
            <w:tcW w:w="1559" w:type="dxa"/>
            <w:tcBorders>
              <w:top w:val="single" w:sz="6" w:space="0" w:color="auto"/>
              <w:left w:val="single" w:sz="6" w:space="0" w:color="auto"/>
              <w:bottom w:val="single" w:sz="6" w:space="0" w:color="auto"/>
              <w:right w:val="double" w:sz="12" w:space="0" w:color="auto"/>
            </w:tcBorders>
            <w:vAlign w:val="center"/>
          </w:tcPr>
          <w:p w14:paraId="39BAF212" w14:textId="77777777" w:rsidR="004558FE" w:rsidRPr="00504DD0" w:rsidRDefault="004558FE" w:rsidP="00895CB0">
            <w:pPr>
              <w:jc w:val="center"/>
            </w:pPr>
            <w:proofErr w:type="gramStart"/>
            <w:r w:rsidRPr="00504DD0">
              <w:t>21.02.2019</w:t>
            </w:r>
            <w:proofErr w:type="gramEnd"/>
          </w:p>
        </w:tc>
        <w:tc>
          <w:tcPr>
            <w:tcW w:w="1276" w:type="dxa"/>
            <w:tcBorders>
              <w:top w:val="single" w:sz="6" w:space="0" w:color="auto"/>
              <w:left w:val="double" w:sz="12" w:space="0" w:color="auto"/>
              <w:bottom w:val="single" w:sz="6" w:space="0" w:color="auto"/>
              <w:right w:val="single" w:sz="6" w:space="0" w:color="auto"/>
            </w:tcBorders>
            <w:vAlign w:val="center"/>
          </w:tcPr>
          <w:p w14:paraId="53E56CB6" w14:textId="77777777" w:rsidR="004558FE" w:rsidRPr="00504DD0" w:rsidRDefault="004558FE" w:rsidP="00895CB0">
            <w:pPr>
              <w:jc w:val="center"/>
            </w:pPr>
            <w:proofErr w:type="gramStart"/>
            <w:r w:rsidRPr="00504DD0">
              <w:t>1.01.2019</w:t>
            </w:r>
            <w:proofErr w:type="gramEnd"/>
          </w:p>
          <w:p w14:paraId="23886998" w14:textId="77777777" w:rsidR="004558FE" w:rsidRPr="00504DD0" w:rsidRDefault="004558FE" w:rsidP="00895CB0">
            <w:pPr>
              <w:jc w:val="center"/>
            </w:pPr>
            <w:proofErr w:type="gramStart"/>
            <w:r w:rsidRPr="00504DD0">
              <w:t>14.02.2019</w:t>
            </w:r>
            <w:proofErr w:type="gramEnd"/>
          </w:p>
        </w:tc>
        <w:tc>
          <w:tcPr>
            <w:tcW w:w="1275" w:type="dxa"/>
            <w:tcBorders>
              <w:top w:val="single" w:sz="6" w:space="0" w:color="auto"/>
              <w:left w:val="single" w:sz="6" w:space="0" w:color="auto"/>
              <w:bottom w:val="single" w:sz="6" w:space="0" w:color="auto"/>
              <w:right w:val="single" w:sz="12" w:space="0" w:color="auto"/>
            </w:tcBorders>
            <w:vAlign w:val="center"/>
          </w:tcPr>
          <w:p w14:paraId="4347C023" w14:textId="77777777" w:rsidR="004558FE" w:rsidRPr="00504DD0" w:rsidRDefault="004558FE" w:rsidP="00895CB0">
            <w:pPr>
              <w:jc w:val="center"/>
            </w:pPr>
            <w:proofErr w:type="gramStart"/>
            <w:r w:rsidRPr="00504DD0">
              <w:t>31.12.2019</w:t>
            </w:r>
            <w:proofErr w:type="gramEnd"/>
          </w:p>
        </w:tc>
      </w:tr>
      <w:tr w:rsidR="004558FE" w:rsidRPr="00504DD0" w14:paraId="79D6B84F" w14:textId="77777777" w:rsidTr="00895CB0">
        <w:tc>
          <w:tcPr>
            <w:tcW w:w="1418" w:type="dxa"/>
            <w:tcBorders>
              <w:top w:val="single" w:sz="6" w:space="0" w:color="auto"/>
              <w:left w:val="single" w:sz="12" w:space="0" w:color="auto"/>
              <w:bottom w:val="single" w:sz="6" w:space="0" w:color="auto"/>
              <w:right w:val="double" w:sz="12" w:space="0" w:color="auto"/>
            </w:tcBorders>
          </w:tcPr>
          <w:p w14:paraId="2EDE744A" w14:textId="77777777" w:rsidR="004558FE" w:rsidRPr="005D5E8E" w:rsidRDefault="004558FE" w:rsidP="00895CB0">
            <w:pPr>
              <w:jc w:val="center"/>
            </w:pPr>
            <w:r w:rsidRPr="005D5E8E">
              <w:t>20</w:t>
            </w:r>
          </w:p>
        </w:tc>
        <w:tc>
          <w:tcPr>
            <w:tcW w:w="1417" w:type="dxa"/>
            <w:tcBorders>
              <w:top w:val="single" w:sz="6" w:space="0" w:color="auto"/>
              <w:left w:val="double" w:sz="12" w:space="0" w:color="auto"/>
              <w:bottom w:val="single" w:sz="6" w:space="0" w:color="auto"/>
              <w:right w:val="single" w:sz="6" w:space="0" w:color="auto"/>
            </w:tcBorders>
          </w:tcPr>
          <w:p w14:paraId="272011E0" w14:textId="77777777" w:rsidR="004558FE" w:rsidRPr="005D5E8E" w:rsidRDefault="004558FE" w:rsidP="00895CB0">
            <w:pPr>
              <w:jc w:val="center"/>
            </w:pPr>
            <w:r w:rsidRPr="005D5E8E">
              <w:t>17/2019</w:t>
            </w:r>
          </w:p>
        </w:tc>
        <w:tc>
          <w:tcPr>
            <w:tcW w:w="1276" w:type="dxa"/>
            <w:tcBorders>
              <w:top w:val="single" w:sz="6" w:space="0" w:color="auto"/>
              <w:left w:val="single" w:sz="6" w:space="0" w:color="auto"/>
              <w:bottom w:val="single" w:sz="6" w:space="0" w:color="auto"/>
              <w:right w:val="double" w:sz="12" w:space="0" w:color="auto"/>
            </w:tcBorders>
          </w:tcPr>
          <w:p w14:paraId="145A93CC" w14:textId="77777777" w:rsidR="004558FE" w:rsidRPr="005D5E8E" w:rsidRDefault="004558FE" w:rsidP="00895CB0">
            <w:pPr>
              <w:jc w:val="center"/>
            </w:pPr>
            <w:proofErr w:type="gramStart"/>
            <w:r w:rsidRPr="005D5E8E">
              <w:t>11.12.2019</w:t>
            </w:r>
            <w:proofErr w:type="gramEnd"/>
          </w:p>
        </w:tc>
        <w:tc>
          <w:tcPr>
            <w:tcW w:w="851" w:type="dxa"/>
            <w:tcBorders>
              <w:top w:val="single" w:sz="6" w:space="0" w:color="auto"/>
              <w:left w:val="double" w:sz="12" w:space="0" w:color="auto"/>
              <w:bottom w:val="single" w:sz="6" w:space="0" w:color="auto"/>
              <w:right w:val="single" w:sz="6" w:space="0" w:color="auto"/>
            </w:tcBorders>
          </w:tcPr>
          <w:p w14:paraId="71E4AF48" w14:textId="77777777" w:rsidR="004558FE" w:rsidRPr="005D5E8E" w:rsidRDefault="004558FE" w:rsidP="00895CB0">
            <w:pPr>
              <w:jc w:val="center"/>
            </w:pPr>
            <w:r w:rsidRPr="005D5E8E">
              <w:t>17</w:t>
            </w:r>
          </w:p>
        </w:tc>
        <w:tc>
          <w:tcPr>
            <w:tcW w:w="1559" w:type="dxa"/>
            <w:tcBorders>
              <w:top w:val="single" w:sz="6" w:space="0" w:color="auto"/>
              <w:left w:val="single" w:sz="6" w:space="0" w:color="auto"/>
              <w:bottom w:val="single" w:sz="6" w:space="0" w:color="auto"/>
              <w:right w:val="double" w:sz="12" w:space="0" w:color="auto"/>
            </w:tcBorders>
            <w:vAlign w:val="center"/>
          </w:tcPr>
          <w:p w14:paraId="6D254382" w14:textId="77777777" w:rsidR="004558FE" w:rsidRPr="005D5E8E" w:rsidRDefault="004558FE" w:rsidP="00895CB0">
            <w:pPr>
              <w:jc w:val="center"/>
            </w:pPr>
            <w:proofErr w:type="gramStart"/>
            <w:r w:rsidRPr="005D5E8E">
              <w:t>19.12.2020</w:t>
            </w:r>
            <w:proofErr w:type="gramEnd"/>
          </w:p>
        </w:tc>
        <w:tc>
          <w:tcPr>
            <w:tcW w:w="1276" w:type="dxa"/>
            <w:tcBorders>
              <w:top w:val="single" w:sz="6" w:space="0" w:color="auto"/>
              <w:left w:val="double" w:sz="12" w:space="0" w:color="auto"/>
              <w:bottom w:val="single" w:sz="6" w:space="0" w:color="auto"/>
              <w:right w:val="single" w:sz="6" w:space="0" w:color="auto"/>
            </w:tcBorders>
          </w:tcPr>
          <w:p w14:paraId="499BB0B6" w14:textId="77777777" w:rsidR="004558FE" w:rsidRPr="005D5E8E" w:rsidRDefault="004558FE" w:rsidP="00895CB0">
            <w:pPr>
              <w:jc w:val="center"/>
            </w:pPr>
            <w:proofErr w:type="gramStart"/>
            <w:r w:rsidRPr="005D5E8E">
              <w:t>1.01.2020</w:t>
            </w:r>
            <w:proofErr w:type="gramEnd"/>
          </w:p>
        </w:tc>
        <w:tc>
          <w:tcPr>
            <w:tcW w:w="1275" w:type="dxa"/>
            <w:tcBorders>
              <w:top w:val="single" w:sz="6" w:space="0" w:color="auto"/>
              <w:left w:val="single" w:sz="6" w:space="0" w:color="auto"/>
              <w:bottom w:val="single" w:sz="6" w:space="0" w:color="auto"/>
              <w:right w:val="single" w:sz="12" w:space="0" w:color="auto"/>
            </w:tcBorders>
          </w:tcPr>
          <w:p w14:paraId="74D711E7" w14:textId="77777777" w:rsidR="004558FE" w:rsidRPr="005D5E8E" w:rsidRDefault="004558FE" w:rsidP="00895CB0">
            <w:pPr>
              <w:jc w:val="center"/>
            </w:pPr>
            <w:proofErr w:type="gramStart"/>
            <w:r w:rsidRPr="005D5E8E">
              <w:t>31.12.2020</w:t>
            </w:r>
            <w:proofErr w:type="gramEnd"/>
          </w:p>
        </w:tc>
      </w:tr>
      <w:tr w:rsidR="004558FE" w:rsidRPr="00504DD0" w14:paraId="40491BD2" w14:textId="77777777" w:rsidTr="00895CB0">
        <w:tc>
          <w:tcPr>
            <w:tcW w:w="1418" w:type="dxa"/>
            <w:tcBorders>
              <w:top w:val="single" w:sz="6" w:space="0" w:color="auto"/>
              <w:left w:val="single" w:sz="12" w:space="0" w:color="auto"/>
              <w:bottom w:val="single" w:sz="6" w:space="0" w:color="auto"/>
              <w:right w:val="double" w:sz="12" w:space="0" w:color="auto"/>
            </w:tcBorders>
          </w:tcPr>
          <w:p w14:paraId="3D69B665" w14:textId="77777777" w:rsidR="004558FE" w:rsidRPr="005D5E8E" w:rsidRDefault="004558FE" w:rsidP="00895CB0">
            <w:pPr>
              <w:jc w:val="center"/>
            </w:pPr>
            <w:r w:rsidRPr="005D5E8E">
              <w:t>21</w:t>
            </w:r>
          </w:p>
        </w:tc>
        <w:tc>
          <w:tcPr>
            <w:tcW w:w="1417" w:type="dxa"/>
            <w:tcBorders>
              <w:top w:val="single" w:sz="6" w:space="0" w:color="auto"/>
              <w:left w:val="double" w:sz="12" w:space="0" w:color="auto"/>
              <w:bottom w:val="single" w:sz="6" w:space="0" w:color="auto"/>
              <w:right w:val="single" w:sz="6" w:space="0" w:color="auto"/>
            </w:tcBorders>
          </w:tcPr>
          <w:p w14:paraId="1B8718BC" w14:textId="77777777" w:rsidR="004558FE" w:rsidRPr="005D5E8E" w:rsidRDefault="004558FE" w:rsidP="00895CB0">
            <w:pPr>
              <w:jc w:val="center"/>
            </w:pPr>
            <w:r w:rsidRPr="005D5E8E">
              <w:t>13/2020</w:t>
            </w:r>
          </w:p>
        </w:tc>
        <w:tc>
          <w:tcPr>
            <w:tcW w:w="1276" w:type="dxa"/>
            <w:tcBorders>
              <w:top w:val="single" w:sz="6" w:space="0" w:color="auto"/>
              <w:left w:val="single" w:sz="6" w:space="0" w:color="auto"/>
              <w:bottom w:val="single" w:sz="6" w:space="0" w:color="auto"/>
              <w:right w:val="double" w:sz="12" w:space="0" w:color="auto"/>
            </w:tcBorders>
          </w:tcPr>
          <w:p w14:paraId="28CCA82F" w14:textId="77777777" w:rsidR="004558FE" w:rsidRPr="005D5E8E" w:rsidRDefault="004558FE" w:rsidP="00895CB0">
            <w:pPr>
              <w:jc w:val="center"/>
            </w:pPr>
            <w:proofErr w:type="gramStart"/>
            <w:r w:rsidRPr="005D5E8E">
              <w:t>11.12.2020</w:t>
            </w:r>
            <w:proofErr w:type="gramEnd"/>
          </w:p>
        </w:tc>
        <w:tc>
          <w:tcPr>
            <w:tcW w:w="851" w:type="dxa"/>
            <w:tcBorders>
              <w:top w:val="single" w:sz="6" w:space="0" w:color="auto"/>
              <w:left w:val="double" w:sz="12" w:space="0" w:color="auto"/>
              <w:bottom w:val="single" w:sz="6" w:space="0" w:color="auto"/>
              <w:right w:val="single" w:sz="6" w:space="0" w:color="auto"/>
            </w:tcBorders>
          </w:tcPr>
          <w:p w14:paraId="4E5CDC47" w14:textId="77777777" w:rsidR="004558FE" w:rsidRPr="005D5E8E" w:rsidRDefault="004558FE" w:rsidP="00895CB0">
            <w:pPr>
              <w:jc w:val="center"/>
            </w:pPr>
            <w:r w:rsidRPr="005D5E8E">
              <w:t>19</w:t>
            </w:r>
          </w:p>
        </w:tc>
        <w:tc>
          <w:tcPr>
            <w:tcW w:w="1559" w:type="dxa"/>
            <w:tcBorders>
              <w:top w:val="single" w:sz="6" w:space="0" w:color="auto"/>
              <w:left w:val="single" w:sz="6" w:space="0" w:color="auto"/>
              <w:bottom w:val="single" w:sz="6" w:space="0" w:color="auto"/>
              <w:right w:val="double" w:sz="12" w:space="0" w:color="auto"/>
            </w:tcBorders>
            <w:vAlign w:val="center"/>
          </w:tcPr>
          <w:p w14:paraId="5B7B7B63" w14:textId="77777777" w:rsidR="004558FE" w:rsidRPr="005D5E8E" w:rsidRDefault="004558FE" w:rsidP="00895CB0">
            <w:pPr>
              <w:jc w:val="center"/>
            </w:pPr>
            <w:proofErr w:type="gramStart"/>
            <w:r w:rsidRPr="005D5E8E">
              <w:t>16.12.2020</w:t>
            </w:r>
            <w:proofErr w:type="gramEnd"/>
          </w:p>
        </w:tc>
        <w:tc>
          <w:tcPr>
            <w:tcW w:w="1276" w:type="dxa"/>
            <w:tcBorders>
              <w:top w:val="single" w:sz="6" w:space="0" w:color="auto"/>
              <w:left w:val="double" w:sz="12" w:space="0" w:color="auto"/>
              <w:bottom w:val="single" w:sz="6" w:space="0" w:color="auto"/>
              <w:right w:val="single" w:sz="6" w:space="0" w:color="auto"/>
            </w:tcBorders>
          </w:tcPr>
          <w:p w14:paraId="2B397EE0" w14:textId="77777777" w:rsidR="004558FE" w:rsidRPr="005D5E8E" w:rsidRDefault="004558FE" w:rsidP="00895CB0">
            <w:pPr>
              <w:jc w:val="center"/>
            </w:pPr>
            <w:proofErr w:type="gramStart"/>
            <w:r w:rsidRPr="005D5E8E">
              <w:t>1.01.2021</w:t>
            </w:r>
            <w:proofErr w:type="gramEnd"/>
          </w:p>
        </w:tc>
        <w:tc>
          <w:tcPr>
            <w:tcW w:w="1275" w:type="dxa"/>
            <w:tcBorders>
              <w:top w:val="single" w:sz="6" w:space="0" w:color="auto"/>
              <w:left w:val="single" w:sz="6" w:space="0" w:color="auto"/>
              <w:bottom w:val="single" w:sz="6" w:space="0" w:color="auto"/>
              <w:right w:val="single" w:sz="12" w:space="0" w:color="auto"/>
            </w:tcBorders>
          </w:tcPr>
          <w:p w14:paraId="57C51F28" w14:textId="77777777" w:rsidR="004558FE" w:rsidRPr="005D5E8E" w:rsidRDefault="004558FE" w:rsidP="00895CB0">
            <w:pPr>
              <w:jc w:val="center"/>
            </w:pPr>
            <w:proofErr w:type="gramStart"/>
            <w:r w:rsidRPr="005D5E8E">
              <w:t>31.12.2021</w:t>
            </w:r>
            <w:proofErr w:type="gramEnd"/>
          </w:p>
        </w:tc>
      </w:tr>
      <w:tr w:rsidR="004558FE" w:rsidRPr="00504DD0" w14:paraId="225465D5" w14:textId="77777777" w:rsidTr="00895CB0">
        <w:tc>
          <w:tcPr>
            <w:tcW w:w="1418" w:type="dxa"/>
            <w:tcBorders>
              <w:top w:val="single" w:sz="6" w:space="0" w:color="auto"/>
              <w:left w:val="single" w:sz="12" w:space="0" w:color="auto"/>
              <w:bottom w:val="single" w:sz="12" w:space="0" w:color="auto"/>
              <w:right w:val="double" w:sz="12" w:space="0" w:color="auto"/>
            </w:tcBorders>
          </w:tcPr>
          <w:p w14:paraId="4FBD1C68" w14:textId="77777777" w:rsidR="004558FE" w:rsidRPr="00504DD0" w:rsidRDefault="004558FE" w:rsidP="00895CB0">
            <w:pPr>
              <w:jc w:val="center"/>
              <w:rPr>
                <w:b/>
              </w:rPr>
            </w:pPr>
            <w:r>
              <w:rPr>
                <w:b/>
              </w:rPr>
              <w:t>22</w:t>
            </w:r>
          </w:p>
        </w:tc>
        <w:tc>
          <w:tcPr>
            <w:tcW w:w="1417" w:type="dxa"/>
            <w:tcBorders>
              <w:top w:val="single" w:sz="6" w:space="0" w:color="auto"/>
              <w:left w:val="double" w:sz="12" w:space="0" w:color="auto"/>
              <w:bottom w:val="single" w:sz="12" w:space="0" w:color="auto"/>
              <w:right w:val="single" w:sz="6" w:space="0" w:color="auto"/>
            </w:tcBorders>
          </w:tcPr>
          <w:p w14:paraId="24F7A8CF" w14:textId="77777777" w:rsidR="004558FE" w:rsidRPr="00504DD0" w:rsidRDefault="004558FE" w:rsidP="00895CB0">
            <w:pPr>
              <w:jc w:val="center"/>
              <w:rPr>
                <w:b/>
              </w:rPr>
            </w:pPr>
            <w:r>
              <w:rPr>
                <w:b/>
              </w:rPr>
              <w:t>16/2021</w:t>
            </w:r>
          </w:p>
        </w:tc>
        <w:tc>
          <w:tcPr>
            <w:tcW w:w="1276" w:type="dxa"/>
            <w:tcBorders>
              <w:top w:val="single" w:sz="6" w:space="0" w:color="auto"/>
              <w:left w:val="single" w:sz="6" w:space="0" w:color="auto"/>
              <w:bottom w:val="single" w:sz="12" w:space="0" w:color="auto"/>
              <w:right w:val="double" w:sz="12" w:space="0" w:color="auto"/>
            </w:tcBorders>
          </w:tcPr>
          <w:p w14:paraId="4C13DDAC" w14:textId="77777777" w:rsidR="004558FE" w:rsidRPr="00504DD0" w:rsidRDefault="004558FE" w:rsidP="00895CB0">
            <w:pPr>
              <w:jc w:val="center"/>
              <w:rPr>
                <w:b/>
              </w:rPr>
            </w:pPr>
            <w:proofErr w:type="gramStart"/>
            <w:r>
              <w:rPr>
                <w:b/>
              </w:rPr>
              <w:t>08.12.2020</w:t>
            </w:r>
            <w:proofErr w:type="gramEnd"/>
          </w:p>
        </w:tc>
        <w:tc>
          <w:tcPr>
            <w:tcW w:w="851" w:type="dxa"/>
            <w:tcBorders>
              <w:top w:val="single" w:sz="6" w:space="0" w:color="auto"/>
              <w:left w:val="double" w:sz="12" w:space="0" w:color="auto"/>
              <w:bottom w:val="single" w:sz="12" w:space="0" w:color="auto"/>
              <w:right w:val="single" w:sz="6" w:space="0" w:color="auto"/>
            </w:tcBorders>
          </w:tcPr>
          <w:p w14:paraId="312BEC79" w14:textId="77777777" w:rsidR="004558FE" w:rsidRPr="00504DD0" w:rsidRDefault="004558FE" w:rsidP="00895CB0">
            <w:pPr>
              <w:jc w:val="center"/>
              <w:rPr>
                <w:b/>
              </w:rPr>
            </w:pPr>
            <w:r>
              <w:rPr>
                <w:b/>
              </w:rPr>
              <w:t>20</w:t>
            </w:r>
          </w:p>
        </w:tc>
        <w:tc>
          <w:tcPr>
            <w:tcW w:w="1559" w:type="dxa"/>
            <w:tcBorders>
              <w:top w:val="single" w:sz="6" w:space="0" w:color="auto"/>
              <w:left w:val="single" w:sz="6" w:space="0" w:color="auto"/>
              <w:bottom w:val="single" w:sz="12" w:space="0" w:color="auto"/>
              <w:right w:val="double" w:sz="12" w:space="0" w:color="auto"/>
            </w:tcBorders>
            <w:vAlign w:val="center"/>
          </w:tcPr>
          <w:p w14:paraId="7D1BA164" w14:textId="77777777" w:rsidR="004558FE" w:rsidRPr="00504DD0" w:rsidRDefault="004558FE" w:rsidP="00895CB0">
            <w:pPr>
              <w:jc w:val="center"/>
              <w:rPr>
                <w:b/>
              </w:rPr>
            </w:pPr>
            <w:proofErr w:type="gramStart"/>
            <w:r>
              <w:rPr>
                <w:b/>
              </w:rPr>
              <w:t>14.12.2021</w:t>
            </w:r>
            <w:proofErr w:type="gramEnd"/>
          </w:p>
        </w:tc>
        <w:tc>
          <w:tcPr>
            <w:tcW w:w="1276" w:type="dxa"/>
            <w:tcBorders>
              <w:top w:val="single" w:sz="6" w:space="0" w:color="auto"/>
              <w:left w:val="double" w:sz="12" w:space="0" w:color="auto"/>
              <w:bottom w:val="single" w:sz="12" w:space="0" w:color="auto"/>
              <w:right w:val="single" w:sz="6" w:space="0" w:color="auto"/>
            </w:tcBorders>
          </w:tcPr>
          <w:p w14:paraId="280B6574" w14:textId="77777777" w:rsidR="004558FE" w:rsidRPr="00504DD0" w:rsidRDefault="004558FE" w:rsidP="00895CB0">
            <w:pPr>
              <w:jc w:val="center"/>
              <w:rPr>
                <w:b/>
              </w:rPr>
            </w:pPr>
            <w:proofErr w:type="gramStart"/>
            <w:r>
              <w:rPr>
                <w:b/>
              </w:rPr>
              <w:t>1.01.2022</w:t>
            </w:r>
            <w:proofErr w:type="gramEnd"/>
          </w:p>
        </w:tc>
        <w:tc>
          <w:tcPr>
            <w:tcW w:w="1275" w:type="dxa"/>
            <w:tcBorders>
              <w:top w:val="single" w:sz="6" w:space="0" w:color="auto"/>
              <w:left w:val="single" w:sz="6" w:space="0" w:color="auto"/>
              <w:bottom w:val="single" w:sz="12" w:space="0" w:color="auto"/>
              <w:right w:val="single" w:sz="12" w:space="0" w:color="auto"/>
            </w:tcBorders>
          </w:tcPr>
          <w:p w14:paraId="583FCAD0" w14:textId="77777777" w:rsidR="004558FE" w:rsidRPr="00504DD0" w:rsidRDefault="004558FE" w:rsidP="00895CB0">
            <w:pPr>
              <w:jc w:val="center"/>
            </w:pPr>
          </w:p>
        </w:tc>
      </w:tr>
    </w:tbl>
    <w:p w14:paraId="1AD34ECF" w14:textId="77777777" w:rsidR="004558FE" w:rsidRPr="00504DD0" w:rsidRDefault="004558FE" w:rsidP="004558FE">
      <w:pPr>
        <w:pStyle w:val="Zkladntextodsazen31"/>
        <w:spacing w:before="240"/>
      </w:pPr>
      <w:r w:rsidRPr="00504DD0">
        <w:t>Cenová mapa je opět vyhotovena na tiskovém výstupu digitalizované katastrální mapy města Ostravy a transformována do digitální podoby, v níž je součástí městského informačního systému GISMO, který obsahuje hranice parcel a hranice katastrálních území statutárního města Ostravy.</w:t>
      </w:r>
    </w:p>
    <w:p w14:paraId="3783180B" w14:textId="77777777" w:rsidR="004558FE" w:rsidRPr="00B528AC" w:rsidRDefault="004558FE" w:rsidP="004558FE">
      <w:pPr>
        <w:numPr>
          <w:ilvl w:val="0"/>
          <w:numId w:val="7"/>
        </w:numPr>
        <w:tabs>
          <w:tab w:val="left" w:pos="360"/>
        </w:tabs>
        <w:spacing w:before="480"/>
        <w:ind w:left="357" w:hanging="357"/>
        <w:jc w:val="both"/>
        <w:rPr>
          <w:b/>
          <w:sz w:val="36"/>
        </w:rPr>
      </w:pPr>
      <w:r w:rsidRPr="00B528AC">
        <w:rPr>
          <w:b/>
          <w:sz w:val="36"/>
        </w:rPr>
        <w:t>Součásti cenové mapy</w:t>
      </w:r>
    </w:p>
    <w:p w14:paraId="3B3E245B" w14:textId="77777777" w:rsidR="004558FE" w:rsidRPr="00B528AC" w:rsidRDefault="004558FE" w:rsidP="004558FE">
      <w:pPr>
        <w:pStyle w:val="Zkladntext"/>
        <w:spacing w:before="480"/>
        <w:ind w:firstLine="425"/>
      </w:pPr>
      <w:r w:rsidRPr="00B528AC">
        <w:t>Cenovou mapu tvoří:</w:t>
      </w:r>
    </w:p>
    <w:p w14:paraId="5A05800A" w14:textId="21D18EAF" w:rsidR="004558FE" w:rsidRPr="00961947" w:rsidRDefault="004558FE" w:rsidP="004558FE">
      <w:pPr>
        <w:numPr>
          <w:ilvl w:val="0"/>
          <w:numId w:val="8"/>
        </w:numPr>
        <w:tabs>
          <w:tab w:val="left" w:pos="360"/>
        </w:tabs>
        <w:spacing w:before="120"/>
        <w:ind w:left="357" w:hanging="357"/>
        <w:jc w:val="both"/>
        <w:rPr>
          <w:sz w:val="24"/>
        </w:rPr>
      </w:pPr>
      <w:r w:rsidRPr="00961947">
        <w:rPr>
          <w:sz w:val="24"/>
        </w:rPr>
        <w:t>Textová část cenové mapy v rozsahu 3</w:t>
      </w:r>
      <w:r w:rsidR="00961947" w:rsidRPr="00961947">
        <w:rPr>
          <w:sz w:val="24"/>
        </w:rPr>
        <w:t>1</w:t>
      </w:r>
      <w:r w:rsidRPr="00961947">
        <w:rPr>
          <w:sz w:val="24"/>
        </w:rPr>
        <w:t xml:space="preserve"> stran A</w:t>
      </w:r>
      <w:r w:rsidRPr="00961947">
        <w:rPr>
          <w:sz w:val="24"/>
          <w:vertAlign w:val="subscript"/>
        </w:rPr>
        <w:t>4</w:t>
      </w:r>
      <w:r w:rsidRPr="00961947">
        <w:rPr>
          <w:sz w:val="24"/>
        </w:rPr>
        <w:t>.</w:t>
      </w:r>
    </w:p>
    <w:p w14:paraId="200DD654" w14:textId="77777777" w:rsidR="004558FE" w:rsidRPr="00B528AC" w:rsidRDefault="004558FE" w:rsidP="004558FE">
      <w:pPr>
        <w:numPr>
          <w:ilvl w:val="0"/>
          <w:numId w:val="8"/>
        </w:numPr>
        <w:tabs>
          <w:tab w:val="left" w:pos="360"/>
        </w:tabs>
        <w:spacing w:before="120"/>
        <w:ind w:left="357" w:hanging="357"/>
        <w:jc w:val="both"/>
        <w:rPr>
          <w:sz w:val="24"/>
        </w:rPr>
      </w:pPr>
      <w:r w:rsidRPr="00B528AC">
        <w:rPr>
          <w:sz w:val="24"/>
        </w:rPr>
        <w:t>Grafická část s vymezenými a oceněnými skupinami parcel obdobných stavebních pozemků v rozsahu 66 mapových listů v měřítku 1 : 5 000.</w:t>
      </w:r>
    </w:p>
    <w:p w14:paraId="4DE40E0F" w14:textId="77777777" w:rsidR="004558FE" w:rsidRPr="00B528AC" w:rsidRDefault="004558FE" w:rsidP="004558FE">
      <w:pPr>
        <w:numPr>
          <w:ilvl w:val="0"/>
          <w:numId w:val="8"/>
        </w:numPr>
        <w:tabs>
          <w:tab w:val="left" w:pos="360"/>
        </w:tabs>
        <w:spacing w:before="120"/>
        <w:ind w:left="357" w:hanging="357"/>
        <w:jc w:val="both"/>
        <w:rPr>
          <w:sz w:val="24"/>
        </w:rPr>
      </w:pPr>
      <w:r w:rsidRPr="00B528AC">
        <w:rPr>
          <w:sz w:val="24"/>
        </w:rPr>
        <w:t>Cenová mapa v elektronické podobě, identická s její tištěnou formou, instalovaná v geografickém informačním systému města Ostravy.</w:t>
      </w:r>
    </w:p>
    <w:p w14:paraId="40FC4278" w14:textId="77777777" w:rsidR="004558FE" w:rsidRPr="002E6889" w:rsidRDefault="004558FE" w:rsidP="004558FE">
      <w:pPr>
        <w:tabs>
          <w:tab w:val="left" w:pos="360"/>
        </w:tabs>
        <w:spacing w:before="120"/>
        <w:jc w:val="both"/>
        <w:rPr>
          <w:sz w:val="24"/>
          <w:highlight w:val="green"/>
        </w:rPr>
      </w:pPr>
    </w:p>
    <w:p w14:paraId="288EDA73" w14:textId="77777777" w:rsidR="004558FE" w:rsidRPr="002E6889" w:rsidRDefault="004558FE" w:rsidP="004558FE">
      <w:pPr>
        <w:tabs>
          <w:tab w:val="left" w:pos="360"/>
        </w:tabs>
        <w:spacing w:before="120"/>
        <w:jc w:val="both"/>
        <w:rPr>
          <w:b/>
          <w:sz w:val="36"/>
          <w:highlight w:val="green"/>
        </w:rPr>
      </w:pPr>
    </w:p>
    <w:p w14:paraId="0B5F33FD" w14:textId="77777777" w:rsidR="004558FE" w:rsidRPr="0003401D" w:rsidRDefault="004558FE" w:rsidP="004558FE">
      <w:pPr>
        <w:tabs>
          <w:tab w:val="left" w:pos="360"/>
        </w:tabs>
        <w:jc w:val="both"/>
        <w:rPr>
          <w:b/>
          <w:sz w:val="36"/>
        </w:rPr>
      </w:pPr>
      <w:r w:rsidRPr="0003401D">
        <w:rPr>
          <w:b/>
          <w:sz w:val="36"/>
        </w:rPr>
        <w:t>3. Instrukce k použití cenové mapy</w:t>
      </w:r>
    </w:p>
    <w:p w14:paraId="5E5A2BF4" w14:textId="77777777" w:rsidR="004558FE" w:rsidRPr="0003401D" w:rsidRDefault="004558FE" w:rsidP="004558FE">
      <w:pPr>
        <w:pStyle w:val="Zkladntext"/>
        <w:numPr>
          <w:ilvl w:val="0"/>
          <w:numId w:val="9"/>
        </w:numPr>
        <w:tabs>
          <w:tab w:val="left" w:pos="284"/>
        </w:tabs>
        <w:spacing w:before="240"/>
        <w:ind w:left="284" w:hanging="284"/>
      </w:pPr>
      <w:r w:rsidRPr="0003401D">
        <w:t xml:space="preserve">Cenová mapa je určena pro oceňování stavebních pozemků (dále jen </w:t>
      </w:r>
      <w:r w:rsidRPr="0003401D">
        <w:rPr>
          <w:i/>
        </w:rPr>
        <w:t>cenová mapa</w:t>
      </w:r>
      <w:r w:rsidRPr="0003401D">
        <w:t>), definovaných v § 9 odst. 2 zákona č. 151/1997 Sb., o oceňování majetku a o změně některých zákonů (</w:t>
      </w:r>
      <w:r w:rsidRPr="0003401D">
        <w:rPr>
          <w:i/>
        </w:rPr>
        <w:t>zákon o oceňování majetku</w:t>
      </w:r>
      <w:r w:rsidRPr="0003401D">
        <w:t>), ve znění pozdějších předpisů (dále jen „</w:t>
      </w:r>
      <w:r w:rsidRPr="0003401D">
        <w:rPr>
          <w:i/>
        </w:rPr>
        <w:t>zákon o oceňování majetku“</w:t>
      </w:r>
      <w:r w:rsidRPr="0003401D">
        <w:t>)</w:t>
      </w:r>
    </w:p>
    <w:p w14:paraId="44550E93" w14:textId="77777777" w:rsidR="004558FE" w:rsidRPr="0003401D" w:rsidRDefault="004558FE" w:rsidP="004558FE">
      <w:pPr>
        <w:pStyle w:val="Zkladntext"/>
        <w:numPr>
          <w:ilvl w:val="0"/>
          <w:numId w:val="9"/>
        </w:numPr>
        <w:tabs>
          <w:tab w:val="left" w:pos="284"/>
        </w:tabs>
        <w:spacing w:before="120"/>
        <w:ind w:left="357" w:hanging="357"/>
      </w:pPr>
      <w:r w:rsidRPr="0003401D">
        <w:t>Cenová mapa je zpracována podle § 33 odst. 2 a § 10 zákona o oceňování majetku a podle § 2 vyhlášky Ministerstva financí č. 441/2013 Sb., k provedení zákona o oceňování majetku (</w:t>
      </w:r>
      <w:r w:rsidRPr="0003401D">
        <w:rPr>
          <w:i/>
          <w:iCs/>
        </w:rPr>
        <w:t>oceňovací vyhláška</w:t>
      </w:r>
      <w:r w:rsidRPr="0003401D">
        <w:t>), ve znění pozdějších předpisů.</w:t>
      </w:r>
    </w:p>
    <w:p w14:paraId="0E1CFC91" w14:textId="77777777" w:rsidR="004558FE" w:rsidRPr="0003401D" w:rsidRDefault="004558FE" w:rsidP="004558FE">
      <w:pPr>
        <w:pStyle w:val="Zkladntext"/>
        <w:numPr>
          <w:ilvl w:val="0"/>
          <w:numId w:val="9"/>
        </w:numPr>
        <w:tabs>
          <w:tab w:val="left" w:pos="284"/>
        </w:tabs>
        <w:spacing w:before="120"/>
        <w:ind w:left="357" w:hanging="357"/>
      </w:pPr>
      <w:r w:rsidRPr="0003401D">
        <w:t>V cenové mapě je v graficky vymezených skupinách parcel obdobných stavebních pozemků uvedeno číslo, které vyjadřuje:</w:t>
      </w:r>
    </w:p>
    <w:p w14:paraId="0911EE04" w14:textId="77777777" w:rsidR="004558FE" w:rsidRPr="0003401D" w:rsidRDefault="004558FE" w:rsidP="004558FE">
      <w:pPr>
        <w:pStyle w:val="Zkladntext"/>
        <w:spacing w:before="120"/>
        <w:jc w:val="center"/>
        <w:rPr>
          <w:b/>
          <w:sz w:val="36"/>
        </w:rPr>
      </w:pPr>
      <w:r w:rsidRPr="0003401D">
        <w:rPr>
          <w:b/>
          <w:sz w:val="36"/>
        </w:rPr>
        <w:t>cenu v Kč za m</w:t>
      </w:r>
      <w:r w:rsidRPr="0003401D">
        <w:rPr>
          <w:b/>
          <w:sz w:val="36"/>
          <w:vertAlign w:val="superscript"/>
        </w:rPr>
        <w:t>2</w:t>
      </w:r>
    </w:p>
    <w:p w14:paraId="0FE4D0CB" w14:textId="77777777" w:rsidR="004558FE" w:rsidRPr="0003401D" w:rsidRDefault="004558FE" w:rsidP="004558FE">
      <w:pPr>
        <w:pStyle w:val="Zkladntext"/>
        <w:numPr>
          <w:ilvl w:val="0"/>
          <w:numId w:val="10"/>
        </w:numPr>
        <w:tabs>
          <w:tab w:val="left" w:pos="360"/>
        </w:tabs>
        <w:spacing w:before="240"/>
        <w:ind w:left="357" w:hanging="357"/>
      </w:pPr>
      <w:r w:rsidRPr="0003401D">
        <w:t>Je-li do cenové mapy zařazen stavební pozemek, který nelze cenou z cenové mapy ocenit, protože je ve skupině parcel s nevyznačenou cenou, ocení se podle ustanovení § 3 až 5 oceňovací vyhlášky.</w:t>
      </w:r>
    </w:p>
    <w:p w14:paraId="582ABE35" w14:textId="77777777" w:rsidR="004558FE" w:rsidRPr="0003401D" w:rsidRDefault="004558FE" w:rsidP="004558FE">
      <w:pPr>
        <w:pStyle w:val="Zkladntext"/>
        <w:numPr>
          <w:ilvl w:val="0"/>
          <w:numId w:val="10"/>
        </w:numPr>
        <w:tabs>
          <w:tab w:val="left" w:pos="360"/>
        </w:tabs>
        <w:spacing w:before="120"/>
        <w:ind w:left="357" w:hanging="357"/>
      </w:pPr>
      <w:r w:rsidRPr="0003401D">
        <w:t>Je-li do cenové mapy zařazen stavební pozemek, který nelze cenou z cenové mapy ocenit, protože má některé své části v cenové mapě ve skupinách parcel neoceněných nebo s rozdílnými cenami, ocení se rovněž podle ustanovení § 3 až 5 oceňovací vyhlášky.</w:t>
      </w:r>
    </w:p>
    <w:p w14:paraId="7ACFD583" w14:textId="77777777" w:rsidR="004558FE" w:rsidRPr="0003401D" w:rsidRDefault="004558FE" w:rsidP="004558FE">
      <w:pPr>
        <w:pStyle w:val="Zkladntext"/>
        <w:numPr>
          <w:ilvl w:val="0"/>
          <w:numId w:val="10"/>
        </w:numPr>
        <w:tabs>
          <w:tab w:val="left" w:pos="360"/>
        </w:tabs>
        <w:spacing w:before="120"/>
        <w:ind w:left="357" w:hanging="357"/>
      </w:pPr>
      <w:r w:rsidRPr="0003401D">
        <w:t>Je-li do cenové mapy zařazen stavební pozemek, který nelze cenou z cenové mapy ocenit, protože je v jednotném funkčním celku, ve kterém všechny pozemky nejsou oceněny v cenové mapě stejnou cenou, ocení se rovněž podle ustanovení § 3 až 5 oceňovací vyhlášky.</w:t>
      </w:r>
    </w:p>
    <w:p w14:paraId="123EEFC3" w14:textId="77777777" w:rsidR="004558FE" w:rsidRPr="0003401D" w:rsidRDefault="004558FE" w:rsidP="004558FE">
      <w:pPr>
        <w:pStyle w:val="Zkladntext"/>
        <w:numPr>
          <w:ilvl w:val="0"/>
          <w:numId w:val="10"/>
        </w:numPr>
        <w:tabs>
          <w:tab w:val="left" w:pos="360"/>
        </w:tabs>
        <w:spacing w:before="120"/>
        <w:ind w:left="357" w:hanging="357"/>
      </w:pPr>
      <w:r w:rsidRPr="0003401D">
        <w:t>Je-li do cenové mapy zařazen stavební pozemek, který nelze cenou z cenové mapy ocenit, protože je zatížen právem stavby, ocení se rovněž podle ustanovení § 3 až 5 oceňovací vyhlášky.</w:t>
      </w:r>
    </w:p>
    <w:p w14:paraId="1380D858" w14:textId="77777777" w:rsidR="004558FE" w:rsidRPr="0003401D" w:rsidRDefault="004558FE" w:rsidP="004558FE">
      <w:pPr>
        <w:pStyle w:val="Zkladntext"/>
        <w:numPr>
          <w:ilvl w:val="0"/>
          <w:numId w:val="11"/>
        </w:numPr>
        <w:tabs>
          <w:tab w:val="left" w:pos="360"/>
        </w:tabs>
        <w:spacing w:before="120"/>
        <w:ind w:left="357" w:hanging="357"/>
      </w:pPr>
      <w:r w:rsidRPr="0003401D">
        <w:t xml:space="preserve">V cenové mapě se ve skupinách parcel s vyznačenou cenou nachází i jiné než stavební pozemky, které z důvodu malého měřítka nebyly při zpracování vyjmuty. </w:t>
      </w:r>
    </w:p>
    <w:p w14:paraId="50F86CE7" w14:textId="77777777" w:rsidR="004558FE" w:rsidRPr="0003401D" w:rsidRDefault="004558FE" w:rsidP="004558FE">
      <w:pPr>
        <w:pStyle w:val="Zkladntext"/>
        <w:numPr>
          <w:ilvl w:val="0"/>
          <w:numId w:val="10"/>
        </w:numPr>
        <w:tabs>
          <w:tab w:val="left" w:pos="360"/>
        </w:tabs>
        <w:spacing w:before="120"/>
        <w:ind w:left="357" w:hanging="357"/>
      </w:pPr>
      <w:r w:rsidRPr="0003401D">
        <w:t>V případě, že druh oceňovaného pozemku uvedeného v cenové mapě ve skupinách parcel s vyznačenou cenou není dle skutečného stavu pozemkem stavebním podle § 9 odst. 2 zákona o oceňování majetku, nelze ho cenou z cenové mapy ocenit a při jeho ocenění se postupuje dle příslušného ustanovení oceňovací vyhlášky.</w:t>
      </w:r>
    </w:p>
    <w:p w14:paraId="6576B7F3" w14:textId="77777777" w:rsidR="004558FE" w:rsidRPr="0003401D" w:rsidRDefault="004558FE" w:rsidP="004558FE">
      <w:pPr>
        <w:pStyle w:val="Zkladntext"/>
        <w:numPr>
          <w:ilvl w:val="0"/>
          <w:numId w:val="11"/>
        </w:numPr>
        <w:tabs>
          <w:tab w:val="decimal" w:pos="284"/>
          <w:tab w:val="left" w:pos="360"/>
        </w:tabs>
        <w:spacing w:before="120"/>
      </w:pPr>
      <w:r w:rsidRPr="0003401D">
        <w:t xml:space="preserve">Pozemek, který je v katastru nemovitostí veden v druhu ostatní plochy se způsobem využití dráha, dálnice, silnice, ostatní komunikace, včetně jejich součástí a veřejné prostranství, které není součástí pozemní komunikace, jakož i pozemek, k uvedeným účelům již užívaný nebo teprve určený rozhodnutím o umístění stavby nebo regulačním plánem, se neoceňuje podle této cenové mapy a jeho cena se zjistí podle příslušného ustanovení oceňovací vyhlášky. </w:t>
      </w:r>
    </w:p>
    <w:p w14:paraId="167BE3E9" w14:textId="77777777" w:rsidR="004558FE" w:rsidRPr="0003401D" w:rsidRDefault="004558FE" w:rsidP="004558FE">
      <w:pPr>
        <w:pStyle w:val="Zkladntext"/>
        <w:numPr>
          <w:ilvl w:val="0"/>
          <w:numId w:val="11"/>
        </w:numPr>
        <w:tabs>
          <w:tab w:val="decimal" w:pos="284"/>
          <w:tab w:val="left" w:pos="360"/>
        </w:tabs>
        <w:spacing w:before="120"/>
      </w:pPr>
      <w:r w:rsidRPr="0003401D">
        <w:t xml:space="preserve">Je-li pozemek pro pozemní komunikaci vč. parkovacích a obslužných ploch veřejnosti nepřístupný nebo přístupný jen omezeně, nebo je-li společně užívaný s nemovitou věcí využívanou k podnikání, a je ve skupině parcel s vyznačenou cenou, ocení se dle této cenové mapy. Není-li uvedený pozemek v cenové mapě ve skupině parcel s vyznačenou cenou, zjistí se jeho cena podle příslušného ustanovení oceňovací vyhlášky. </w:t>
      </w:r>
    </w:p>
    <w:p w14:paraId="29E31413" w14:textId="77777777" w:rsidR="004558FE" w:rsidRPr="0003401D" w:rsidRDefault="004558FE" w:rsidP="004558FE">
      <w:pPr>
        <w:pStyle w:val="Zkladntext"/>
        <w:tabs>
          <w:tab w:val="decimal" w:pos="284"/>
          <w:tab w:val="left" w:pos="360"/>
        </w:tabs>
        <w:spacing w:before="120"/>
        <w:ind w:left="360"/>
      </w:pPr>
    </w:p>
    <w:p w14:paraId="0785D9BF" w14:textId="77777777" w:rsidR="004558FE" w:rsidRPr="0003401D" w:rsidRDefault="004558FE" w:rsidP="004558FE">
      <w:pPr>
        <w:pStyle w:val="Zkladntext"/>
        <w:numPr>
          <w:ilvl w:val="0"/>
          <w:numId w:val="11"/>
        </w:numPr>
        <w:tabs>
          <w:tab w:val="decimal" w:pos="284"/>
          <w:tab w:val="left" w:pos="360"/>
        </w:tabs>
        <w:spacing w:before="120"/>
        <w:ind w:left="357" w:hanging="357"/>
      </w:pPr>
      <w:r w:rsidRPr="0003401D">
        <w:lastRenderedPageBreak/>
        <w:t>Originál cenové mapy je bezplatně přístupný v pracovní době na odboru financí a rozpočtu Magistrátu města Ostravy, Prokešovo nám. 8, Moravská Ostrava - tel. č.: 599 443 515.</w:t>
      </w:r>
    </w:p>
    <w:p w14:paraId="34FF3ABF" w14:textId="77777777" w:rsidR="004558FE" w:rsidRPr="0003401D" w:rsidRDefault="004558FE" w:rsidP="004558FE">
      <w:pPr>
        <w:pStyle w:val="Zkladntext"/>
        <w:numPr>
          <w:ilvl w:val="0"/>
          <w:numId w:val="11"/>
        </w:numPr>
        <w:tabs>
          <w:tab w:val="decimal" w:pos="284"/>
          <w:tab w:val="left" w:pos="360"/>
        </w:tabs>
        <w:spacing w:before="120"/>
      </w:pPr>
      <w:r w:rsidRPr="0003401D">
        <w:t xml:space="preserve">Cenová mapa v digitální podobě je uložena ve středisku informačních služeb Magistrátu města Ostravy, Prokešovo nám. 8, Moravská Ostrava a dále je bezplatně trvale přístupná na mapovém portálu statutárního města Ostravy </w:t>
      </w:r>
      <w:hyperlink r:id="rId9" w:history="1">
        <w:r w:rsidRPr="0003401D">
          <w:rPr>
            <w:rStyle w:val="Hypertextovodkaz"/>
            <w:b/>
          </w:rPr>
          <w:t>http://mapy.ostrava.cz</w:t>
        </w:r>
      </w:hyperlink>
      <w:r w:rsidRPr="0003401D">
        <w:t xml:space="preserve">.  </w:t>
      </w:r>
    </w:p>
    <w:p w14:paraId="3E7D7A5E" w14:textId="77777777" w:rsidR="004558FE" w:rsidRPr="00504DD0" w:rsidRDefault="004558FE" w:rsidP="004558FE">
      <w:pPr>
        <w:numPr>
          <w:ilvl w:val="0"/>
          <w:numId w:val="12"/>
        </w:numPr>
        <w:tabs>
          <w:tab w:val="left" w:pos="360"/>
        </w:tabs>
        <w:ind w:left="357" w:hanging="357"/>
        <w:jc w:val="both"/>
        <w:rPr>
          <w:b/>
          <w:sz w:val="36"/>
        </w:rPr>
      </w:pPr>
      <w:r w:rsidRPr="0003401D">
        <w:rPr>
          <w:b/>
          <w:sz w:val="36"/>
        </w:rPr>
        <w:br w:type="page"/>
      </w:r>
      <w:r w:rsidRPr="00504DD0">
        <w:rPr>
          <w:b/>
          <w:sz w:val="36"/>
        </w:rPr>
        <w:lastRenderedPageBreak/>
        <w:t>Stručná charakteristika města</w:t>
      </w:r>
    </w:p>
    <w:p w14:paraId="6ECC3ED7" w14:textId="77777777" w:rsidR="004558FE" w:rsidRPr="00504DD0" w:rsidRDefault="004558FE" w:rsidP="004558FE">
      <w:pPr>
        <w:pStyle w:val="Zkladntext"/>
        <w:spacing w:before="240"/>
        <w:ind w:firstLine="426"/>
      </w:pPr>
      <w:r w:rsidRPr="00504DD0">
        <w:t>Ostrava je třetím největším městem v České republice podle počtu obyvatel a druhým největším městem dle rozlohy správního území města. Zároveň je největší aglomerací v příhraniční oblasti tří států: České republiky, Polska (ve vzdálenosti 15 km) a Slovenska (cca 55 km). V rámci ČR má zcela zvláštní postavení, neboť během uplynulých desetiletí byla vnímána jako významné centrum těžkého průmyslu a dále jako město obchodní a transitní. V současnosti je Ostrava třetím ekonomicky nejvýznamnějším městem České republiky.</w:t>
      </w:r>
    </w:p>
    <w:p w14:paraId="2C939E04" w14:textId="3D66ED2A" w:rsidR="004558FE" w:rsidRPr="00823DFF" w:rsidRDefault="004558FE" w:rsidP="004558FE">
      <w:pPr>
        <w:spacing w:before="120"/>
        <w:ind w:firstLine="426"/>
        <w:jc w:val="both"/>
        <w:rPr>
          <w:i/>
          <w:color w:val="FF0000"/>
          <w:sz w:val="24"/>
        </w:rPr>
      </w:pPr>
      <w:r w:rsidRPr="00823DFF">
        <w:rPr>
          <w:sz w:val="24"/>
        </w:rPr>
        <w:t xml:space="preserve">Z hlediska územně správního uspořádání se Ostrava člení na 23 městských obvodů s 39 katastrálními územími (dále jen </w:t>
      </w:r>
      <w:proofErr w:type="gramStart"/>
      <w:r w:rsidRPr="00823DFF">
        <w:rPr>
          <w:i/>
          <w:sz w:val="24"/>
        </w:rPr>
        <w:t>k.ú.</w:t>
      </w:r>
      <w:r w:rsidRPr="00823DFF">
        <w:rPr>
          <w:sz w:val="24"/>
        </w:rPr>
        <w:t>).</w:t>
      </w:r>
      <w:proofErr w:type="gramEnd"/>
      <w:r w:rsidRPr="00823DFF">
        <w:rPr>
          <w:sz w:val="24"/>
        </w:rPr>
        <w:t xml:space="preserve"> Ve městě v současnosti trvale </w:t>
      </w:r>
      <w:r w:rsidRPr="00823DFF">
        <w:rPr>
          <w:sz w:val="24"/>
          <w:szCs w:val="24"/>
        </w:rPr>
        <w:t>žije 28</w:t>
      </w:r>
      <w:r w:rsidR="00823DFF" w:rsidRPr="00823DFF">
        <w:rPr>
          <w:sz w:val="24"/>
          <w:szCs w:val="24"/>
        </w:rPr>
        <w:t>4</w:t>
      </w:r>
      <w:r w:rsidRPr="00823DFF">
        <w:rPr>
          <w:sz w:val="24"/>
          <w:szCs w:val="24"/>
        </w:rPr>
        <w:t> 9</w:t>
      </w:r>
      <w:r w:rsidR="00823DFF" w:rsidRPr="00823DFF">
        <w:rPr>
          <w:sz w:val="24"/>
          <w:szCs w:val="24"/>
        </w:rPr>
        <w:t>68</w:t>
      </w:r>
      <w:r w:rsidRPr="00823DFF">
        <w:t> </w:t>
      </w:r>
      <w:r w:rsidRPr="00823DFF">
        <w:rPr>
          <w:sz w:val="24"/>
        </w:rPr>
        <w:t xml:space="preserve">obyvatel.  </w:t>
      </w:r>
      <w:r w:rsidRPr="00823DFF">
        <w:rPr>
          <w:i/>
          <w:color w:val="FF0000"/>
          <w:sz w:val="24"/>
        </w:rPr>
        <w:t xml:space="preserve">   </w:t>
      </w:r>
    </w:p>
    <w:p w14:paraId="3621C61D" w14:textId="77777777" w:rsidR="004558FE" w:rsidRPr="00823DFF" w:rsidRDefault="004558FE" w:rsidP="004558FE">
      <w:pPr>
        <w:pStyle w:val="Zkladntextodsazen21"/>
        <w:spacing w:before="120" w:after="120"/>
        <w:ind w:firstLine="425"/>
      </w:pPr>
      <w:r w:rsidRPr="00823DFF">
        <w:t xml:space="preserve">Ostrava v posledním období zaznamenává každoročně mírný pokles obyvatel, což souvisí např. s portfoliem nabídky pracovních příležitostí, potažmo nižší úrovní mezd, ale i kvalitou životního prostředí v Ostravě a okolí. Věková struktura obyvatelstva města Ostravy je následující: </w:t>
      </w:r>
    </w:p>
    <w:tbl>
      <w:tblPr>
        <w:tblW w:w="0" w:type="auto"/>
        <w:tblInd w:w="1204" w:type="dxa"/>
        <w:tblLayout w:type="fixed"/>
        <w:tblCellMar>
          <w:left w:w="70" w:type="dxa"/>
          <w:right w:w="70" w:type="dxa"/>
        </w:tblCellMar>
        <w:tblLook w:val="0000" w:firstRow="0" w:lastRow="0" w:firstColumn="0" w:lastColumn="0" w:noHBand="0" w:noVBand="0"/>
      </w:tblPr>
      <w:tblGrid>
        <w:gridCol w:w="2268"/>
        <w:gridCol w:w="3119"/>
        <w:gridCol w:w="1417"/>
      </w:tblGrid>
      <w:tr w:rsidR="004558FE" w:rsidRPr="00823DFF" w14:paraId="266C8378" w14:textId="77777777" w:rsidTr="00895CB0">
        <w:tc>
          <w:tcPr>
            <w:tcW w:w="2268" w:type="dxa"/>
            <w:tcBorders>
              <w:top w:val="single" w:sz="12" w:space="0" w:color="auto"/>
              <w:left w:val="single" w:sz="12" w:space="0" w:color="auto"/>
              <w:bottom w:val="double" w:sz="6" w:space="0" w:color="auto"/>
              <w:right w:val="single" w:sz="12" w:space="0" w:color="auto"/>
            </w:tcBorders>
          </w:tcPr>
          <w:p w14:paraId="48BA0506" w14:textId="77777777" w:rsidR="004558FE" w:rsidRPr="00823DFF" w:rsidRDefault="004558FE" w:rsidP="00895CB0">
            <w:pPr>
              <w:pStyle w:val="xl23"/>
              <w:pBdr>
                <w:bottom w:val="none" w:sz="0" w:space="0" w:color="auto"/>
                <w:right w:val="none" w:sz="0" w:space="0" w:color="auto"/>
              </w:pBdr>
              <w:spacing w:before="0" w:after="0"/>
              <w:jc w:val="center"/>
              <w:rPr>
                <w:b/>
                <w:szCs w:val="24"/>
              </w:rPr>
            </w:pPr>
            <w:r w:rsidRPr="00823DFF">
              <w:rPr>
                <w:b/>
                <w:szCs w:val="24"/>
              </w:rPr>
              <w:t>věková kategorie</w:t>
            </w:r>
          </w:p>
        </w:tc>
        <w:tc>
          <w:tcPr>
            <w:tcW w:w="3119" w:type="dxa"/>
            <w:tcBorders>
              <w:top w:val="single" w:sz="12" w:space="0" w:color="auto"/>
              <w:left w:val="single" w:sz="12" w:space="0" w:color="auto"/>
              <w:bottom w:val="double" w:sz="6" w:space="0" w:color="auto"/>
              <w:right w:val="single" w:sz="12" w:space="0" w:color="auto"/>
            </w:tcBorders>
          </w:tcPr>
          <w:p w14:paraId="235FA3C1" w14:textId="77777777" w:rsidR="004558FE" w:rsidRPr="00823DFF" w:rsidRDefault="004558FE" w:rsidP="00895CB0">
            <w:pPr>
              <w:jc w:val="center"/>
              <w:rPr>
                <w:b/>
                <w:sz w:val="24"/>
                <w:szCs w:val="24"/>
              </w:rPr>
            </w:pPr>
            <w:r w:rsidRPr="00823DFF">
              <w:rPr>
                <w:b/>
                <w:sz w:val="24"/>
                <w:szCs w:val="24"/>
              </w:rPr>
              <w:t>věkový interval</w:t>
            </w:r>
          </w:p>
        </w:tc>
        <w:tc>
          <w:tcPr>
            <w:tcW w:w="1417" w:type="dxa"/>
            <w:tcBorders>
              <w:top w:val="single" w:sz="12" w:space="0" w:color="auto"/>
              <w:left w:val="single" w:sz="12" w:space="0" w:color="auto"/>
              <w:bottom w:val="double" w:sz="6" w:space="0" w:color="auto"/>
              <w:right w:val="single" w:sz="12" w:space="0" w:color="auto"/>
            </w:tcBorders>
          </w:tcPr>
          <w:p w14:paraId="2719DE29" w14:textId="77777777" w:rsidR="004558FE" w:rsidRPr="00823DFF" w:rsidRDefault="004558FE" w:rsidP="00895CB0">
            <w:pPr>
              <w:jc w:val="center"/>
              <w:rPr>
                <w:b/>
                <w:sz w:val="24"/>
                <w:szCs w:val="24"/>
              </w:rPr>
            </w:pPr>
            <w:r w:rsidRPr="00823DFF">
              <w:rPr>
                <w:b/>
                <w:sz w:val="24"/>
                <w:szCs w:val="24"/>
              </w:rPr>
              <w:t>podíl (%)</w:t>
            </w:r>
          </w:p>
        </w:tc>
      </w:tr>
      <w:tr w:rsidR="004558FE" w:rsidRPr="00823DFF" w14:paraId="4BD8E859" w14:textId="77777777" w:rsidTr="00895CB0">
        <w:tc>
          <w:tcPr>
            <w:tcW w:w="2268" w:type="dxa"/>
            <w:tcBorders>
              <w:top w:val="double" w:sz="6" w:space="0" w:color="auto"/>
              <w:left w:val="single" w:sz="12" w:space="0" w:color="auto"/>
              <w:bottom w:val="single" w:sz="6" w:space="0" w:color="auto"/>
              <w:right w:val="single" w:sz="12" w:space="0" w:color="auto"/>
            </w:tcBorders>
          </w:tcPr>
          <w:p w14:paraId="2BFC4B64" w14:textId="77777777" w:rsidR="004558FE" w:rsidRPr="00823DFF" w:rsidRDefault="004558FE" w:rsidP="00895CB0">
            <w:pPr>
              <w:jc w:val="center"/>
              <w:rPr>
                <w:b/>
                <w:sz w:val="24"/>
                <w:szCs w:val="24"/>
              </w:rPr>
            </w:pPr>
            <w:r w:rsidRPr="00823DFF">
              <w:rPr>
                <w:b/>
                <w:sz w:val="24"/>
                <w:szCs w:val="24"/>
              </w:rPr>
              <w:t>předproduktivní</w:t>
            </w:r>
          </w:p>
        </w:tc>
        <w:tc>
          <w:tcPr>
            <w:tcW w:w="3119" w:type="dxa"/>
            <w:tcBorders>
              <w:top w:val="double" w:sz="6" w:space="0" w:color="auto"/>
              <w:left w:val="single" w:sz="12" w:space="0" w:color="auto"/>
              <w:bottom w:val="single" w:sz="6" w:space="0" w:color="auto"/>
              <w:right w:val="single" w:sz="12" w:space="0" w:color="auto"/>
            </w:tcBorders>
          </w:tcPr>
          <w:p w14:paraId="08E50908" w14:textId="77777777" w:rsidR="004558FE" w:rsidRPr="00823DFF" w:rsidRDefault="004558FE" w:rsidP="00895CB0">
            <w:pPr>
              <w:jc w:val="center"/>
              <w:rPr>
                <w:sz w:val="24"/>
                <w:szCs w:val="24"/>
              </w:rPr>
            </w:pPr>
            <w:r w:rsidRPr="00823DFF">
              <w:rPr>
                <w:sz w:val="24"/>
                <w:szCs w:val="24"/>
              </w:rPr>
              <w:t>0 – 14</w:t>
            </w:r>
          </w:p>
        </w:tc>
        <w:tc>
          <w:tcPr>
            <w:tcW w:w="1417" w:type="dxa"/>
            <w:tcBorders>
              <w:top w:val="double" w:sz="6" w:space="0" w:color="auto"/>
              <w:left w:val="single" w:sz="12" w:space="0" w:color="auto"/>
              <w:bottom w:val="single" w:sz="6" w:space="0" w:color="auto"/>
              <w:right w:val="single" w:sz="12" w:space="0" w:color="auto"/>
            </w:tcBorders>
          </w:tcPr>
          <w:p w14:paraId="5598393E" w14:textId="5593D349" w:rsidR="004558FE" w:rsidRPr="00823DFF" w:rsidRDefault="004558FE" w:rsidP="00823DFF">
            <w:pPr>
              <w:jc w:val="center"/>
              <w:rPr>
                <w:sz w:val="24"/>
                <w:szCs w:val="24"/>
              </w:rPr>
            </w:pPr>
            <w:r w:rsidRPr="00823DFF">
              <w:rPr>
                <w:sz w:val="24"/>
                <w:szCs w:val="24"/>
              </w:rPr>
              <w:t>1</w:t>
            </w:r>
            <w:r w:rsidR="00823DFF" w:rsidRPr="00823DFF">
              <w:rPr>
                <w:sz w:val="24"/>
                <w:szCs w:val="24"/>
              </w:rPr>
              <w:t>4</w:t>
            </w:r>
            <w:r w:rsidRPr="00823DFF">
              <w:rPr>
                <w:sz w:val="24"/>
                <w:szCs w:val="24"/>
              </w:rPr>
              <w:t>,</w:t>
            </w:r>
            <w:r w:rsidR="00823DFF" w:rsidRPr="00823DFF">
              <w:rPr>
                <w:sz w:val="24"/>
                <w:szCs w:val="24"/>
              </w:rPr>
              <w:t>95</w:t>
            </w:r>
          </w:p>
        </w:tc>
      </w:tr>
      <w:tr w:rsidR="004558FE" w:rsidRPr="00823DFF" w14:paraId="0B9A706D" w14:textId="77777777" w:rsidTr="00895CB0">
        <w:tc>
          <w:tcPr>
            <w:tcW w:w="2268" w:type="dxa"/>
            <w:tcBorders>
              <w:top w:val="single" w:sz="6" w:space="0" w:color="auto"/>
              <w:left w:val="single" w:sz="12" w:space="0" w:color="auto"/>
              <w:bottom w:val="single" w:sz="6" w:space="0" w:color="auto"/>
              <w:right w:val="single" w:sz="12" w:space="0" w:color="auto"/>
            </w:tcBorders>
          </w:tcPr>
          <w:p w14:paraId="5B567C97" w14:textId="77777777" w:rsidR="004558FE" w:rsidRPr="00823DFF" w:rsidRDefault="004558FE" w:rsidP="00895CB0">
            <w:pPr>
              <w:jc w:val="center"/>
              <w:rPr>
                <w:b/>
                <w:sz w:val="24"/>
                <w:szCs w:val="24"/>
              </w:rPr>
            </w:pPr>
            <w:r w:rsidRPr="00823DFF">
              <w:rPr>
                <w:b/>
                <w:sz w:val="24"/>
                <w:szCs w:val="24"/>
              </w:rPr>
              <w:t>produktivní</w:t>
            </w:r>
          </w:p>
        </w:tc>
        <w:tc>
          <w:tcPr>
            <w:tcW w:w="3119" w:type="dxa"/>
            <w:tcBorders>
              <w:top w:val="single" w:sz="6" w:space="0" w:color="auto"/>
              <w:left w:val="single" w:sz="12" w:space="0" w:color="auto"/>
              <w:bottom w:val="single" w:sz="6" w:space="0" w:color="auto"/>
              <w:right w:val="single" w:sz="12" w:space="0" w:color="auto"/>
            </w:tcBorders>
          </w:tcPr>
          <w:p w14:paraId="1FF69A07" w14:textId="77777777" w:rsidR="004558FE" w:rsidRPr="00823DFF" w:rsidRDefault="004558FE" w:rsidP="00895CB0">
            <w:pPr>
              <w:jc w:val="center"/>
              <w:rPr>
                <w:sz w:val="24"/>
                <w:szCs w:val="24"/>
              </w:rPr>
            </w:pPr>
            <w:r w:rsidRPr="00823DFF">
              <w:rPr>
                <w:sz w:val="24"/>
                <w:szCs w:val="24"/>
              </w:rPr>
              <w:t>15 - 64</w:t>
            </w:r>
          </w:p>
        </w:tc>
        <w:tc>
          <w:tcPr>
            <w:tcW w:w="1417" w:type="dxa"/>
            <w:tcBorders>
              <w:top w:val="single" w:sz="6" w:space="0" w:color="auto"/>
              <w:left w:val="single" w:sz="12" w:space="0" w:color="auto"/>
              <w:bottom w:val="single" w:sz="6" w:space="0" w:color="auto"/>
              <w:right w:val="single" w:sz="12" w:space="0" w:color="auto"/>
            </w:tcBorders>
          </w:tcPr>
          <w:p w14:paraId="527FCAF8" w14:textId="102D46EC" w:rsidR="004558FE" w:rsidRPr="00823DFF" w:rsidRDefault="004558FE" w:rsidP="00823DFF">
            <w:pPr>
              <w:tabs>
                <w:tab w:val="left" w:pos="255"/>
                <w:tab w:val="center" w:pos="638"/>
              </w:tabs>
              <w:rPr>
                <w:sz w:val="24"/>
                <w:szCs w:val="24"/>
              </w:rPr>
            </w:pPr>
            <w:r w:rsidRPr="00823DFF">
              <w:rPr>
                <w:sz w:val="24"/>
                <w:szCs w:val="24"/>
              </w:rPr>
              <w:tab/>
            </w:r>
            <w:r w:rsidRPr="00823DFF">
              <w:rPr>
                <w:sz w:val="24"/>
                <w:szCs w:val="24"/>
              </w:rPr>
              <w:tab/>
              <w:t>64,</w:t>
            </w:r>
            <w:r w:rsidR="00823DFF" w:rsidRPr="00823DFF">
              <w:rPr>
                <w:sz w:val="24"/>
                <w:szCs w:val="24"/>
              </w:rPr>
              <w:t>08</w:t>
            </w:r>
          </w:p>
        </w:tc>
      </w:tr>
      <w:tr w:rsidR="004558FE" w:rsidRPr="00823DFF" w14:paraId="75BA777A" w14:textId="77777777" w:rsidTr="00895CB0">
        <w:tc>
          <w:tcPr>
            <w:tcW w:w="2268" w:type="dxa"/>
            <w:tcBorders>
              <w:top w:val="single" w:sz="6" w:space="0" w:color="auto"/>
              <w:left w:val="single" w:sz="12" w:space="0" w:color="auto"/>
              <w:bottom w:val="single" w:sz="12" w:space="0" w:color="auto"/>
              <w:right w:val="single" w:sz="12" w:space="0" w:color="auto"/>
            </w:tcBorders>
          </w:tcPr>
          <w:p w14:paraId="3ED7C164" w14:textId="77777777" w:rsidR="004558FE" w:rsidRPr="00823DFF" w:rsidRDefault="004558FE" w:rsidP="00895CB0">
            <w:pPr>
              <w:jc w:val="center"/>
              <w:rPr>
                <w:b/>
                <w:sz w:val="24"/>
                <w:szCs w:val="24"/>
              </w:rPr>
            </w:pPr>
            <w:r w:rsidRPr="00823DFF">
              <w:rPr>
                <w:b/>
                <w:sz w:val="24"/>
                <w:szCs w:val="24"/>
              </w:rPr>
              <w:t>poproduktivní</w:t>
            </w:r>
          </w:p>
        </w:tc>
        <w:tc>
          <w:tcPr>
            <w:tcW w:w="3119" w:type="dxa"/>
            <w:tcBorders>
              <w:top w:val="single" w:sz="6" w:space="0" w:color="auto"/>
              <w:left w:val="single" w:sz="12" w:space="0" w:color="auto"/>
              <w:bottom w:val="single" w:sz="12" w:space="0" w:color="auto"/>
              <w:right w:val="single" w:sz="12" w:space="0" w:color="auto"/>
            </w:tcBorders>
          </w:tcPr>
          <w:p w14:paraId="7622F137" w14:textId="77777777" w:rsidR="004558FE" w:rsidRPr="00823DFF" w:rsidRDefault="004558FE" w:rsidP="00895CB0">
            <w:pPr>
              <w:jc w:val="center"/>
              <w:rPr>
                <w:sz w:val="24"/>
                <w:szCs w:val="24"/>
              </w:rPr>
            </w:pPr>
            <w:r w:rsidRPr="00823DFF">
              <w:rPr>
                <w:sz w:val="24"/>
                <w:szCs w:val="24"/>
              </w:rPr>
              <w:t>65 a více</w:t>
            </w:r>
          </w:p>
        </w:tc>
        <w:tc>
          <w:tcPr>
            <w:tcW w:w="1417" w:type="dxa"/>
            <w:tcBorders>
              <w:top w:val="single" w:sz="6" w:space="0" w:color="auto"/>
              <w:left w:val="single" w:sz="12" w:space="0" w:color="auto"/>
              <w:bottom w:val="single" w:sz="12" w:space="0" w:color="auto"/>
              <w:right w:val="single" w:sz="12" w:space="0" w:color="auto"/>
            </w:tcBorders>
          </w:tcPr>
          <w:p w14:paraId="358CCDA8" w14:textId="75D1F74A" w:rsidR="004558FE" w:rsidRPr="00823DFF" w:rsidRDefault="004558FE" w:rsidP="00823DFF">
            <w:pPr>
              <w:jc w:val="center"/>
              <w:rPr>
                <w:sz w:val="24"/>
                <w:szCs w:val="24"/>
              </w:rPr>
            </w:pPr>
            <w:r w:rsidRPr="00823DFF">
              <w:rPr>
                <w:sz w:val="24"/>
                <w:szCs w:val="24"/>
              </w:rPr>
              <w:t>20,</w:t>
            </w:r>
            <w:r w:rsidR="00823DFF" w:rsidRPr="00823DFF">
              <w:rPr>
                <w:sz w:val="24"/>
                <w:szCs w:val="24"/>
              </w:rPr>
              <w:t>97</w:t>
            </w:r>
          </w:p>
        </w:tc>
      </w:tr>
    </w:tbl>
    <w:p w14:paraId="0D866E2C" w14:textId="77777777" w:rsidR="004558FE" w:rsidRPr="00823DFF" w:rsidRDefault="004558FE" w:rsidP="004558FE">
      <w:pPr>
        <w:pStyle w:val="Zkladntext"/>
        <w:ind w:firstLine="425"/>
      </w:pPr>
    </w:p>
    <w:p w14:paraId="793D4235" w14:textId="54A42569" w:rsidR="004558FE" w:rsidRPr="00504DD0" w:rsidRDefault="004558FE" w:rsidP="004558FE">
      <w:pPr>
        <w:pStyle w:val="Zkladntext"/>
        <w:ind w:firstLine="425"/>
      </w:pPr>
      <w:r w:rsidRPr="00823DFF">
        <w:t>Oproti minulému období došlo k mírnému nárůstu podílu obyvatel v důchodovém věku a také mírnému poklesu podílu obyvatel v produktivním věku, což souvisí zejména se stárnutím populace, méně pak s odlivem práceschopného obyvatelstva mimo region. V kategorii obyvatel v předproduktivním věku zůstal podíl prakticky nezměněn. Dále byl zaznamenán velmi mírný nárůst průměrného věku obyvatelstva, který činí 43,</w:t>
      </w:r>
      <w:r w:rsidR="00823DFF" w:rsidRPr="00823DFF">
        <w:t>5</w:t>
      </w:r>
      <w:r w:rsidRPr="00823DFF">
        <w:t xml:space="preserve"> let.</w:t>
      </w:r>
    </w:p>
    <w:p w14:paraId="3E21DC3F" w14:textId="77777777" w:rsidR="004558FE" w:rsidRPr="00504DD0" w:rsidRDefault="004558FE" w:rsidP="004558FE">
      <w:pPr>
        <w:pStyle w:val="Zkladntext"/>
        <w:spacing w:before="120"/>
        <w:ind w:firstLine="426"/>
      </w:pPr>
      <w:r w:rsidRPr="00504DD0">
        <w:t xml:space="preserve">Město Ostrava je metropolí Severní Moravy a jedná se o průmyslové, administrativní, obchodní, univerzitní a kulturní centrum nejlidnatějšího kraje České republiky. </w:t>
      </w:r>
    </w:p>
    <w:p w14:paraId="340B336E" w14:textId="77777777" w:rsidR="004558FE" w:rsidRPr="00504DD0" w:rsidRDefault="004558FE" w:rsidP="004558FE">
      <w:pPr>
        <w:pStyle w:val="Zkladntext"/>
        <w:spacing w:before="120"/>
        <w:ind w:firstLine="425"/>
      </w:pPr>
      <w:r w:rsidRPr="00504DD0">
        <w:t>Vzhledem ke své poloze je Ostrava rovněž významným tranzitním uzlem, zejména železniční dopravy, odkud se tratě rozbíhají ve východním směru na Slovensko, ve směru severním na Polsko a Rusko, na západ na Prahu a směrem na jih na Brno a dále do Rakouska. Ostrava má také hustou síť městské hromadné dopravy, šest železničních nádraží</w:t>
      </w:r>
      <w:r w:rsidRPr="00504DD0">
        <w:br/>
        <w:t xml:space="preserve">a ve vzdálenosti asi 15 km mezinárodní letiště (Mošnov). Ostrava je také výchozím bodem regionální hromadné dopravy. </w:t>
      </w:r>
    </w:p>
    <w:p w14:paraId="2CC0D4EF" w14:textId="77777777" w:rsidR="004558FE" w:rsidRPr="00504DD0" w:rsidRDefault="004558FE" w:rsidP="004558FE">
      <w:pPr>
        <w:pStyle w:val="Zkladntext"/>
        <w:spacing w:before="120"/>
        <w:ind w:firstLine="425"/>
      </w:pPr>
      <w:r w:rsidRPr="00504DD0">
        <w:t>V důsledku politických změn po roce 1989 Ostrava, jako jedno z mála měst v ČR, zaznamenala obrovský přerod způsobený omezováním těžkého průmyslu a nezbytností následné restrukturalizace. Významnou oblastí investic jsou nevyužité plochy bývalých průmyslových areálů, které tvoří asi 15 % rozlohy města. Třemi hlavními lokalitami jsou Karolina a Dolní oblast Vítkovic v centrální části města, a rozvojové území na okraji města v blízkosti dálnice D1 v Hrušově.</w:t>
      </w:r>
    </w:p>
    <w:p w14:paraId="7CB5A3B8" w14:textId="77777777" w:rsidR="004558FE" w:rsidRPr="00504DD0" w:rsidRDefault="004558FE" w:rsidP="004558FE">
      <w:pPr>
        <w:pStyle w:val="Zkladntext"/>
        <w:spacing w:before="120"/>
        <w:ind w:firstLine="425"/>
      </w:pPr>
    </w:p>
    <w:p w14:paraId="5F56D44F" w14:textId="77777777" w:rsidR="004558FE" w:rsidRDefault="004558FE" w:rsidP="004558FE">
      <w:pPr>
        <w:pStyle w:val="Zkladntext"/>
        <w:spacing w:before="120"/>
        <w:ind w:firstLine="425"/>
        <w:rPr>
          <w:highlight w:val="yellow"/>
        </w:rPr>
      </w:pPr>
    </w:p>
    <w:p w14:paraId="211BCE51" w14:textId="77777777" w:rsidR="004558FE" w:rsidRPr="00AA5E64" w:rsidRDefault="004558FE" w:rsidP="004558FE">
      <w:pPr>
        <w:pStyle w:val="Zkladntext"/>
        <w:spacing w:before="120"/>
        <w:ind w:firstLine="425"/>
        <w:rPr>
          <w:highlight w:val="yellow"/>
        </w:rPr>
      </w:pPr>
    </w:p>
    <w:p w14:paraId="42C6B751" w14:textId="77777777" w:rsidR="004558FE" w:rsidRPr="00AA5E64" w:rsidRDefault="004558FE" w:rsidP="004558FE">
      <w:pPr>
        <w:pStyle w:val="Zkladntext"/>
        <w:spacing w:before="120"/>
        <w:ind w:firstLine="425"/>
        <w:rPr>
          <w:highlight w:val="yellow"/>
        </w:rPr>
      </w:pPr>
    </w:p>
    <w:p w14:paraId="5C73799D" w14:textId="77777777" w:rsidR="004558FE" w:rsidRPr="00AA5E64" w:rsidRDefault="004558FE" w:rsidP="004558FE">
      <w:pPr>
        <w:pStyle w:val="Zkladntext"/>
        <w:spacing w:before="120"/>
        <w:ind w:firstLine="425"/>
        <w:rPr>
          <w:highlight w:val="yellow"/>
        </w:rPr>
      </w:pPr>
    </w:p>
    <w:p w14:paraId="550D580C" w14:textId="77777777" w:rsidR="004558FE" w:rsidRPr="00AA5E64" w:rsidRDefault="004558FE" w:rsidP="004558FE">
      <w:pPr>
        <w:pStyle w:val="Zkladntext"/>
        <w:spacing w:before="120"/>
        <w:ind w:firstLine="425"/>
        <w:rPr>
          <w:highlight w:val="yellow"/>
        </w:rPr>
      </w:pPr>
    </w:p>
    <w:p w14:paraId="7BF7A04B" w14:textId="77777777" w:rsidR="004558FE" w:rsidRPr="009337E7" w:rsidRDefault="004558FE" w:rsidP="004558FE">
      <w:pPr>
        <w:numPr>
          <w:ilvl w:val="0"/>
          <w:numId w:val="13"/>
        </w:numPr>
        <w:tabs>
          <w:tab w:val="left" w:pos="360"/>
        </w:tabs>
        <w:spacing w:before="120"/>
        <w:ind w:left="357" w:hanging="357"/>
        <w:jc w:val="both"/>
        <w:rPr>
          <w:b/>
          <w:sz w:val="36"/>
        </w:rPr>
      </w:pPr>
      <w:r w:rsidRPr="009337E7">
        <w:rPr>
          <w:b/>
          <w:sz w:val="36"/>
        </w:rPr>
        <w:lastRenderedPageBreak/>
        <w:t>Metodika zpracování cenové mapy</w:t>
      </w:r>
    </w:p>
    <w:p w14:paraId="65CD5893" w14:textId="77777777" w:rsidR="004558FE" w:rsidRPr="009337E7" w:rsidRDefault="004558FE" w:rsidP="004558FE">
      <w:pPr>
        <w:pStyle w:val="Zkladntext"/>
        <w:spacing w:before="240"/>
      </w:pPr>
      <w:r w:rsidRPr="009337E7">
        <w:t xml:space="preserve">5.1. </w:t>
      </w:r>
      <w:r w:rsidRPr="009337E7">
        <w:rPr>
          <w:b/>
          <w:u w:val="single"/>
        </w:rPr>
        <w:t>Účel zpracování</w:t>
      </w:r>
    </w:p>
    <w:p w14:paraId="11CBFEDC" w14:textId="77777777" w:rsidR="004558FE" w:rsidRPr="009337E7" w:rsidRDefault="004558FE" w:rsidP="004558FE">
      <w:pPr>
        <w:pStyle w:val="Zkladntext"/>
        <w:spacing w:before="120"/>
        <w:ind w:firstLine="425"/>
      </w:pPr>
      <w:r w:rsidRPr="009337E7">
        <w:t>Účelem zpracování cenové mapy je přesnější vymezení cen stavebních pozemků v rámci území města Ostravy souběžně s vývojem místního trhu s pozemky na základě sjednaných cen v konkrétních kupních smlouvách. Cenová mapa slouží pro jednoduché zjišťování cen stavebních pozemků.</w:t>
      </w:r>
    </w:p>
    <w:p w14:paraId="59FCF046" w14:textId="77777777" w:rsidR="004558FE" w:rsidRPr="009337E7" w:rsidRDefault="004558FE" w:rsidP="004558FE">
      <w:pPr>
        <w:pStyle w:val="Zkladntext"/>
        <w:spacing w:before="240"/>
      </w:pPr>
      <w:r w:rsidRPr="009337E7">
        <w:t xml:space="preserve">5.2. </w:t>
      </w:r>
      <w:r w:rsidRPr="009337E7">
        <w:rPr>
          <w:b/>
          <w:u w:val="single"/>
        </w:rPr>
        <w:t>Postup zpracování a aktualizace cenové mapy</w:t>
      </w:r>
    </w:p>
    <w:p w14:paraId="579A89AA" w14:textId="77777777" w:rsidR="004558FE" w:rsidRPr="009337E7" w:rsidRDefault="004558FE" w:rsidP="004558FE">
      <w:pPr>
        <w:pStyle w:val="Zkladntext"/>
        <w:spacing w:before="120"/>
        <w:ind w:firstLine="426"/>
      </w:pPr>
      <w:r w:rsidRPr="009337E7">
        <w:t>Vlastní zpracování cenové mapy lze rozdělit do čtyř hlavních etap, a to:</w:t>
      </w:r>
    </w:p>
    <w:p w14:paraId="5EA02F99" w14:textId="77777777" w:rsidR="004558FE" w:rsidRPr="009337E7" w:rsidRDefault="004558FE" w:rsidP="004558FE">
      <w:pPr>
        <w:pStyle w:val="Zkladntext"/>
        <w:spacing w:before="120"/>
        <w:ind w:firstLine="426"/>
      </w:pPr>
      <w:r w:rsidRPr="009337E7">
        <w:rPr>
          <w:i/>
        </w:rPr>
        <w:t>v I.</w:t>
      </w:r>
      <w:r>
        <w:rPr>
          <w:i/>
        </w:rPr>
        <w:t> </w:t>
      </w:r>
      <w:r w:rsidRPr="009337E7">
        <w:rPr>
          <w:i/>
        </w:rPr>
        <w:t>etapě</w:t>
      </w:r>
      <w:r w:rsidRPr="009337E7">
        <w:t xml:space="preserve"> – jako základ pro stanovení cen pozemků podle § 10 zákona o oceňování majetku byly shromážděny a roztříděny ceny sjednané v konkrétních kupních smlouvách, vložených do katastru nemovitostí v období mezi lednem </w:t>
      </w:r>
      <w:r w:rsidRPr="00F05772">
        <w:t>20</w:t>
      </w:r>
      <w:r>
        <w:t>21</w:t>
      </w:r>
      <w:r w:rsidRPr="00F05772">
        <w:t xml:space="preserve"> a prosincem 20</w:t>
      </w:r>
      <w:r>
        <w:t>21</w:t>
      </w:r>
      <w:r w:rsidRPr="009337E7">
        <w:t>. Zdrojem těchto informací byl listinný operát katastru nemovitostí.</w:t>
      </w:r>
    </w:p>
    <w:p w14:paraId="424EEF8D" w14:textId="77777777" w:rsidR="004558FE" w:rsidRPr="009337E7" w:rsidRDefault="004558FE" w:rsidP="004558FE">
      <w:pPr>
        <w:pStyle w:val="Zkladntext"/>
        <w:spacing w:before="120"/>
        <w:ind w:firstLine="426"/>
      </w:pPr>
      <w:r w:rsidRPr="009337E7">
        <w:rPr>
          <w:i/>
        </w:rPr>
        <w:t>v II.</w:t>
      </w:r>
      <w:r>
        <w:rPr>
          <w:i/>
        </w:rPr>
        <w:t> </w:t>
      </w:r>
      <w:r w:rsidRPr="009337E7">
        <w:rPr>
          <w:i/>
        </w:rPr>
        <w:t>etapě</w:t>
      </w:r>
      <w:r w:rsidRPr="009337E7">
        <w:t xml:space="preserve"> – původní rozdělení do jednotlivých skupin parcel obdobných stavebních pozemků bylo porovnáno se současným využitím, v případě nově zastavěných území či změn ve využití území byly vytvořeny nové skupiny parcel obdobných stavebních pozemků. </w:t>
      </w:r>
    </w:p>
    <w:p w14:paraId="6948CE6F" w14:textId="77777777" w:rsidR="004558FE" w:rsidRPr="009337E7" w:rsidRDefault="004558FE" w:rsidP="004558FE">
      <w:pPr>
        <w:pStyle w:val="Zkladntext"/>
        <w:spacing w:before="120"/>
        <w:ind w:firstLine="426"/>
      </w:pPr>
      <w:r w:rsidRPr="009337E7">
        <w:rPr>
          <w:i/>
        </w:rPr>
        <w:t>v III.</w:t>
      </w:r>
      <w:r>
        <w:rPr>
          <w:i/>
        </w:rPr>
        <w:t> </w:t>
      </w:r>
      <w:r w:rsidRPr="009337E7">
        <w:rPr>
          <w:i/>
        </w:rPr>
        <w:t>etapě</w:t>
      </w:r>
      <w:r w:rsidRPr="009337E7">
        <w:t xml:space="preserve"> – porovnání</w:t>
      </w:r>
      <w:r>
        <w:t xml:space="preserve"> cen</w:t>
      </w:r>
      <w:r w:rsidRPr="009337E7">
        <w:t xml:space="preserve"> pozemků s cenami obdobných pozemkových celků na základě jejich charakteristik. V cenové mapě nejsou oceněny ty pozemky, kde nebyl zjištěn jejich prodej, resp. nebylo možné je porovnat se zjištěnými cenami porovnatelných pozemků.</w:t>
      </w:r>
    </w:p>
    <w:p w14:paraId="29246CD7" w14:textId="77777777" w:rsidR="004558FE" w:rsidRPr="002B004D" w:rsidRDefault="004558FE" w:rsidP="004558FE">
      <w:pPr>
        <w:pStyle w:val="Zkladntext"/>
        <w:spacing w:before="120"/>
        <w:ind w:firstLine="426"/>
      </w:pPr>
      <w:r w:rsidRPr="002B004D">
        <w:rPr>
          <w:i/>
        </w:rPr>
        <w:t>v IV. etapě</w:t>
      </w:r>
      <w:r w:rsidRPr="002B004D">
        <w:t xml:space="preserve"> – konečná aktualizace grafické části cenové mapy s aktuální verzí digitální katastrální mapy tak, aby se cenová mapa mohla stát součástí geografického informačního systému města Ostravy.  </w:t>
      </w:r>
    </w:p>
    <w:p w14:paraId="757038E3" w14:textId="77777777" w:rsidR="004558FE" w:rsidRPr="009337E7" w:rsidRDefault="004558FE" w:rsidP="004558FE">
      <w:pPr>
        <w:pStyle w:val="Zkladntext"/>
        <w:spacing w:before="240"/>
        <w:rPr>
          <w:b/>
        </w:rPr>
      </w:pPr>
      <w:r w:rsidRPr="002B004D">
        <w:t xml:space="preserve">5.3. </w:t>
      </w:r>
      <w:r w:rsidRPr="002B004D">
        <w:rPr>
          <w:b/>
          <w:u w:val="single"/>
        </w:rPr>
        <w:t>Rozbor území z hlediska šetřených charakteristik</w:t>
      </w:r>
    </w:p>
    <w:p w14:paraId="6D4352ED" w14:textId="77777777" w:rsidR="004558FE" w:rsidRPr="009337E7" w:rsidRDefault="004558FE" w:rsidP="004558FE">
      <w:pPr>
        <w:pStyle w:val="Zkladntext"/>
        <w:spacing w:before="240"/>
        <w:ind w:firstLine="426"/>
      </w:pPr>
      <w:r w:rsidRPr="009337E7">
        <w:t xml:space="preserve">Rozbor území byl proveden na aktuálním mapovém podkladě jednotlivých katastrů města Ostravy. Podle poslední platné podoby územního plánu byly na základě místních šetření prověřeny stávající skupiny pozemků ve vztahu ke změnám v zastavěnosti území a vymezeny nové skupiny funkčně obdobných pozemků na podkladech </w:t>
      </w:r>
      <w:r w:rsidRPr="009337E7">
        <w:rPr>
          <w:u w:val="single"/>
        </w:rPr>
        <w:t>šetřených charakteristik</w:t>
      </w:r>
      <w:r w:rsidRPr="009337E7">
        <w:t>:</w:t>
      </w:r>
    </w:p>
    <w:p w14:paraId="4AD12EAE" w14:textId="77777777" w:rsidR="004558FE" w:rsidRPr="009337E7" w:rsidRDefault="004558FE" w:rsidP="004558FE">
      <w:pPr>
        <w:pStyle w:val="Zkladntext"/>
        <w:spacing w:before="120"/>
      </w:pPr>
      <w:r w:rsidRPr="009337E7">
        <w:rPr>
          <w:i/>
        </w:rPr>
        <w:t>Účel užití:</w:t>
      </w:r>
    </w:p>
    <w:p w14:paraId="55F8A84B" w14:textId="77777777" w:rsidR="004558FE" w:rsidRPr="009337E7" w:rsidRDefault="004558FE" w:rsidP="004558FE">
      <w:pPr>
        <w:pStyle w:val="Zkladntext"/>
        <w:spacing w:before="120"/>
        <w:ind w:firstLine="426"/>
      </w:pPr>
      <w:r w:rsidRPr="009337E7">
        <w:t xml:space="preserve">Hlavní důraz je kladen na přesné vymezení skupin pozemků, které se vyznačují shodným účelem využití. Pro tyto potřeby byl v mapových podkladech barevně vyznačen účel užití pozemků, který dále slouží ke statistickému vyhodnocení tržních vlivů na ceny pozemků. </w:t>
      </w:r>
    </w:p>
    <w:p w14:paraId="3F5D3258" w14:textId="77777777" w:rsidR="004558FE" w:rsidRPr="009337E7" w:rsidRDefault="004558FE" w:rsidP="004558FE">
      <w:pPr>
        <w:pStyle w:val="Zkladntext"/>
        <w:spacing w:before="120"/>
      </w:pPr>
      <w:r w:rsidRPr="009337E7">
        <w:rPr>
          <w:i/>
        </w:rPr>
        <w:t>Poloha v obci:</w:t>
      </w:r>
    </w:p>
    <w:p w14:paraId="75611F6D" w14:textId="77777777" w:rsidR="004558FE" w:rsidRPr="009337E7" w:rsidRDefault="004558FE" w:rsidP="004558FE">
      <w:pPr>
        <w:pStyle w:val="Zkladntext"/>
        <w:spacing w:before="120"/>
        <w:ind w:firstLine="426"/>
      </w:pPr>
      <w:r w:rsidRPr="009337E7">
        <w:t>Území města Ostravy bylo opět rozděleno do čtyř polohových tříd, a to v závislosti na shodném účelu využití území v dané třídě a umístění v obci (centrum a vnitřní město, okrajová část vnitřního města, průmyslová část města a území mimo kompaktní město).</w:t>
      </w:r>
    </w:p>
    <w:p w14:paraId="29FF810D" w14:textId="77777777" w:rsidR="004558FE" w:rsidRPr="009337E7" w:rsidRDefault="004558FE" w:rsidP="004558FE">
      <w:pPr>
        <w:pStyle w:val="Zkladntext"/>
        <w:spacing w:before="120"/>
        <w:ind w:firstLine="426"/>
      </w:pPr>
      <w:r w:rsidRPr="009337E7">
        <w:t xml:space="preserve">Do čtyř polohových tříd bylo území města rozděleno v hranicích </w:t>
      </w:r>
      <w:proofErr w:type="gramStart"/>
      <w:r w:rsidRPr="009337E7">
        <w:t>k.ú. takto</w:t>
      </w:r>
      <w:proofErr w:type="gramEnd"/>
      <w:r w:rsidRPr="009337E7">
        <w:t>:</w:t>
      </w:r>
    </w:p>
    <w:p w14:paraId="4A068B24" w14:textId="77777777" w:rsidR="004558FE" w:rsidRPr="009337E7" w:rsidRDefault="004558FE" w:rsidP="004558FE">
      <w:pPr>
        <w:pStyle w:val="Zkladntext"/>
        <w:numPr>
          <w:ilvl w:val="0"/>
          <w:numId w:val="14"/>
        </w:numPr>
        <w:spacing w:before="120"/>
      </w:pPr>
      <w:r w:rsidRPr="009337E7">
        <w:rPr>
          <w:u w:val="single"/>
        </w:rPr>
        <w:t>Vnitřní město</w:t>
      </w:r>
      <w:r w:rsidRPr="009337E7">
        <w:t xml:space="preserve"> (jádrové území města s využitím pro obchod, služby, administrativu a hromadné bydlení)  zahrnuje </w:t>
      </w:r>
      <w:proofErr w:type="gramStart"/>
      <w:r w:rsidRPr="009337E7">
        <w:t>k.ú.</w:t>
      </w:r>
      <w:proofErr w:type="gramEnd"/>
      <w:r w:rsidRPr="009337E7">
        <w:t xml:space="preserve"> Moravská Ostrava, Přívoz, Mariánské Hory a Poruba.</w:t>
      </w:r>
    </w:p>
    <w:p w14:paraId="7814BF7D" w14:textId="77777777" w:rsidR="004558FE" w:rsidRPr="009337E7" w:rsidRDefault="004558FE" w:rsidP="004558FE">
      <w:pPr>
        <w:pStyle w:val="Zkladntext"/>
        <w:numPr>
          <w:ilvl w:val="0"/>
          <w:numId w:val="14"/>
        </w:numPr>
        <w:spacing w:before="120"/>
      </w:pPr>
      <w:r w:rsidRPr="009337E7">
        <w:rPr>
          <w:u w:val="single"/>
        </w:rPr>
        <w:t>Okrajová část vnitřního města</w:t>
      </w:r>
      <w:r w:rsidRPr="009337E7">
        <w:t xml:space="preserve"> zahrnuje katastrální území s převažující funkcí pro bydlení (individuální i hromadné) – Muglinov, Slezská Ostrava, Zábřeh nad Odrou, Výškovice u Ostravy, Hrabůvka, Dubina u Ostravy, </w:t>
      </w:r>
      <w:proofErr w:type="gramStart"/>
      <w:r w:rsidRPr="009337E7">
        <w:t>Poruba</w:t>
      </w:r>
      <w:proofErr w:type="gramEnd"/>
      <w:r w:rsidRPr="009337E7">
        <w:t>–</w:t>
      </w:r>
      <w:proofErr w:type="gramStart"/>
      <w:r w:rsidRPr="009337E7">
        <w:t>sever</w:t>
      </w:r>
      <w:proofErr w:type="gramEnd"/>
      <w:r w:rsidRPr="009337E7">
        <w:t>, Svinov, Martinov ve Slezsku, Třebovice ve Slezsku a Pustkovec.</w:t>
      </w:r>
    </w:p>
    <w:p w14:paraId="4F030F54" w14:textId="77777777" w:rsidR="004558FE" w:rsidRPr="009337E7" w:rsidRDefault="004558FE" w:rsidP="004558FE">
      <w:pPr>
        <w:pStyle w:val="Zkladntext"/>
        <w:numPr>
          <w:ilvl w:val="0"/>
          <w:numId w:val="14"/>
        </w:numPr>
        <w:spacing w:before="120"/>
      </w:pPr>
      <w:r w:rsidRPr="009337E7">
        <w:rPr>
          <w:u w:val="single"/>
        </w:rPr>
        <w:lastRenderedPageBreak/>
        <w:t>Průmyslové části města</w:t>
      </w:r>
      <w:r w:rsidRPr="009337E7">
        <w:t>, převážně zastavěné areály těžkého průmyslu nebo postižené jeho vlivy jako jsou </w:t>
      </w:r>
      <w:proofErr w:type="gramStart"/>
      <w:r w:rsidRPr="009337E7">
        <w:t>k.ú.</w:t>
      </w:r>
      <w:proofErr w:type="gramEnd"/>
      <w:r w:rsidRPr="009337E7">
        <w:t> Kunčičky, Kunčice nad Ostravicí, Hrušov, Vítkovice, Zábřeh</w:t>
      </w:r>
      <w:r>
        <w:t>-</w:t>
      </w:r>
      <w:r w:rsidRPr="009337E7">
        <w:t xml:space="preserve">VŽ </w:t>
      </w:r>
      <w:r w:rsidRPr="009337E7">
        <w:br/>
        <w:t>a Zábřeh</w:t>
      </w:r>
      <w:r>
        <w:t>-</w:t>
      </w:r>
      <w:r w:rsidRPr="009337E7">
        <w:t>Hulváky, spolu s </w:t>
      </w:r>
      <w:proofErr w:type="gramStart"/>
      <w:r w:rsidRPr="009337E7">
        <w:t>k.ú.</w:t>
      </w:r>
      <w:proofErr w:type="gramEnd"/>
      <w:r w:rsidRPr="009337E7">
        <w:t xml:space="preserve"> Nová Ves u Ostravy, které je nesceleným územím postiženým vlivy z průmyslu.</w:t>
      </w:r>
    </w:p>
    <w:p w14:paraId="436FD92A" w14:textId="77777777" w:rsidR="004558FE" w:rsidRPr="009337E7" w:rsidRDefault="004558FE" w:rsidP="004558FE">
      <w:pPr>
        <w:pStyle w:val="Zkladntext"/>
        <w:numPr>
          <w:ilvl w:val="0"/>
          <w:numId w:val="14"/>
        </w:numPr>
        <w:spacing w:before="120"/>
      </w:pPr>
      <w:r w:rsidRPr="009337E7">
        <w:rPr>
          <w:u w:val="single"/>
        </w:rPr>
        <w:t>Území mimo kompaktní město,</w:t>
      </w:r>
      <w:r w:rsidRPr="009337E7">
        <w:t xml:space="preserve"> s převažujícím využitím pro individuální bydlení, tvoří </w:t>
      </w:r>
      <w:proofErr w:type="gramStart"/>
      <w:r w:rsidRPr="009337E7">
        <w:t>k.ú.</w:t>
      </w:r>
      <w:proofErr w:type="gramEnd"/>
      <w:r w:rsidRPr="009337E7">
        <w:t> Michálkovice, Radvanice, Bartovice, Heřmanice, Antošovice, Koblov, Petřkovice u Ostravy, Lhotka u Ostravy, Hošťálkovice, Proskovice, Stará Bělá, Nová Bělá, Krásné Pole, Polanka nad Odrou, Stará Plesná, Nová Plesná a Hrabová.</w:t>
      </w:r>
    </w:p>
    <w:p w14:paraId="34EAFD52" w14:textId="77777777" w:rsidR="004558FE" w:rsidRPr="009337E7" w:rsidRDefault="004558FE" w:rsidP="004558FE">
      <w:pPr>
        <w:pStyle w:val="Zkladntext"/>
        <w:numPr>
          <w:ilvl w:val="12"/>
          <w:numId w:val="0"/>
        </w:numPr>
        <w:spacing w:before="240"/>
        <w:rPr>
          <w:b/>
          <w:i/>
          <w:color w:val="FF0000"/>
        </w:rPr>
      </w:pPr>
      <w:r w:rsidRPr="009337E7">
        <w:rPr>
          <w:i/>
          <w:u w:val="single"/>
        </w:rPr>
        <w:t>Soulad s územním plánem</w:t>
      </w:r>
      <w:r w:rsidRPr="009337E7">
        <w:rPr>
          <w:i/>
        </w:rPr>
        <w:t xml:space="preserve">: </w:t>
      </w:r>
      <w:r w:rsidRPr="009337E7">
        <w:rPr>
          <w:b/>
          <w:i/>
          <w:color w:val="FF0000"/>
        </w:rPr>
        <w:t xml:space="preserve"> </w:t>
      </w:r>
    </w:p>
    <w:p w14:paraId="3604FD32" w14:textId="4F4533F3" w:rsidR="004558FE" w:rsidRPr="009337E7" w:rsidRDefault="004558FE" w:rsidP="004558FE">
      <w:pPr>
        <w:pStyle w:val="Zkladntext"/>
        <w:numPr>
          <w:ilvl w:val="12"/>
          <w:numId w:val="0"/>
        </w:numPr>
        <w:spacing w:before="120"/>
        <w:ind w:firstLine="426"/>
      </w:pPr>
      <w:r w:rsidRPr="009337E7">
        <w:t>Dalším sledovaným údajem bylo porovnání aktuálního účelu užití stavebních pozemků s jejich perspektivním využitím podle územně-plánovací dokumentace (v květnu roku 2014 byl schválen nový územní plán Ostravy</w:t>
      </w:r>
      <w:r w:rsidR="003E4EBF">
        <w:t>)</w:t>
      </w:r>
      <w:r>
        <w:t>, nově byly v červnu roku 2022 schváleny změny územního plánu č.</w:t>
      </w:r>
      <w:r w:rsidR="003E4EBF">
        <w:t> </w:t>
      </w:r>
      <w:r>
        <w:t>4a, 4b, 4c</w:t>
      </w:r>
      <w:r w:rsidRPr="009337E7">
        <w:t xml:space="preserve">.  </w:t>
      </w:r>
    </w:p>
    <w:p w14:paraId="787228CC" w14:textId="77777777" w:rsidR="004558FE" w:rsidRPr="009337E7" w:rsidRDefault="004558FE" w:rsidP="004558FE">
      <w:pPr>
        <w:pStyle w:val="Zkladntext"/>
        <w:numPr>
          <w:ilvl w:val="12"/>
          <w:numId w:val="0"/>
        </w:numPr>
        <w:spacing w:before="240"/>
      </w:pPr>
      <w:r w:rsidRPr="009337E7">
        <w:rPr>
          <w:i/>
          <w:u w:val="single"/>
        </w:rPr>
        <w:t>Stavební vybavenost</w:t>
      </w:r>
      <w:r w:rsidRPr="009337E7">
        <w:rPr>
          <w:i/>
        </w:rPr>
        <w:t>:</w:t>
      </w:r>
    </w:p>
    <w:p w14:paraId="4E941ECF" w14:textId="77777777" w:rsidR="004558FE" w:rsidRPr="00866DF5" w:rsidRDefault="004558FE" w:rsidP="004558FE">
      <w:pPr>
        <w:pStyle w:val="Zkladntext"/>
        <w:numPr>
          <w:ilvl w:val="12"/>
          <w:numId w:val="0"/>
        </w:numPr>
        <w:spacing w:before="120"/>
        <w:ind w:firstLine="426"/>
      </w:pPr>
      <w:r w:rsidRPr="00A60D22">
        <w:t>Informace z úřadů jednotlivých městských obvodů byly využity pro posouzení vybavenosti pozemků základními inženýrskými sítěmi. Ostrava je téměř zcela vybavena veřejným rozvodem elektřiny, vody a telekomunikačními službami. Veřejná kanalizace je na celém území vnitřního města, ve velkých průmyslových areálech a jejich přilehlém okolí (tj. v průmyslových částech a okrajových územích vnitřního města). V městských obvodech mimo kompaktní město je kanalizace zavedena také v celém území městských obvodů Lhotka a Martinov, v Hošťálkovicích je na 90 % zastavěného území, v Hrabové na 80 % zastavěného území, v Pustkovci na 80 % zastavěného území, v </w:t>
      </w:r>
      <w:proofErr w:type="gramStart"/>
      <w:r w:rsidRPr="00A60D22">
        <w:t>k.ú.</w:t>
      </w:r>
      <w:proofErr w:type="gramEnd"/>
      <w:r w:rsidRPr="00A60D22">
        <w:t xml:space="preserve"> Slezská Ostrava na 80 % zastavěného </w:t>
      </w:r>
      <w:r w:rsidRPr="00866DF5">
        <w:t>území a v městském obvodu Svinov na 95 % zastavěného území. Většina městských obvodů mimo kompaktní město je odkanalizována jen částečně. Na veřejný rozvod plynu jsou napojeny všechny obvody města. Pouze v některých okrajových částech mimo kompaktní město je plyn rozveden pouze částečně (</w:t>
      </w:r>
      <w:proofErr w:type="gramStart"/>
      <w:r w:rsidRPr="00866DF5">
        <w:t>k.ú.</w:t>
      </w:r>
      <w:proofErr w:type="gramEnd"/>
      <w:r w:rsidRPr="00866DF5">
        <w:t> Hrušov v městském obvodu Slezská Ostrava a</w:t>
      </w:r>
      <w:r>
        <w:t> </w:t>
      </w:r>
      <w:r w:rsidRPr="00866DF5">
        <w:t>v obvodu Polanka v lokalitě Janová). V některých ostravských obvodech je centrální rozvod tepla, zejména v sídlištních celcích městských obvodů Poruba (</w:t>
      </w:r>
      <w:proofErr w:type="gramStart"/>
      <w:r w:rsidRPr="00866DF5">
        <w:t>k.ú.</w:t>
      </w:r>
      <w:proofErr w:type="gramEnd"/>
      <w:r w:rsidRPr="00866DF5">
        <w:t xml:space="preserve"> Poruba a </w:t>
      </w:r>
      <w:proofErr w:type="gramStart"/>
      <w:r w:rsidRPr="00866DF5">
        <w:t>k.ú.</w:t>
      </w:r>
      <w:proofErr w:type="gramEnd"/>
      <w:r w:rsidRPr="00866DF5">
        <w:t> Poruba-sever), Pustkovec, Svinov, Ostrava-Jih (</w:t>
      </w:r>
      <w:proofErr w:type="gramStart"/>
      <w:r w:rsidRPr="00866DF5">
        <w:t>k.ú.</w:t>
      </w:r>
      <w:proofErr w:type="gramEnd"/>
      <w:r w:rsidRPr="00866DF5">
        <w:t> Zábřeh nad Odrou, Výškovice u Ostravy, Hrabůvka,</w:t>
      </w:r>
      <w:r>
        <w:t xml:space="preserve"> </w:t>
      </w:r>
      <w:r w:rsidRPr="00866DF5">
        <w:t>Dubina u Ostravy), Hrabová,</w:t>
      </w:r>
      <w:r>
        <w:t xml:space="preserve"> </w:t>
      </w:r>
      <w:r w:rsidRPr="00866DF5">
        <w:t>ale také ve vnitřním městě - v Moravské Ostravě a</w:t>
      </w:r>
      <w:r>
        <w:t> </w:t>
      </w:r>
      <w:r w:rsidRPr="00866DF5">
        <w:t>Přívoze, Mariánských Horách a Slezské Ostravě.</w:t>
      </w:r>
    </w:p>
    <w:p w14:paraId="236EB90D" w14:textId="77777777" w:rsidR="004558FE" w:rsidRPr="00866DF5" w:rsidRDefault="004558FE" w:rsidP="004558FE">
      <w:pPr>
        <w:pStyle w:val="Zkladntext"/>
        <w:numPr>
          <w:ilvl w:val="12"/>
          <w:numId w:val="0"/>
        </w:numPr>
        <w:spacing w:before="240"/>
        <w:rPr>
          <w:i/>
        </w:rPr>
      </w:pPr>
      <w:r w:rsidRPr="00866DF5">
        <w:rPr>
          <w:i/>
          <w:u w:val="single"/>
        </w:rPr>
        <w:t>Dopravní dostupnost</w:t>
      </w:r>
      <w:r w:rsidRPr="00866DF5">
        <w:rPr>
          <w:i/>
        </w:rPr>
        <w:t>:</w:t>
      </w:r>
    </w:p>
    <w:p w14:paraId="69BDF6FF" w14:textId="77777777" w:rsidR="004558FE" w:rsidRPr="00866DF5" w:rsidRDefault="004558FE" w:rsidP="004558FE">
      <w:pPr>
        <w:pStyle w:val="Zkladntext"/>
        <w:numPr>
          <w:ilvl w:val="12"/>
          <w:numId w:val="0"/>
        </w:numPr>
        <w:spacing w:before="120"/>
        <w:ind w:firstLine="426"/>
      </w:pPr>
      <w:r w:rsidRPr="00866DF5">
        <w:t xml:space="preserve">Předmětem šetření bylo spojení městské hromadné dopravy (dále jen </w:t>
      </w:r>
      <w:r w:rsidRPr="00866DF5">
        <w:rPr>
          <w:i/>
        </w:rPr>
        <w:t>MHD</w:t>
      </w:r>
      <w:r w:rsidRPr="00866DF5">
        <w:t>) mezi centrem města a jeho jednotlivými částmi. Kritériem byla vzdálenost od centra města, dopravní dostupnost a vzdálenost od nejbližších stanic MHD. V území vnitřního města, okrajové části vnitřního města a průmyslových částech je síť MHD dostatečná, neboť je zajištěna jak autobusy, tak i trolejbusy a tramvajemi. V územích mimo kompaktní město jsou však prostředky MHD zastoupeny omezeně, většinou autobusy, popřípadě trolejbusy. Některé lokality však mají vzdálenosti mezi zastávkami MHD i více než 1 km. Městská hromadná doprava se dále rozšiřuje i za správní hranice města do okolních obcí, což zvyšuje zájem o stavební pozemky v příměstských oblastech Ostravy.</w:t>
      </w:r>
    </w:p>
    <w:p w14:paraId="37B97538" w14:textId="77777777" w:rsidR="004558FE" w:rsidRPr="00866DF5" w:rsidRDefault="004558FE" w:rsidP="004558FE">
      <w:pPr>
        <w:pStyle w:val="Zkladntext"/>
        <w:numPr>
          <w:ilvl w:val="12"/>
          <w:numId w:val="0"/>
        </w:numPr>
        <w:spacing w:before="240"/>
      </w:pPr>
      <w:r w:rsidRPr="00866DF5">
        <w:rPr>
          <w:i/>
          <w:u w:val="single"/>
        </w:rPr>
        <w:t>Omezující faktory</w:t>
      </w:r>
      <w:r w:rsidRPr="00866DF5">
        <w:rPr>
          <w:i/>
        </w:rPr>
        <w:t>:</w:t>
      </w:r>
    </w:p>
    <w:p w14:paraId="60D2C45A" w14:textId="77777777" w:rsidR="004558FE" w:rsidRDefault="004558FE" w:rsidP="004558FE">
      <w:pPr>
        <w:pStyle w:val="Zkladntext"/>
        <w:numPr>
          <w:ilvl w:val="12"/>
          <w:numId w:val="0"/>
        </w:numPr>
        <w:spacing w:before="120"/>
        <w:ind w:firstLine="426"/>
      </w:pPr>
      <w:r w:rsidRPr="00866DF5">
        <w:t xml:space="preserve">Zde byly zohledňovány okolnosti, které rozhodujícím způsobem limitují využití stavebních pozemků, jako jsou stavební uzávěra, výskyt důlních plynů (metanu), nadměrná hlučnost </w:t>
      </w:r>
      <w:r>
        <w:t xml:space="preserve">např. vlivem dopravy nebo průmyslu </w:t>
      </w:r>
      <w:r w:rsidRPr="00866DF5">
        <w:t>a případné ohrožení záplavami.</w:t>
      </w:r>
    </w:p>
    <w:p w14:paraId="3A7DE63C" w14:textId="77777777" w:rsidR="004558FE" w:rsidRPr="00866DF5" w:rsidRDefault="004558FE" w:rsidP="004558FE">
      <w:pPr>
        <w:pStyle w:val="Zkladntext"/>
        <w:numPr>
          <w:ilvl w:val="12"/>
          <w:numId w:val="0"/>
        </w:numPr>
        <w:spacing w:before="240"/>
      </w:pPr>
      <w:r w:rsidRPr="00866DF5">
        <w:lastRenderedPageBreak/>
        <w:t xml:space="preserve">5.4. </w:t>
      </w:r>
      <w:r w:rsidRPr="00866DF5">
        <w:rPr>
          <w:b/>
          <w:u w:val="single"/>
        </w:rPr>
        <w:t>Přiřazení cen jednotlivým skupinám parcel obdobných stavebních pozemků</w:t>
      </w:r>
    </w:p>
    <w:p w14:paraId="0AF64D83" w14:textId="77777777" w:rsidR="004558FE" w:rsidRPr="00866DF5" w:rsidRDefault="004558FE" w:rsidP="004558FE">
      <w:pPr>
        <w:pStyle w:val="Zkladntext"/>
        <w:numPr>
          <w:ilvl w:val="12"/>
          <w:numId w:val="0"/>
        </w:numPr>
        <w:spacing w:before="120"/>
        <w:ind w:firstLine="426"/>
      </w:pPr>
      <w:r w:rsidRPr="00866DF5">
        <w:t xml:space="preserve">Podkladem pro ocenění jednotlivých skupin parcel obdobných stavebních pozemků (dále jen </w:t>
      </w:r>
      <w:r w:rsidRPr="00866DF5">
        <w:rPr>
          <w:i/>
        </w:rPr>
        <w:t>obdobných parcel</w:t>
      </w:r>
      <w:r w:rsidRPr="00866DF5">
        <w:t xml:space="preserve">) byly ceny sjednané v uzavřených kupních smlouvách, které byly dohledány a prověřeny na katastrálním úřadu v Ostravě. </w:t>
      </w:r>
    </w:p>
    <w:p w14:paraId="26085988" w14:textId="77777777" w:rsidR="004558FE" w:rsidRPr="00866DF5" w:rsidRDefault="004558FE" w:rsidP="004558FE">
      <w:pPr>
        <w:pStyle w:val="Zkladntext"/>
        <w:numPr>
          <w:ilvl w:val="12"/>
          <w:numId w:val="0"/>
        </w:numPr>
        <w:spacing w:before="120"/>
        <w:ind w:firstLine="426"/>
      </w:pPr>
      <w:r w:rsidRPr="00866DF5">
        <w:t xml:space="preserve">Dohledané ceny byly analyzovány s cílem vyloučení těch údajů, které neodpovídaly obvyklým cenám (§ 2 odst. 1 zákona o oceňování majetku) a dále v případech, kdy šlo o sjednané ceny za soubor nemovitých věcí (např. pozemků, vč. staveb, venkovních úprav a trvalých porostů). </w:t>
      </w:r>
    </w:p>
    <w:p w14:paraId="295F8010" w14:textId="77777777" w:rsidR="004558FE" w:rsidRDefault="004558FE" w:rsidP="004558FE">
      <w:pPr>
        <w:pStyle w:val="Zkladntext"/>
        <w:numPr>
          <w:ilvl w:val="12"/>
          <w:numId w:val="0"/>
        </w:numPr>
        <w:spacing w:before="120"/>
        <w:ind w:firstLine="426"/>
      </w:pPr>
      <w:r w:rsidRPr="00866DF5">
        <w:t>Jednotlivým skupinám obdobných parcel byla na základě zjištěných cen a charakteristik přiřazena cena v Kč za m</w:t>
      </w:r>
      <w:r w:rsidRPr="00866DF5">
        <w:rPr>
          <w:vertAlign w:val="superscript"/>
        </w:rPr>
        <w:t>2</w:t>
      </w:r>
      <w:r w:rsidRPr="00866DF5">
        <w:t>, a to jednak na základě skutečně sjednaných cen a také na základě porovnání se sjednanými cenami obdobných pozemků v rámci území města.</w:t>
      </w:r>
    </w:p>
    <w:p w14:paraId="2DF2F8F5" w14:textId="77777777" w:rsidR="004558FE" w:rsidRPr="00231ABC" w:rsidRDefault="004558FE" w:rsidP="004558FE">
      <w:pPr>
        <w:numPr>
          <w:ilvl w:val="0"/>
          <w:numId w:val="13"/>
        </w:numPr>
        <w:ind w:left="357" w:hanging="357"/>
        <w:jc w:val="both"/>
        <w:rPr>
          <w:b/>
          <w:sz w:val="36"/>
        </w:rPr>
      </w:pPr>
      <w:r w:rsidRPr="009337E7">
        <w:rPr>
          <w:b/>
          <w:sz w:val="36"/>
        </w:rPr>
        <w:br w:type="page"/>
      </w:r>
      <w:r w:rsidRPr="00231ABC">
        <w:rPr>
          <w:b/>
          <w:sz w:val="36"/>
        </w:rPr>
        <w:lastRenderedPageBreak/>
        <w:t xml:space="preserve">Poměrové ukazatele </w:t>
      </w:r>
    </w:p>
    <w:p w14:paraId="5D459908" w14:textId="77777777" w:rsidR="004558FE" w:rsidRPr="00971962" w:rsidRDefault="004558FE" w:rsidP="004558FE">
      <w:pPr>
        <w:pStyle w:val="Zkladntext"/>
        <w:spacing w:before="240"/>
        <w:ind w:firstLine="425"/>
      </w:pPr>
      <w:r w:rsidRPr="00971962">
        <w:t>Na základě statistických dat převzatých z katastru nemovitostí byly zjištěny údaje o plošném rozvrstvení druhů pozemků, počtech parcel a jiné údaje.</w:t>
      </w:r>
    </w:p>
    <w:p w14:paraId="520CB36D" w14:textId="77777777" w:rsidR="004558FE" w:rsidRPr="00971962" w:rsidRDefault="004558FE" w:rsidP="004558FE">
      <w:pPr>
        <w:pStyle w:val="Nadpis2"/>
        <w:numPr>
          <w:ilvl w:val="0"/>
          <w:numId w:val="0"/>
        </w:numPr>
        <w:tabs>
          <w:tab w:val="clear" w:pos="576"/>
          <w:tab w:val="left" w:pos="426"/>
        </w:tabs>
        <w:spacing w:before="120"/>
      </w:pPr>
      <w:r w:rsidRPr="00971962">
        <w:t>Výměry a počty parcel</w:t>
      </w:r>
    </w:p>
    <w:p w14:paraId="4C4C4F8A" w14:textId="77777777" w:rsidR="004558FE" w:rsidRPr="00971962" w:rsidRDefault="004558FE" w:rsidP="004558FE">
      <w:pPr>
        <w:spacing w:before="120"/>
      </w:pPr>
      <w:r w:rsidRPr="00971962">
        <w:t>CM 2021</w:t>
      </w:r>
    </w:p>
    <w:tbl>
      <w:tblPr>
        <w:tblW w:w="0" w:type="auto"/>
        <w:tblInd w:w="172" w:type="dxa"/>
        <w:tblLayout w:type="fixed"/>
        <w:tblCellMar>
          <w:left w:w="30" w:type="dxa"/>
          <w:right w:w="30" w:type="dxa"/>
        </w:tblCellMar>
        <w:tblLook w:val="0000" w:firstRow="0" w:lastRow="0" w:firstColumn="0" w:lastColumn="0" w:noHBand="0" w:noVBand="0"/>
      </w:tblPr>
      <w:tblGrid>
        <w:gridCol w:w="3969"/>
        <w:gridCol w:w="1418"/>
        <w:gridCol w:w="850"/>
        <w:gridCol w:w="1418"/>
        <w:gridCol w:w="850"/>
      </w:tblGrid>
      <w:tr w:rsidR="004558FE" w:rsidRPr="00971962" w14:paraId="23D6CCEE" w14:textId="77777777" w:rsidTr="00895CB0">
        <w:trPr>
          <w:trHeight w:val="340"/>
        </w:trPr>
        <w:tc>
          <w:tcPr>
            <w:tcW w:w="3969" w:type="dxa"/>
            <w:tcBorders>
              <w:top w:val="single" w:sz="18" w:space="0" w:color="auto"/>
              <w:left w:val="single" w:sz="18" w:space="0" w:color="auto"/>
              <w:bottom w:val="single" w:sz="18" w:space="0" w:color="auto"/>
              <w:right w:val="single" w:sz="18" w:space="0" w:color="auto"/>
            </w:tcBorders>
            <w:shd w:val="pct10" w:color="auto" w:fill="FFFFFF"/>
            <w:vAlign w:val="center"/>
          </w:tcPr>
          <w:p w14:paraId="26942D09" w14:textId="77777777" w:rsidR="004558FE" w:rsidRPr="00971962" w:rsidRDefault="004558FE" w:rsidP="00895CB0">
            <w:pPr>
              <w:jc w:val="center"/>
              <w:rPr>
                <w:b/>
                <w:color w:val="000000"/>
                <w:sz w:val="24"/>
              </w:rPr>
            </w:pPr>
            <w:r w:rsidRPr="00971962">
              <w:rPr>
                <w:b/>
                <w:color w:val="000000"/>
                <w:sz w:val="24"/>
              </w:rPr>
              <w:t>Základní členění</w:t>
            </w:r>
          </w:p>
        </w:tc>
        <w:tc>
          <w:tcPr>
            <w:tcW w:w="1418" w:type="dxa"/>
            <w:tcBorders>
              <w:top w:val="single" w:sz="18" w:space="0" w:color="auto"/>
              <w:left w:val="nil"/>
              <w:bottom w:val="single" w:sz="18" w:space="0" w:color="auto"/>
              <w:right w:val="single" w:sz="6" w:space="0" w:color="auto"/>
            </w:tcBorders>
            <w:shd w:val="pct10" w:color="auto" w:fill="FFFFFF"/>
            <w:vAlign w:val="center"/>
          </w:tcPr>
          <w:p w14:paraId="1D908C30" w14:textId="77777777" w:rsidR="004558FE" w:rsidRPr="00971962" w:rsidRDefault="004558FE" w:rsidP="00895CB0">
            <w:pPr>
              <w:jc w:val="center"/>
              <w:rPr>
                <w:b/>
                <w:color w:val="000000"/>
                <w:sz w:val="24"/>
              </w:rPr>
            </w:pPr>
            <w:r w:rsidRPr="00971962">
              <w:rPr>
                <w:b/>
                <w:color w:val="000000"/>
                <w:sz w:val="24"/>
              </w:rPr>
              <w:t>výměra v ha</w:t>
            </w:r>
          </w:p>
        </w:tc>
        <w:tc>
          <w:tcPr>
            <w:tcW w:w="850" w:type="dxa"/>
            <w:tcBorders>
              <w:top w:val="single" w:sz="18" w:space="0" w:color="auto"/>
              <w:left w:val="single" w:sz="6" w:space="0" w:color="auto"/>
              <w:bottom w:val="single" w:sz="18" w:space="0" w:color="auto"/>
              <w:right w:val="single" w:sz="6" w:space="0" w:color="auto"/>
            </w:tcBorders>
            <w:shd w:val="pct10" w:color="auto" w:fill="FFFFFF"/>
            <w:vAlign w:val="center"/>
          </w:tcPr>
          <w:p w14:paraId="4D5EBFB7" w14:textId="77777777" w:rsidR="004558FE" w:rsidRPr="00971962" w:rsidRDefault="004558FE" w:rsidP="00895CB0">
            <w:pPr>
              <w:jc w:val="center"/>
              <w:rPr>
                <w:b/>
                <w:color w:val="000000"/>
                <w:sz w:val="24"/>
              </w:rPr>
            </w:pPr>
            <w:r w:rsidRPr="00971962">
              <w:rPr>
                <w:b/>
                <w:color w:val="000000"/>
                <w:sz w:val="24"/>
              </w:rPr>
              <w:t>%</w:t>
            </w:r>
          </w:p>
        </w:tc>
        <w:tc>
          <w:tcPr>
            <w:tcW w:w="1418" w:type="dxa"/>
            <w:tcBorders>
              <w:top w:val="single" w:sz="18" w:space="0" w:color="auto"/>
              <w:left w:val="single" w:sz="6" w:space="0" w:color="auto"/>
              <w:bottom w:val="single" w:sz="18" w:space="0" w:color="auto"/>
              <w:right w:val="single" w:sz="6" w:space="0" w:color="auto"/>
            </w:tcBorders>
            <w:shd w:val="pct10" w:color="auto" w:fill="FFFFFF"/>
            <w:vAlign w:val="center"/>
          </w:tcPr>
          <w:p w14:paraId="46EDA4C0" w14:textId="77777777" w:rsidR="004558FE" w:rsidRPr="00971962" w:rsidRDefault="004558FE" w:rsidP="00895CB0">
            <w:pPr>
              <w:jc w:val="center"/>
              <w:rPr>
                <w:b/>
                <w:color w:val="000000"/>
                <w:sz w:val="24"/>
              </w:rPr>
            </w:pPr>
            <w:r w:rsidRPr="00971962">
              <w:rPr>
                <w:b/>
                <w:color w:val="000000"/>
                <w:sz w:val="24"/>
              </w:rPr>
              <w:t>počet parcel</w:t>
            </w:r>
          </w:p>
        </w:tc>
        <w:tc>
          <w:tcPr>
            <w:tcW w:w="850" w:type="dxa"/>
            <w:tcBorders>
              <w:top w:val="single" w:sz="18" w:space="0" w:color="auto"/>
              <w:left w:val="single" w:sz="6" w:space="0" w:color="auto"/>
              <w:bottom w:val="single" w:sz="18" w:space="0" w:color="auto"/>
              <w:right w:val="single" w:sz="18" w:space="0" w:color="auto"/>
            </w:tcBorders>
            <w:shd w:val="pct10" w:color="auto" w:fill="FFFFFF"/>
            <w:vAlign w:val="center"/>
          </w:tcPr>
          <w:p w14:paraId="25D6285A" w14:textId="77777777" w:rsidR="004558FE" w:rsidRPr="00971962" w:rsidRDefault="004558FE" w:rsidP="00895CB0">
            <w:pPr>
              <w:jc w:val="center"/>
              <w:rPr>
                <w:b/>
                <w:color w:val="000000"/>
                <w:sz w:val="24"/>
              </w:rPr>
            </w:pPr>
            <w:r w:rsidRPr="00971962">
              <w:rPr>
                <w:b/>
                <w:color w:val="000000"/>
                <w:sz w:val="24"/>
              </w:rPr>
              <w:t>%</w:t>
            </w:r>
          </w:p>
        </w:tc>
      </w:tr>
      <w:tr w:rsidR="004558FE" w:rsidRPr="00971962" w14:paraId="4C2FABC3" w14:textId="77777777" w:rsidTr="00895CB0">
        <w:trPr>
          <w:cantSplit/>
          <w:trHeight w:val="250"/>
        </w:trPr>
        <w:tc>
          <w:tcPr>
            <w:tcW w:w="3969" w:type="dxa"/>
            <w:tcBorders>
              <w:top w:val="nil"/>
              <w:left w:val="single" w:sz="18" w:space="0" w:color="auto"/>
              <w:bottom w:val="single" w:sz="6" w:space="0" w:color="auto"/>
              <w:right w:val="single" w:sz="18" w:space="0" w:color="auto"/>
            </w:tcBorders>
          </w:tcPr>
          <w:p w14:paraId="02807DD6" w14:textId="77777777" w:rsidR="004558FE" w:rsidRPr="00971962" w:rsidRDefault="004558FE" w:rsidP="00895CB0">
            <w:pPr>
              <w:pStyle w:val="Nadpis6"/>
              <w:numPr>
                <w:ilvl w:val="0"/>
                <w:numId w:val="0"/>
              </w:numPr>
              <w:tabs>
                <w:tab w:val="clear" w:pos="1152"/>
              </w:tabs>
            </w:pPr>
            <w:r w:rsidRPr="00971962">
              <w:t>Zemědělská a lesní půda, vodní plochy</w:t>
            </w:r>
          </w:p>
        </w:tc>
        <w:tc>
          <w:tcPr>
            <w:tcW w:w="1418" w:type="dxa"/>
            <w:tcBorders>
              <w:top w:val="nil"/>
              <w:left w:val="nil"/>
              <w:bottom w:val="single" w:sz="6" w:space="0" w:color="auto"/>
              <w:right w:val="single" w:sz="6" w:space="0" w:color="auto"/>
            </w:tcBorders>
            <w:vAlign w:val="center"/>
          </w:tcPr>
          <w:p w14:paraId="16683723" w14:textId="77777777" w:rsidR="004558FE" w:rsidRPr="00971962" w:rsidRDefault="004558FE" w:rsidP="00895CB0">
            <w:pPr>
              <w:pStyle w:val="Nadpis6"/>
              <w:numPr>
                <w:ilvl w:val="0"/>
                <w:numId w:val="0"/>
              </w:numPr>
              <w:tabs>
                <w:tab w:val="clear" w:pos="1152"/>
              </w:tabs>
              <w:jc w:val="center"/>
            </w:pPr>
            <w:r w:rsidRPr="00971962">
              <w:t>11 578</w:t>
            </w:r>
          </w:p>
        </w:tc>
        <w:tc>
          <w:tcPr>
            <w:tcW w:w="850" w:type="dxa"/>
            <w:tcBorders>
              <w:top w:val="nil"/>
              <w:left w:val="single" w:sz="6" w:space="0" w:color="auto"/>
              <w:bottom w:val="single" w:sz="6" w:space="0" w:color="auto"/>
              <w:right w:val="single" w:sz="6" w:space="0" w:color="auto"/>
            </w:tcBorders>
            <w:vAlign w:val="center"/>
          </w:tcPr>
          <w:p w14:paraId="3717FCA1" w14:textId="77777777" w:rsidR="004558FE" w:rsidRPr="00971962" w:rsidRDefault="004558FE" w:rsidP="00895CB0">
            <w:pPr>
              <w:pStyle w:val="Nadpis6"/>
              <w:numPr>
                <w:ilvl w:val="0"/>
                <w:numId w:val="0"/>
              </w:numPr>
              <w:tabs>
                <w:tab w:val="clear" w:pos="1152"/>
              </w:tabs>
              <w:jc w:val="center"/>
            </w:pPr>
            <w:r w:rsidRPr="00971962">
              <w:t>54</w:t>
            </w:r>
          </w:p>
        </w:tc>
        <w:tc>
          <w:tcPr>
            <w:tcW w:w="1418" w:type="dxa"/>
            <w:tcBorders>
              <w:top w:val="nil"/>
              <w:left w:val="single" w:sz="6" w:space="0" w:color="auto"/>
              <w:bottom w:val="single" w:sz="6" w:space="0" w:color="auto"/>
              <w:right w:val="single" w:sz="6" w:space="0" w:color="auto"/>
            </w:tcBorders>
            <w:vAlign w:val="center"/>
          </w:tcPr>
          <w:p w14:paraId="2E437ED6" w14:textId="77777777" w:rsidR="004558FE" w:rsidRPr="00971962" w:rsidRDefault="004558FE" w:rsidP="00895CB0">
            <w:pPr>
              <w:pStyle w:val="Nadpis6"/>
              <w:numPr>
                <w:ilvl w:val="0"/>
                <w:numId w:val="0"/>
              </w:numPr>
              <w:tabs>
                <w:tab w:val="clear" w:pos="1152"/>
              </w:tabs>
              <w:jc w:val="center"/>
            </w:pPr>
            <w:r w:rsidRPr="00971962">
              <w:t>55 729</w:t>
            </w:r>
          </w:p>
        </w:tc>
        <w:tc>
          <w:tcPr>
            <w:tcW w:w="850" w:type="dxa"/>
            <w:tcBorders>
              <w:top w:val="nil"/>
              <w:left w:val="single" w:sz="6" w:space="0" w:color="auto"/>
              <w:bottom w:val="single" w:sz="6" w:space="0" w:color="auto"/>
              <w:right w:val="single" w:sz="18" w:space="0" w:color="auto"/>
            </w:tcBorders>
            <w:vAlign w:val="center"/>
          </w:tcPr>
          <w:p w14:paraId="6E65A31E" w14:textId="77777777" w:rsidR="004558FE" w:rsidRPr="00971962" w:rsidRDefault="004558FE" w:rsidP="00895CB0">
            <w:pPr>
              <w:pStyle w:val="Nadpis6"/>
              <w:numPr>
                <w:ilvl w:val="0"/>
                <w:numId w:val="0"/>
              </w:numPr>
              <w:tabs>
                <w:tab w:val="clear" w:pos="1152"/>
              </w:tabs>
              <w:jc w:val="center"/>
            </w:pPr>
            <w:r w:rsidRPr="00971962">
              <w:t>35</w:t>
            </w:r>
          </w:p>
        </w:tc>
      </w:tr>
      <w:tr w:rsidR="004558FE" w:rsidRPr="00971962" w14:paraId="23299E61" w14:textId="77777777" w:rsidTr="00895CB0">
        <w:trPr>
          <w:trHeight w:val="250"/>
        </w:trPr>
        <w:tc>
          <w:tcPr>
            <w:tcW w:w="3969" w:type="dxa"/>
            <w:tcBorders>
              <w:top w:val="single" w:sz="6" w:space="0" w:color="auto"/>
              <w:left w:val="single" w:sz="18" w:space="0" w:color="auto"/>
              <w:bottom w:val="single" w:sz="6" w:space="0" w:color="auto"/>
              <w:right w:val="single" w:sz="18" w:space="0" w:color="auto"/>
            </w:tcBorders>
          </w:tcPr>
          <w:p w14:paraId="5BDD270A" w14:textId="77777777" w:rsidR="004558FE" w:rsidRPr="00971962" w:rsidRDefault="004558FE" w:rsidP="00895CB0">
            <w:pPr>
              <w:pStyle w:val="Nadpis6"/>
              <w:numPr>
                <w:ilvl w:val="0"/>
                <w:numId w:val="0"/>
              </w:numPr>
              <w:tabs>
                <w:tab w:val="clear" w:pos="1152"/>
              </w:tabs>
            </w:pPr>
            <w:r w:rsidRPr="00971962">
              <w:t>Zastavěná plocha</w:t>
            </w:r>
          </w:p>
        </w:tc>
        <w:tc>
          <w:tcPr>
            <w:tcW w:w="1418" w:type="dxa"/>
            <w:tcBorders>
              <w:top w:val="single" w:sz="6" w:space="0" w:color="auto"/>
              <w:left w:val="nil"/>
              <w:bottom w:val="single" w:sz="6" w:space="0" w:color="auto"/>
              <w:right w:val="single" w:sz="6" w:space="0" w:color="auto"/>
            </w:tcBorders>
            <w:vAlign w:val="center"/>
          </w:tcPr>
          <w:p w14:paraId="4E2F843F" w14:textId="77777777" w:rsidR="004558FE" w:rsidRPr="00971962" w:rsidRDefault="004558FE" w:rsidP="00895CB0">
            <w:pPr>
              <w:pStyle w:val="Nadpis6"/>
              <w:numPr>
                <w:ilvl w:val="0"/>
                <w:numId w:val="0"/>
              </w:numPr>
              <w:tabs>
                <w:tab w:val="clear" w:pos="1152"/>
              </w:tabs>
              <w:jc w:val="center"/>
            </w:pPr>
            <w:r w:rsidRPr="00971962">
              <w:t>1 839</w:t>
            </w:r>
          </w:p>
        </w:tc>
        <w:tc>
          <w:tcPr>
            <w:tcW w:w="850" w:type="dxa"/>
            <w:tcBorders>
              <w:top w:val="single" w:sz="6" w:space="0" w:color="auto"/>
              <w:left w:val="single" w:sz="6" w:space="0" w:color="auto"/>
              <w:bottom w:val="single" w:sz="6" w:space="0" w:color="auto"/>
              <w:right w:val="single" w:sz="6" w:space="0" w:color="auto"/>
            </w:tcBorders>
            <w:vAlign w:val="center"/>
          </w:tcPr>
          <w:p w14:paraId="0FF14805" w14:textId="77777777" w:rsidR="004558FE" w:rsidRPr="00971962" w:rsidRDefault="004558FE" w:rsidP="00895CB0">
            <w:pPr>
              <w:pStyle w:val="Nadpis6"/>
              <w:numPr>
                <w:ilvl w:val="0"/>
                <w:numId w:val="0"/>
              </w:numPr>
              <w:tabs>
                <w:tab w:val="clear" w:pos="1152"/>
              </w:tabs>
              <w:jc w:val="center"/>
            </w:pPr>
            <w:r w:rsidRPr="00971962">
              <w:t>9</w:t>
            </w:r>
          </w:p>
        </w:tc>
        <w:tc>
          <w:tcPr>
            <w:tcW w:w="1418" w:type="dxa"/>
            <w:tcBorders>
              <w:top w:val="single" w:sz="6" w:space="0" w:color="auto"/>
              <w:left w:val="single" w:sz="6" w:space="0" w:color="auto"/>
              <w:bottom w:val="single" w:sz="6" w:space="0" w:color="auto"/>
              <w:right w:val="single" w:sz="6" w:space="0" w:color="auto"/>
            </w:tcBorders>
            <w:vAlign w:val="center"/>
          </w:tcPr>
          <w:p w14:paraId="3664A735" w14:textId="77777777" w:rsidR="004558FE" w:rsidRPr="00971962" w:rsidRDefault="004558FE" w:rsidP="00895CB0">
            <w:pPr>
              <w:pStyle w:val="Nadpis6"/>
              <w:numPr>
                <w:ilvl w:val="0"/>
                <w:numId w:val="0"/>
              </w:numPr>
              <w:tabs>
                <w:tab w:val="clear" w:pos="1152"/>
              </w:tabs>
              <w:jc w:val="center"/>
            </w:pPr>
            <w:r w:rsidRPr="00971962">
              <w:t>58 710</w:t>
            </w:r>
          </w:p>
        </w:tc>
        <w:tc>
          <w:tcPr>
            <w:tcW w:w="850" w:type="dxa"/>
            <w:tcBorders>
              <w:top w:val="single" w:sz="6" w:space="0" w:color="auto"/>
              <w:left w:val="single" w:sz="6" w:space="0" w:color="auto"/>
              <w:bottom w:val="single" w:sz="6" w:space="0" w:color="auto"/>
              <w:right w:val="single" w:sz="18" w:space="0" w:color="auto"/>
            </w:tcBorders>
            <w:vAlign w:val="center"/>
          </w:tcPr>
          <w:p w14:paraId="4E6F695B" w14:textId="77777777" w:rsidR="004558FE" w:rsidRPr="00971962" w:rsidRDefault="004558FE" w:rsidP="00895CB0">
            <w:pPr>
              <w:pStyle w:val="Nadpis6"/>
              <w:numPr>
                <w:ilvl w:val="0"/>
                <w:numId w:val="0"/>
              </w:numPr>
              <w:tabs>
                <w:tab w:val="clear" w:pos="1152"/>
              </w:tabs>
              <w:jc w:val="center"/>
            </w:pPr>
            <w:r w:rsidRPr="00971962">
              <w:t>37</w:t>
            </w:r>
          </w:p>
        </w:tc>
      </w:tr>
      <w:tr w:rsidR="004558FE" w:rsidRPr="00971962" w14:paraId="3A1D7073" w14:textId="77777777" w:rsidTr="00895CB0">
        <w:trPr>
          <w:trHeight w:val="264"/>
        </w:trPr>
        <w:tc>
          <w:tcPr>
            <w:tcW w:w="3969" w:type="dxa"/>
            <w:tcBorders>
              <w:top w:val="single" w:sz="6" w:space="0" w:color="auto"/>
              <w:left w:val="single" w:sz="18" w:space="0" w:color="auto"/>
              <w:bottom w:val="nil"/>
              <w:right w:val="single" w:sz="18" w:space="0" w:color="auto"/>
            </w:tcBorders>
          </w:tcPr>
          <w:p w14:paraId="0EADAC4F" w14:textId="77777777" w:rsidR="004558FE" w:rsidRPr="00971962" w:rsidRDefault="004558FE" w:rsidP="00895CB0">
            <w:pPr>
              <w:pStyle w:val="Nadpis6"/>
              <w:numPr>
                <w:ilvl w:val="0"/>
                <w:numId w:val="0"/>
              </w:numPr>
              <w:tabs>
                <w:tab w:val="clear" w:pos="1152"/>
              </w:tabs>
            </w:pPr>
            <w:r w:rsidRPr="00971962">
              <w:t>Ostatní plocha</w:t>
            </w:r>
          </w:p>
        </w:tc>
        <w:tc>
          <w:tcPr>
            <w:tcW w:w="1418" w:type="dxa"/>
            <w:tcBorders>
              <w:top w:val="single" w:sz="6" w:space="0" w:color="auto"/>
              <w:left w:val="nil"/>
              <w:bottom w:val="nil"/>
              <w:right w:val="single" w:sz="6" w:space="0" w:color="auto"/>
            </w:tcBorders>
            <w:vAlign w:val="center"/>
          </w:tcPr>
          <w:p w14:paraId="37B80799" w14:textId="77777777" w:rsidR="004558FE" w:rsidRPr="00971962" w:rsidRDefault="004558FE" w:rsidP="00895CB0">
            <w:pPr>
              <w:pStyle w:val="Nadpis6"/>
              <w:numPr>
                <w:ilvl w:val="0"/>
                <w:numId w:val="0"/>
              </w:numPr>
              <w:tabs>
                <w:tab w:val="clear" w:pos="1152"/>
              </w:tabs>
              <w:jc w:val="center"/>
            </w:pPr>
            <w:r w:rsidRPr="00971962">
              <w:t>8 006</w:t>
            </w:r>
          </w:p>
        </w:tc>
        <w:tc>
          <w:tcPr>
            <w:tcW w:w="850" w:type="dxa"/>
            <w:tcBorders>
              <w:top w:val="single" w:sz="6" w:space="0" w:color="auto"/>
              <w:left w:val="single" w:sz="6" w:space="0" w:color="auto"/>
              <w:bottom w:val="nil"/>
              <w:right w:val="single" w:sz="6" w:space="0" w:color="auto"/>
            </w:tcBorders>
            <w:vAlign w:val="center"/>
          </w:tcPr>
          <w:p w14:paraId="2A085B90" w14:textId="77777777" w:rsidR="004558FE" w:rsidRPr="00971962" w:rsidRDefault="004558FE" w:rsidP="00895CB0">
            <w:pPr>
              <w:pStyle w:val="Nadpis6"/>
              <w:numPr>
                <w:ilvl w:val="0"/>
                <w:numId w:val="0"/>
              </w:numPr>
              <w:tabs>
                <w:tab w:val="clear" w:pos="1152"/>
              </w:tabs>
              <w:jc w:val="center"/>
            </w:pPr>
            <w:r w:rsidRPr="00971962">
              <w:t>37</w:t>
            </w:r>
          </w:p>
        </w:tc>
        <w:tc>
          <w:tcPr>
            <w:tcW w:w="1418" w:type="dxa"/>
            <w:tcBorders>
              <w:top w:val="single" w:sz="6" w:space="0" w:color="auto"/>
              <w:left w:val="single" w:sz="6" w:space="0" w:color="auto"/>
              <w:bottom w:val="nil"/>
              <w:right w:val="single" w:sz="6" w:space="0" w:color="auto"/>
            </w:tcBorders>
            <w:vAlign w:val="center"/>
          </w:tcPr>
          <w:p w14:paraId="1DAD7B22" w14:textId="77777777" w:rsidR="004558FE" w:rsidRPr="00971962" w:rsidRDefault="004558FE" w:rsidP="00895CB0">
            <w:pPr>
              <w:pStyle w:val="Nadpis6"/>
              <w:numPr>
                <w:ilvl w:val="0"/>
                <w:numId w:val="0"/>
              </w:numPr>
              <w:tabs>
                <w:tab w:val="clear" w:pos="1152"/>
              </w:tabs>
              <w:jc w:val="center"/>
            </w:pPr>
            <w:r w:rsidRPr="00971962">
              <w:t>44 933</w:t>
            </w:r>
          </w:p>
        </w:tc>
        <w:tc>
          <w:tcPr>
            <w:tcW w:w="850" w:type="dxa"/>
            <w:tcBorders>
              <w:top w:val="single" w:sz="6" w:space="0" w:color="auto"/>
              <w:left w:val="single" w:sz="6" w:space="0" w:color="auto"/>
              <w:bottom w:val="nil"/>
              <w:right w:val="single" w:sz="18" w:space="0" w:color="auto"/>
            </w:tcBorders>
            <w:vAlign w:val="center"/>
          </w:tcPr>
          <w:p w14:paraId="23597655" w14:textId="77777777" w:rsidR="004558FE" w:rsidRPr="00971962" w:rsidRDefault="004558FE" w:rsidP="00895CB0">
            <w:pPr>
              <w:pStyle w:val="Nadpis6"/>
              <w:numPr>
                <w:ilvl w:val="0"/>
                <w:numId w:val="0"/>
              </w:numPr>
              <w:tabs>
                <w:tab w:val="clear" w:pos="1152"/>
              </w:tabs>
              <w:jc w:val="center"/>
            </w:pPr>
            <w:r w:rsidRPr="00971962">
              <w:t>28</w:t>
            </w:r>
          </w:p>
        </w:tc>
      </w:tr>
      <w:tr w:rsidR="004558FE" w:rsidRPr="002E6889" w14:paraId="2382256A" w14:textId="77777777" w:rsidTr="00895CB0">
        <w:trPr>
          <w:trHeight w:val="264"/>
        </w:trPr>
        <w:tc>
          <w:tcPr>
            <w:tcW w:w="3969" w:type="dxa"/>
            <w:tcBorders>
              <w:top w:val="single" w:sz="12" w:space="0" w:color="auto"/>
              <w:left w:val="single" w:sz="18" w:space="0" w:color="auto"/>
              <w:bottom w:val="single" w:sz="18" w:space="0" w:color="auto"/>
              <w:right w:val="single" w:sz="18" w:space="0" w:color="auto"/>
            </w:tcBorders>
          </w:tcPr>
          <w:p w14:paraId="166FAFE4" w14:textId="77777777" w:rsidR="004558FE" w:rsidRPr="00971962" w:rsidRDefault="004558FE" w:rsidP="00895CB0">
            <w:pPr>
              <w:pStyle w:val="Nadpis6"/>
              <w:numPr>
                <w:ilvl w:val="0"/>
                <w:numId w:val="0"/>
              </w:numPr>
              <w:tabs>
                <w:tab w:val="clear" w:pos="1152"/>
              </w:tabs>
              <w:rPr>
                <w:b/>
                <w:bCs/>
              </w:rPr>
            </w:pPr>
            <w:r w:rsidRPr="00971962">
              <w:rPr>
                <w:b/>
                <w:bCs/>
              </w:rPr>
              <w:t>Ostrava celkem</w:t>
            </w:r>
          </w:p>
        </w:tc>
        <w:tc>
          <w:tcPr>
            <w:tcW w:w="1418" w:type="dxa"/>
            <w:tcBorders>
              <w:top w:val="single" w:sz="12" w:space="0" w:color="auto"/>
              <w:left w:val="nil"/>
              <w:bottom w:val="single" w:sz="18" w:space="0" w:color="auto"/>
              <w:right w:val="single" w:sz="6" w:space="0" w:color="auto"/>
            </w:tcBorders>
            <w:shd w:val="clear" w:color="auto" w:fill="auto"/>
            <w:vAlign w:val="center"/>
          </w:tcPr>
          <w:p w14:paraId="55BB7593" w14:textId="77777777" w:rsidR="004558FE" w:rsidRPr="00971962" w:rsidRDefault="004558FE" w:rsidP="00895CB0">
            <w:pPr>
              <w:pStyle w:val="Nadpis6"/>
              <w:numPr>
                <w:ilvl w:val="0"/>
                <w:numId w:val="0"/>
              </w:numPr>
              <w:tabs>
                <w:tab w:val="clear" w:pos="1152"/>
              </w:tabs>
              <w:jc w:val="center"/>
              <w:rPr>
                <w:b/>
                <w:bCs/>
              </w:rPr>
            </w:pPr>
            <w:r w:rsidRPr="00971962">
              <w:rPr>
                <w:b/>
                <w:bCs/>
              </w:rPr>
              <w:t>21 423</w:t>
            </w:r>
          </w:p>
        </w:tc>
        <w:tc>
          <w:tcPr>
            <w:tcW w:w="850" w:type="dxa"/>
            <w:tcBorders>
              <w:top w:val="single" w:sz="12" w:space="0" w:color="auto"/>
              <w:left w:val="single" w:sz="6" w:space="0" w:color="auto"/>
              <w:bottom w:val="single" w:sz="18" w:space="0" w:color="auto"/>
              <w:right w:val="single" w:sz="6" w:space="0" w:color="auto"/>
            </w:tcBorders>
            <w:vAlign w:val="center"/>
          </w:tcPr>
          <w:p w14:paraId="139A67A4" w14:textId="77777777" w:rsidR="004558FE" w:rsidRPr="00971962" w:rsidRDefault="004558FE" w:rsidP="00895CB0">
            <w:pPr>
              <w:pStyle w:val="Nadpis6"/>
              <w:numPr>
                <w:ilvl w:val="0"/>
                <w:numId w:val="0"/>
              </w:numPr>
              <w:tabs>
                <w:tab w:val="clear" w:pos="1152"/>
              </w:tabs>
              <w:jc w:val="center"/>
              <w:rPr>
                <w:b/>
                <w:bCs/>
              </w:rPr>
            </w:pPr>
            <w:r w:rsidRPr="00971962">
              <w:rPr>
                <w:b/>
                <w:bCs/>
              </w:rPr>
              <w:t>100</w:t>
            </w:r>
          </w:p>
        </w:tc>
        <w:tc>
          <w:tcPr>
            <w:tcW w:w="1418" w:type="dxa"/>
            <w:tcBorders>
              <w:top w:val="single" w:sz="12" w:space="0" w:color="auto"/>
              <w:left w:val="single" w:sz="6" w:space="0" w:color="auto"/>
              <w:bottom w:val="single" w:sz="18" w:space="0" w:color="auto"/>
              <w:right w:val="single" w:sz="6" w:space="0" w:color="auto"/>
            </w:tcBorders>
            <w:vAlign w:val="center"/>
          </w:tcPr>
          <w:p w14:paraId="2586ACE3" w14:textId="77777777" w:rsidR="004558FE" w:rsidRPr="00971962" w:rsidRDefault="004558FE" w:rsidP="00895CB0">
            <w:pPr>
              <w:pStyle w:val="Nadpis6"/>
              <w:numPr>
                <w:ilvl w:val="0"/>
                <w:numId w:val="0"/>
              </w:numPr>
              <w:tabs>
                <w:tab w:val="clear" w:pos="1152"/>
              </w:tabs>
              <w:jc w:val="center"/>
              <w:rPr>
                <w:b/>
                <w:bCs/>
              </w:rPr>
            </w:pPr>
            <w:r w:rsidRPr="00971962">
              <w:rPr>
                <w:b/>
                <w:bCs/>
              </w:rPr>
              <w:t>159 372</w:t>
            </w:r>
          </w:p>
        </w:tc>
        <w:tc>
          <w:tcPr>
            <w:tcW w:w="850" w:type="dxa"/>
            <w:tcBorders>
              <w:top w:val="single" w:sz="12" w:space="0" w:color="auto"/>
              <w:left w:val="single" w:sz="6" w:space="0" w:color="auto"/>
              <w:bottom w:val="single" w:sz="18" w:space="0" w:color="auto"/>
              <w:right w:val="single" w:sz="18" w:space="0" w:color="auto"/>
            </w:tcBorders>
            <w:vAlign w:val="center"/>
          </w:tcPr>
          <w:p w14:paraId="3AA33DAF" w14:textId="77777777" w:rsidR="004558FE" w:rsidRPr="00971962" w:rsidRDefault="004558FE" w:rsidP="00895CB0">
            <w:pPr>
              <w:pStyle w:val="Nadpis6"/>
              <w:numPr>
                <w:ilvl w:val="0"/>
                <w:numId w:val="0"/>
              </w:numPr>
              <w:tabs>
                <w:tab w:val="clear" w:pos="1152"/>
              </w:tabs>
              <w:jc w:val="center"/>
              <w:rPr>
                <w:b/>
                <w:bCs/>
              </w:rPr>
            </w:pPr>
            <w:r w:rsidRPr="00971962">
              <w:rPr>
                <w:b/>
                <w:bCs/>
              </w:rPr>
              <w:t>100</w:t>
            </w:r>
          </w:p>
        </w:tc>
      </w:tr>
    </w:tbl>
    <w:p w14:paraId="52E207E2" w14:textId="77777777" w:rsidR="004558FE" w:rsidRPr="00971962" w:rsidRDefault="004558FE" w:rsidP="004558FE">
      <w:pPr>
        <w:spacing w:before="120"/>
      </w:pPr>
      <w:r w:rsidRPr="00971962">
        <w:t>CM 20</w:t>
      </w:r>
      <w:r>
        <w:t>22</w:t>
      </w:r>
    </w:p>
    <w:tbl>
      <w:tblPr>
        <w:tblW w:w="0" w:type="auto"/>
        <w:tblInd w:w="172" w:type="dxa"/>
        <w:tblLayout w:type="fixed"/>
        <w:tblCellMar>
          <w:left w:w="30" w:type="dxa"/>
          <w:right w:w="30" w:type="dxa"/>
        </w:tblCellMar>
        <w:tblLook w:val="0000" w:firstRow="0" w:lastRow="0" w:firstColumn="0" w:lastColumn="0" w:noHBand="0" w:noVBand="0"/>
      </w:tblPr>
      <w:tblGrid>
        <w:gridCol w:w="3969"/>
        <w:gridCol w:w="1418"/>
        <w:gridCol w:w="850"/>
        <w:gridCol w:w="1418"/>
        <w:gridCol w:w="850"/>
      </w:tblGrid>
      <w:tr w:rsidR="004558FE" w:rsidRPr="00971962" w14:paraId="1F7778B6" w14:textId="77777777" w:rsidTr="00895CB0">
        <w:trPr>
          <w:trHeight w:val="340"/>
        </w:trPr>
        <w:tc>
          <w:tcPr>
            <w:tcW w:w="3969" w:type="dxa"/>
            <w:tcBorders>
              <w:top w:val="single" w:sz="18" w:space="0" w:color="auto"/>
              <w:left w:val="single" w:sz="18" w:space="0" w:color="auto"/>
              <w:bottom w:val="single" w:sz="18" w:space="0" w:color="auto"/>
              <w:right w:val="single" w:sz="18" w:space="0" w:color="auto"/>
            </w:tcBorders>
            <w:shd w:val="pct10" w:color="auto" w:fill="FFFFFF"/>
            <w:vAlign w:val="center"/>
          </w:tcPr>
          <w:p w14:paraId="445541AB" w14:textId="77777777" w:rsidR="004558FE" w:rsidRPr="00971962" w:rsidRDefault="004558FE" w:rsidP="00895CB0">
            <w:pPr>
              <w:jc w:val="center"/>
              <w:rPr>
                <w:b/>
                <w:color w:val="000000"/>
                <w:sz w:val="24"/>
              </w:rPr>
            </w:pPr>
            <w:r w:rsidRPr="00971962">
              <w:rPr>
                <w:b/>
                <w:color w:val="000000"/>
                <w:sz w:val="24"/>
              </w:rPr>
              <w:t>Základní členění</w:t>
            </w:r>
          </w:p>
        </w:tc>
        <w:tc>
          <w:tcPr>
            <w:tcW w:w="1418" w:type="dxa"/>
            <w:tcBorders>
              <w:top w:val="single" w:sz="18" w:space="0" w:color="auto"/>
              <w:left w:val="nil"/>
              <w:bottom w:val="single" w:sz="18" w:space="0" w:color="auto"/>
              <w:right w:val="single" w:sz="6" w:space="0" w:color="auto"/>
            </w:tcBorders>
            <w:shd w:val="pct10" w:color="auto" w:fill="FFFFFF"/>
            <w:vAlign w:val="center"/>
          </w:tcPr>
          <w:p w14:paraId="15C50B6D" w14:textId="77777777" w:rsidR="004558FE" w:rsidRPr="00971962" w:rsidRDefault="004558FE" w:rsidP="00895CB0">
            <w:pPr>
              <w:jc w:val="center"/>
              <w:rPr>
                <w:b/>
                <w:color w:val="000000"/>
                <w:sz w:val="24"/>
              </w:rPr>
            </w:pPr>
            <w:r w:rsidRPr="00971962">
              <w:rPr>
                <w:b/>
                <w:color w:val="000000"/>
                <w:sz w:val="24"/>
              </w:rPr>
              <w:t>výměra v ha</w:t>
            </w:r>
          </w:p>
        </w:tc>
        <w:tc>
          <w:tcPr>
            <w:tcW w:w="850" w:type="dxa"/>
            <w:tcBorders>
              <w:top w:val="single" w:sz="18" w:space="0" w:color="auto"/>
              <w:left w:val="single" w:sz="6" w:space="0" w:color="auto"/>
              <w:bottom w:val="single" w:sz="18" w:space="0" w:color="auto"/>
              <w:right w:val="single" w:sz="6" w:space="0" w:color="auto"/>
            </w:tcBorders>
            <w:shd w:val="pct10" w:color="auto" w:fill="FFFFFF"/>
            <w:vAlign w:val="center"/>
          </w:tcPr>
          <w:p w14:paraId="435400F5" w14:textId="77777777" w:rsidR="004558FE" w:rsidRPr="00971962" w:rsidRDefault="004558FE" w:rsidP="00895CB0">
            <w:pPr>
              <w:jc w:val="center"/>
              <w:rPr>
                <w:b/>
                <w:color w:val="000000"/>
                <w:sz w:val="24"/>
              </w:rPr>
            </w:pPr>
            <w:r w:rsidRPr="00971962">
              <w:rPr>
                <w:b/>
                <w:color w:val="000000"/>
                <w:sz w:val="24"/>
              </w:rPr>
              <w:t>%</w:t>
            </w:r>
          </w:p>
        </w:tc>
        <w:tc>
          <w:tcPr>
            <w:tcW w:w="1418" w:type="dxa"/>
            <w:tcBorders>
              <w:top w:val="single" w:sz="18" w:space="0" w:color="auto"/>
              <w:left w:val="single" w:sz="6" w:space="0" w:color="auto"/>
              <w:bottom w:val="single" w:sz="18" w:space="0" w:color="auto"/>
              <w:right w:val="single" w:sz="6" w:space="0" w:color="auto"/>
            </w:tcBorders>
            <w:shd w:val="pct10" w:color="auto" w:fill="FFFFFF"/>
            <w:vAlign w:val="center"/>
          </w:tcPr>
          <w:p w14:paraId="08B57EDD" w14:textId="77777777" w:rsidR="004558FE" w:rsidRPr="00971962" w:rsidRDefault="004558FE" w:rsidP="00895CB0">
            <w:pPr>
              <w:jc w:val="center"/>
              <w:rPr>
                <w:b/>
                <w:color w:val="000000"/>
                <w:sz w:val="24"/>
              </w:rPr>
            </w:pPr>
            <w:r w:rsidRPr="00971962">
              <w:rPr>
                <w:b/>
                <w:color w:val="000000"/>
                <w:sz w:val="24"/>
              </w:rPr>
              <w:t>počet parcel</w:t>
            </w:r>
          </w:p>
        </w:tc>
        <w:tc>
          <w:tcPr>
            <w:tcW w:w="850" w:type="dxa"/>
            <w:tcBorders>
              <w:top w:val="single" w:sz="18" w:space="0" w:color="auto"/>
              <w:left w:val="single" w:sz="6" w:space="0" w:color="auto"/>
              <w:bottom w:val="single" w:sz="18" w:space="0" w:color="auto"/>
              <w:right w:val="single" w:sz="18" w:space="0" w:color="auto"/>
            </w:tcBorders>
            <w:shd w:val="pct10" w:color="auto" w:fill="FFFFFF"/>
            <w:vAlign w:val="center"/>
          </w:tcPr>
          <w:p w14:paraId="35D09F2E" w14:textId="77777777" w:rsidR="004558FE" w:rsidRPr="00971962" w:rsidRDefault="004558FE" w:rsidP="00895CB0">
            <w:pPr>
              <w:jc w:val="center"/>
              <w:rPr>
                <w:b/>
                <w:color w:val="000000"/>
                <w:sz w:val="24"/>
              </w:rPr>
            </w:pPr>
            <w:r w:rsidRPr="00971962">
              <w:rPr>
                <w:b/>
                <w:color w:val="000000"/>
                <w:sz w:val="24"/>
              </w:rPr>
              <w:t>%</w:t>
            </w:r>
          </w:p>
        </w:tc>
      </w:tr>
      <w:tr w:rsidR="004558FE" w:rsidRPr="00971962" w14:paraId="4671ACCA" w14:textId="77777777" w:rsidTr="00895CB0">
        <w:trPr>
          <w:cantSplit/>
          <w:trHeight w:val="250"/>
        </w:trPr>
        <w:tc>
          <w:tcPr>
            <w:tcW w:w="3969" w:type="dxa"/>
            <w:tcBorders>
              <w:top w:val="nil"/>
              <w:left w:val="single" w:sz="18" w:space="0" w:color="auto"/>
              <w:bottom w:val="single" w:sz="6" w:space="0" w:color="auto"/>
              <w:right w:val="single" w:sz="18" w:space="0" w:color="auto"/>
            </w:tcBorders>
          </w:tcPr>
          <w:p w14:paraId="455E9F28" w14:textId="77777777" w:rsidR="004558FE" w:rsidRPr="00971962" w:rsidRDefault="004558FE" w:rsidP="00895CB0">
            <w:pPr>
              <w:pStyle w:val="Nadpis6"/>
              <w:numPr>
                <w:ilvl w:val="0"/>
                <w:numId w:val="0"/>
              </w:numPr>
              <w:tabs>
                <w:tab w:val="clear" w:pos="1152"/>
              </w:tabs>
            </w:pPr>
            <w:r w:rsidRPr="00971962">
              <w:t>Zemědělská a lesní půda, vodní plochy</w:t>
            </w:r>
          </w:p>
        </w:tc>
        <w:tc>
          <w:tcPr>
            <w:tcW w:w="1418" w:type="dxa"/>
            <w:tcBorders>
              <w:top w:val="nil"/>
              <w:left w:val="nil"/>
              <w:bottom w:val="single" w:sz="6" w:space="0" w:color="auto"/>
              <w:right w:val="single" w:sz="6" w:space="0" w:color="auto"/>
            </w:tcBorders>
            <w:vAlign w:val="bottom"/>
          </w:tcPr>
          <w:p w14:paraId="5A0C8E7B" w14:textId="77777777" w:rsidR="004558FE" w:rsidRPr="00971962" w:rsidRDefault="004558FE" w:rsidP="00895CB0">
            <w:pPr>
              <w:pStyle w:val="Nadpis6"/>
              <w:numPr>
                <w:ilvl w:val="0"/>
                <w:numId w:val="0"/>
              </w:numPr>
              <w:tabs>
                <w:tab w:val="clear" w:pos="1152"/>
              </w:tabs>
              <w:jc w:val="center"/>
            </w:pPr>
            <w:r w:rsidRPr="00971962">
              <w:t xml:space="preserve">11 </w:t>
            </w:r>
            <w:r>
              <w:t>558</w:t>
            </w:r>
          </w:p>
        </w:tc>
        <w:tc>
          <w:tcPr>
            <w:tcW w:w="850" w:type="dxa"/>
            <w:tcBorders>
              <w:top w:val="nil"/>
              <w:left w:val="single" w:sz="6" w:space="0" w:color="auto"/>
              <w:bottom w:val="single" w:sz="6" w:space="0" w:color="auto"/>
              <w:right w:val="single" w:sz="6" w:space="0" w:color="auto"/>
            </w:tcBorders>
            <w:vAlign w:val="bottom"/>
          </w:tcPr>
          <w:p w14:paraId="2EC2F36E" w14:textId="77777777" w:rsidR="004558FE" w:rsidRPr="00971962" w:rsidRDefault="004558FE" w:rsidP="00895CB0">
            <w:pPr>
              <w:pStyle w:val="Nadpis6"/>
              <w:numPr>
                <w:ilvl w:val="0"/>
                <w:numId w:val="0"/>
              </w:numPr>
              <w:tabs>
                <w:tab w:val="clear" w:pos="1152"/>
              </w:tabs>
              <w:jc w:val="center"/>
            </w:pPr>
            <w:r w:rsidRPr="00971962">
              <w:t>54</w:t>
            </w:r>
          </w:p>
        </w:tc>
        <w:tc>
          <w:tcPr>
            <w:tcW w:w="1418" w:type="dxa"/>
            <w:tcBorders>
              <w:top w:val="nil"/>
              <w:left w:val="single" w:sz="6" w:space="0" w:color="auto"/>
              <w:bottom w:val="single" w:sz="6" w:space="0" w:color="auto"/>
              <w:right w:val="single" w:sz="6" w:space="0" w:color="auto"/>
            </w:tcBorders>
            <w:vAlign w:val="bottom"/>
          </w:tcPr>
          <w:p w14:paraId="08018846" w14:textId="77777777" w:rsidR="004558FE" w:rsidRPr="00971962" w:rsidRDefault="004558FE" w:rsidP="00895CB0">
            <w:pPr>
              <w:pStyle w:val="Nadpis6"/>
              <w:numPr>
                <w:ilvl w:val="0"/>
                <w:numId w:val="0"/>
              </w:numPr>
              <w:tabs>
                <w:tab w:val="clear" w:pos="1152"/>
              </w:tabs>
              <w:jc w:val="center"/>
            </w:pPr>
            <w:r w:rsidRPr="00971962">
              <w:t>5</w:t>
            </w:r>
            <w:r>
              <w:t>4</w:t>
            </w:r>
            <w:r w:rsidRPr="00971962">
              <w:t xml:space="preserve"> </w:t>
            </w:r>
            <w:r>
              <w:t>915</w:t>
            </w:r>
          </w:p>
        </w:tc>
        <w:tc>
          <w:tcPr>
            <w:tcW w:w="850" w:type="dxa"/>
            <w:tcBorders>
              <w:top w:val="nil"/>
              <w:left w:val="single" w:sz="6" w:space="0" w:color="auto"/>
              <w:bottom w:val="single" w:sz="6" w:space="0" w:color="auto"/>
              <w:right w:val="single" w:sz="18" w:space="0" w:color="auto"/>
            </w:tcBorders>
            <w:vAlign w:val="bottom"/>
          </w:tcPr>
          <w:p w14:paraId="3DD59995" w14:textId="77777777" w:rsidR="004558FE" w:rsidRPr="00971962" w:rsidRDefault="004558FE" w:rsidP="00895CB0">
            <w:pPr>
              <w:pStyle w:val="Nadpis6"/>
              <w:numPr>
                <w:ilvl w:val="0"/>
                <w:numId w:val="0"/>
              </w:numPr>
              <w:tabs>
                <w:tab w:val="clear" w:pos="1152"/>
              </w:tabs>
              <w:jc w:val="center"/>
            </w:pPr>
            <w:r w:rsidRPr="00971962">
              <w:t>35</w:t>
            </w:r>
          </w:p>
        </w:tc>
      </w:tr>
      <w:tr w:rsidR="004558FE" w:rsidRPr="00971962" w14:paraId="163264BF" w14:textId="77777777" w:rsidTr="00895CB0">
        <w:trPr>
          <w:trHeight w:val="250"/>
        </w:trPr>
        <w:tc>
          <w:tcPr>
            <w:tcW w:w="3969" w:type="dxa"/>
            <w:tcBorders>
              <w:top w:val="single" w:sz="6" w:space="0" w:color="auto"/>
              <w:left w:val="single" w:sz="18" w:space="0" w:color="auto"/>
              <w:bottom w:val="single" w:sz="6" w:space="0" w:color="auto"/>
              <w:right w:val="single" w:sz="18" w:space="0" w:color="auto"/>
            </w:tcBorders>
          </w:tcPr>
          <w:p w14:paraId="11FE9C0D" w14:textId="77777777" w:rsidR="004558FE" w:rsidRPr="00971962" w:rsidRDefault="004558FE" w:rsidP="00895CB0">
            <w:pPr>
              <w:pStyle w:val="Nadpis6"/>
              <w:numPr>
                <w:ilvl w:val="0"/>
                <w:numId w:val="0"/>
              </w:numPr>
              <w:tabs>
                <w:tab w:val="clear" w:pos="1152"/>
              </w:tabs>
            </w:pPr>
            <w:r w:rsidRPr="00971962">
              <w:t>Zastavěná plocha</w:t>
            </w:r>
          </w:p>
        </w:tc>
        <w:tc>
          <w:tcPr>
            <w:tcW w:w="1418" w:type="dxa"/>
            <w:tcBorders>
              <w:top w:val="single" w:sz="6" w:space="0" w:color="auto"/>
              <w:left w:val="nil"/>
              <w:bottom w:val="single" w:sz="6" w:space="0" w:color="auto"/>
              <w:right w:val="single" w:sz="6" w:space="0" w:color="auto"/>
            </w:tcBorders>
            <w:vAlign w:val="bottom"/>
          </w:tcPr>
          <w:p w14:paraId="6FB549F4" w14:textId="77777777" w:rsidR="004558FE" w:rsidRPr="00971962" w:rsidRDefault="004558FE" w:rsidP="00895CB0">
            <w:pPr>
              <w:pStyle w:val="Nadpis6"/>
              <w:numPr>
                <w:ilvl w:val="0"/>
                <w:numId w:val="0"/>
              </w:numPr>
              <w:tabs>
                <w:tab w:val="clear" w:pos="1152"/>
              </w:tabs>
              <w:jc w:val="center"/>
            </w:pPr>
            <w:r w:rsidRPr="00971962">
              <w:t>1 8</w:t>
            </w:r>
            <w:r>
              <w:t>87</w:t>
            </w:r>
          </w:p>
        </w:tc>
        <w:tc>
          <w:tcPr>
            <w:tcW w:w="850" w:type="dxa"/>
            <w:tcBorders>
              <w:top w:val="single" w:sz="6" w:space="0" w:color="auto"/>
              <w:left w:val="single" w:sz="6" w:space="0" w:color="auto"/>
              <w:bottom w:val="single" w:sz="6" w:space="0" w:color="auto"/>
              <w:right w:val="single" w:sz="6" w:space="0" w:color="auto"/>
            </w:tcBorders>
            <w:vAlign w:val="bottom"/>
          </w:tcPr>
          <w:p w14:paraId="18E30E6E" w14:textId="77777777" w:rsidR="004558FE" w:rsidRPr="00971962" w:rsidRDefault="004558FE" w:rsidP="00895CB0">
            <w:pPr>
              <w:pStyle w:val="Nadpis6"/>
              <w:numPr>
                <w:ilvl w:val="0"/>
                <w:numId w:val="0"/>
              </w:numPr>
              <w:tabs>
                <w:tab w:val="clear" w:pos="1152"/>
              </w:tabs>
              <w:jc w:val="center"/>
            </w:pPr>
            <w:r w:rsidRPr="00971962">
              <w:t>9</w:t>
            </w:r>
          </w:p>
        </w:tc>
        <w:tc>
          <w:tcPr>
            <w:tcW w:w="1418" w:type="dxa"/>
            <w:tcBorders>
              <w:top w:val="single" w:sz="6" w:space="0" w:color="auto"/>
              <w:left w:val="single" w:sz="6" w:space="0" w:color="auto"/>
              <w:bottom w:val="single" w:sz="6" w:space="0" w:color="auto"/>
              <w:right w:val="single" w:sz="6" w:space="0" w:color="auto"/>
            </w:tcBorders>
            <w:vAlign w:val="bottom"/>
          </w:tcPr>
          <w:p w14:paraId="59AD3DF1" w14:textId="77777777" w:rsidR="004558FE" w:rsidRPr="00971962" w:rsidRDefault="004558FE" w:rsidP="00895CB0">
            <w:pPr>
              <w:pStyle w:val="Nadpis6"/>
              <w:numPr>
                <w:ilvl w:val="0"/>
                <w:numId w:val="0"/>
              </w:numPr>
              <w:tabs>
                <w:tab w:val="clear" w:pos="1152"/>
              </w:tabs>
              <w:jc w:val="center"/>
            </w:pPr>
            <w:r w:rsidRPr="00971962">
              <w:t xml:space="preserve">58 </w:t>
            </w:r>
            <w:r>
              <w:t>831</w:t>
            </w:r>
          </w:p>
        </w:tc>
        <w:tc>
          <w:tcPr>
            <w:tcW w:w="850" w:type="dxa"/>
            <w:tcBorders>
              <w:top w:val="single" w:sz="6" w:space="0" w:color="auto"/>
              <w:left w:val="single" w:sz="6" w:space="0" w:color="auto"/>
              <w:bottom w:val="single" w:sz="6" w:space="0" w:color="auto"/>
              <w:right w:val="single" w:sz="18" w:space="0" w:color="auto"/>
            </w:tcBorders>
            <w:vAlign w:val="bottom"/>
          </w:tcPr>
          <w:p w14:paraId="662E384A" w14:textId="77777777" w:rsidR="004558FE" w:rsidRPr="00971962" w:rsidRDefault="004558FE" w:rsidP="00895CB0">
            <w:pPr>
              <w:pStyle w:val="Nadpis6"/>
              <w:numPr>
                <w:ilvl w:val="0"/>
                <w:numId w:val="0"/>
              </w:numPr>
              <w:tabs>
                <w:tab w:val="clear" w:pos="1152"/>
              </w:tabs>
              <w:jc w:val="center"/>
            </w:pPr>
            <w:r w:rsidRPr="00971962">
              <w:t>37</w:t>
            </w:r>
          </w:p>
        </w:tc>
      </w:tr>
      <w:tr w:rsidR="004558FE" w:rsidRPr="00971962" w14:paraId="36430C07" w14:textId="77777777" w:rsidTr="00895CB0">
        <w:trPr>
          <w:trHeight w:val="264"/>
        </w:trPr>
        <w:tc>
          <w:tcPr>
            <w:tcW w:w="3969" w:type="dxa"/>
            <w:tcBorders>
              <w:top w:val="single" w:sz="6" w:space="0" w:color="auto"/>
              <w:left w:val="single" w:sz="18" w:space="0" w:color="auto"/>
              <w:bottom w:val="nil"/>
              <w:right w:val="single" w:sz="18" w:space="0" w:color="auto"/>
            </w:tcBorders>
          </w:tcPr>
          <w:p w14:paraId="264FC283" w14:textId="77777777" w:rsidR="004558FE" w:rsidRPr="00971962" w:rsidRDefault="004558FE" w:rsidP="00895CB0">
            <w:pPr>
              <w:pStyle w:val="Nadpis6"/>
              <w:numPr>
                <w:ilvl w:val="0"/>
                <w:numId w:val="0"/>
              </w:numPr>
              <w:tabs>
                <w:tab w:val="clear" w:pos="1152"/>
              </w:tabs>
            </w:pPr>
            <w:r w:rsidRPr="00971962">
              <w:t>Ostatní plocha</w:t>
            </w:r>
          </w:p>
        </w:tc>
        <w:tc>
          <w:tcPr>
            <w:tcW w:w="1418" w:type="dxa"/>
            <w:tcBorders>
              <w:top w:val="single" w:sz="6" w:space="0" w:color="auto"/>
              <w:left w:val="nil"/>
              <w:bottom w:val="nil"/>
              <w:right w:val="single" w:sz="6" w:space="0" w:color="auto"/>
            </w:tcBorders>
            <w:vAlign w:val="bottom"/>
          </w:tcPr>
          <w:p w14:paraId="5CE5EE3C" w14:textId="77777777" w:rsidR="004558FE" w:rsidRPr="00971962" w:rsidRDefault="004558FE" w:rsidP="00895CB0">
            <w:pPr>
              <w:pStyle w:val="Nadpis6"/>
              <w:numPr>
                <w:ilvl w:val="0"/>
                <w:numId w:val="0"/>
              </w:numPr>
              <w:tabs>
                <w:tab w:val="clear" w:pos="1152"/>
              </w:tabs>
              <w:jc w:val="center"/>
            </w:pPr>
            <w:r w:rsidRPr="00971962">
              <w:t>7 9</w:t>
            </w:r>
            <w:r>
              <w:t>78</w:t>
            </w:r>
          </w:p>
        </w:tc>
        <w:tc>
          <w:tcPr>
            <w:tcW w:w="850" w:type="dxa"/>
            <w:tcBorders>
              <w:top w:val="single" w:sz="6" w:space="0" w:color="auto"/>
              <w:left w:val="single" w:sz="6" w:space="0" w:color="auto"/>
              <w:bottom w:val="nil"/>
              <w:right w:val="single" w:sz="6" w:space="0" w:color="auto"/>
            </w:tcBorders>
            <w:vAlign w:val="bottom"/>
          </w:tcPr>
          <w:p w14:paraId="7BF15B0B" w14:textId="77777777" w:rsidR="004558FE" w:rsidRPr="00971962" w:rsidRDefault="004558FE" w:rsidP="00895CB0">
            <w:pPr>
              <w:pStyle w:val="Nadpis6"/>
              <w:numPr>
                <w:ilvl w:val="0"/>
                <w:numId w:val="0"/>
              </w:numPr>
              <w:tabs>
                <w:tab w:val="clear" w:pos="1152"/>
              </w:tabs>
              <w:jc w:val="center"/>
            </w:pPr>
            <w:r w:rsidRPr="00971962">
              <w:t>37</w:t>
            </w:r>
          </w:p>
        </w:tc>
        <w:tc>
          <w:tcPr>
            <w:tcW w:w="1418" w:type="dxa"/>
            <w:tcBorders>
              <w:top w:val="single" w:sz="6" w:space="0" w:color="auto"/>
              <w:left w:val="single" w:sz="6" w:space="0" w:color="auto"/>
              <w:bottom w:val="nil"/>
              <w:right w:val="single" w:sz="6" w:space="0" w:color="auto"/>
            </w:tcBorders>
            <w:vAlign w:val="bottom"/>
          </w:tcPr>
          <w:p w14:paraId="753EC0BC" w14:textId="77777777" w:rsidR="004558FE" w:rsidRPr="00971962" w:rsidRDefault="004558FE" w:rsidP="00895CB0">
            <w:pPr>
              <w:pStyle w:val="Nadpis6"/>
              <w:numPr>
                <w:ilvl w:val="0"/>
                <w:numId w:val="0"/>
              </w:numPr>
              <w:tabs>
                <w:tab w:val="clear" w:pos="1152"/>
              </w:tabs>
              <w:jc w:val="center"/>
            </w:pPr>
            <w:r>
              <w:t>45</w:t>
            </w:r>
            <w:r w:rsidRPr="00971962">
              <w:t xml:space="preserve"> </w:t>
            </w:r>
            <w:r>
              <w:t>229</w:t>
            </w:r>
          </w:p>
        </w:tc>
        <w:tc>
          <w:tcPr>
            <w:tcW w:w="850" w:type="dxa"/>
            <w:tcBorders>
              <w:top w:val="single" w:sz="6" w:space="0" w:color="auto"/>
              <w:left w:val="single" w:sz="6" w:space="0" w:color="auto"/>
              <w:bottom w:val="nil"/>
              <w:right w:val="single" w:sz="18" w:space="0" w:color="auto"/>
            </w:tcBorders>
            <w:vAlign w:val="bottom"/>
          </w:tcPr>
          <w:p w14:paraId="0374E35D" w14:textId="77777777" w:rsidR="004558FE" w:rsidRPr="00971962" w:rsidRDefault="004558FE" w:rsidP="00895CB0">
            <w:pPr>
              <w:pStyle w:val="Nadpis6"/>
              <w:numPr>
                <w:ilvl w:val="0"/>
                <w:numId w:val="0"/>
              </w:numPr>
              <w:tabs>
                <w:tab w:val="clear" w:pos="1152"/>
              </w:tabs>
              <w:jc w:val="center"/>
            </w:pPr>
            <w:r w:rsidRPr="00971962">
              <w:t>28</w:t>
            </w:r>
          </w:p>
        </w:tc>
      </w:tr>
      <w:tr w:rsidR="004558FE" w:rsidRPr="002E6889" w14:paraId="2D1F6B71" w14:textId="77777777" w:rsidTr="00895CB0">
        <w:trPr>
          <w:trHeight w:val="264"/>
        </w:trPr>
        <w:tc>
          <w:tcPr>
            <w:tcW w:w="3969" w:type="dxa"/>
            <w:tcBorders>
              <w:top w:val="single" w:sz="12" w:space="0" w:color="auto"/>
              <w:left w:val="single" w:sz="18" w:space="0" w:color="auto"/>
              <w:bottom w:val="single" w:sz="18" w:space="0" w:color="auto"/>
              <w:right w:val="single" w:sz="18" w:space="0" w:color="auto"/>
            </w:tcBorders>
          </w:tcPr>
          <w:p w14:paraId="45312695" w14:textId="77777777" w:rsidR="004558FE" w:rsidRPr="00971962" w:rsidRDefault="004558FE" w:rsidP="00895CB0">
            <w:pPr>
              <w:pStyle w:val="Nadpis6"/>
              <w:numPr>
                <w:ilvl w:val="0"/>
                <w:numId w:val="0"/>
              </w:numPr>
              <w:tabs>
                <w:tab w:val="clear" w:pos="1152"/>
              </w:tabs>
              <w:rPr>
                <w:b/>
                <w:bCs/>
              </w:rPr>
            </w:pPr>
            <w:r w:rsidRPr="00971962">
              <w:rPr>
                <w:b/>
                <w:bCs/>
              </w:rPr>
              <w:t>Ostrava celkem</w:t>
            </w:r>
          </w:p>
        </w:tc>
        <w:tc>
          <w:tcPr>
            <w:tcW w:w="1418" w:type="dxa"/>
            <w:tcBorders>
              <w:top w:val="single" w:sz="12" w:space="0" w:color="auto"/>
              <w:left w:val="nil"/>
              <w:bottom w:val="single" w:sz="18" w:space="0" w:color="auto"/>
              <w:right w:val="single" w:sz="6" w:space="0" w:color="auto"/>
            </w:tcBorders>
            <w:vAlign w:val="bottom"/>
          </w:tcPr>
          <w:p w14:paraId="09A20B42" w14:textId="77777777" w:rsidR="004558FE" w:rsidRPr="00971962" w:rsidRDefault="004558FE" w:rsidP="00895CB0">
            <w:pPr>
              <w:pStyle w:val="Nadpis6"/>
              <w:numPr>
                <w:ilvl w:val="0"/>
                <w:numId w:val="0"/>
              </w:numPr>
              <w:tabs>
                <w:tab w:val="clear" w:pos="1152"/>
              </w:tabs>
              <w:jc w:val="center"/>
              <w:rPr>
                <w:b/>
                <w:bCs/>
              </w:rPr>
            </w:pPr>
            <w:r w:rsidRPr="00971962">
              <w:rPr>
                <w:b/>
                <w:bCs/>
              </w:rPr>
              <w:t>21 423</w:t>
            </w:r>
          </w:p>
        </w:tc>
        <w:tc>
          <w:tcPr>
            <w:tcW w:w="850" w:type="dxa"/>
            <w:tcBorders>
              <w:top w:val="single" w:sz="12" w:space="0" w:color="auto"/>
              <w:left w:val="single" w:sz="6" w:space="0" w:color="auto"/>
              <w:bottom w:val="single" w:sz="18" w:space="0" w:color="auto"/>
              <w:right w:val="single" w:sz="6" w:space="0" w:color="auto"/>
            </w:tcBorders>
            <w:vAlign w:val="bottom"/>
          </w:tcPr>
          <w:p w14:paraId="28969063" w14:textId="77777777" w:rsidR="004558FE" w:rsidRPr="00971962" w:rsidRDefault="004558FE" w:rsidP="00895CB0">
            <w:pPr>
              <w:pStyle w:val="Nadpis6"/>
              <w:numPr>
                <w:ilvl w:val="0"/>
                <w:numId w:val="0"/>
              </w:numPr>
              <w:tabs>
                <w:tab w:val="clear" w:pos="1152"/>
              </w:tabs>
              <w:jc w:val="center"/>
              <w:rPr>
                <w:b/>
                <w:bCs/>
              </w:rPr>
            </w:pPr>
            <w:r w:rsidRPr="00971962">
              <w:rPr>
                <w:b/>
                <w:bCs/>
              </w:rPr>
              <w:t>100</w:t>
            </w:r>
          </w:p>
        </w:tc>
        <w:tc>
          <w:tcPr>
            <w:tcW w:w="1418" w:type="dxa"/>
            <w:tcBorders>
              <w:top w:val="single" w:sz="12" w:space="0" w:color="auto"/>
              <w:left w:val="single" w:sz="6" w:space="0" w:color="auto"/>
              <w:bottom w:val="single" w:sz="18" w:space="0" w:color="auto"/>
              <w:right w:val="single" w:sz="6" w:space="0" w:color="auto"/>
            </w:tcBorders>
            <w:vAlign w:val="bottom"/>
          </w:tcPr>
          <w:p w14:paraId="332DDC4A" w14:textId="77777777" w:rsidR="004558FE" w:rsidRPr="00971962" w:rsidRDefault="004558FE" w:rsidP="00895CB0">
            <w:pPr>
              <w:pStyle w:val="Nadpis6"/>
              <w:numPr>
                <w:ilvl w:val="0"/>
                <w:numId w:val="0"/>
              </w:numPr>
              <w:tabs>
                <w:tab w:val="clear" w:pos="1152"/>
              </w:tabs>
              <w:jc w:val="center"/>
              <w:rPr>
                <w:b/>
                <w:bCs/>
              </w:rPr>
            </w:pPr>
            <w:r w:rsidRPr="00971962">
              <w:rPr>
                <w:b/>
                <w:bCs/>
              </w:rPr>
              <w:t>159 280</w:t>
            </w:r>
          </w:p>
        </w:tc>
        <w:tc>
          <w:tcPr>
            <w:tcW w:w="850" w:type="dxa"/>
            <w:tcBorders>
              <w:top w:val="single" w:sz="12" w:space="0" w:color="auto"/>
              <w:left w:val="single" w:sz="6" w:space="0" w:color="auto"/>
              <w:bottom w:val="single" w:sz="18" w:space="0" w:color="auto"/>
              <w:right w:val="single" w:sz="18" w:space="0" w:color="auto"/>
            </w:tcBorders>
            <w:vAlign w:val="bottom"/>
          </w:tcPr>
          <w:p w14:paraId="0168D0D0" w14:textId="77777777" w:rsidR="004558FE" w:rsidRPr="00971962" w:rsidRDefault="004558FE" w:rsidP="00895CB0">
            <w:pPr>
              <w:pStyle w:val="Nadpis6"/>
              <w:numPr>
                <w:ilvl w:val="0"/>
                <w:numId w:val="0"/>
              </w:numPr>
              <w:tabs>
                <w:tab w:val="clear" w:pos="1152"/>
              </w:tabs>
              <w:jc w:val="center"/>
              <w:rPr>
                <w:b/>
                <w:bCs/>
              </w:rPr>
            </w:pPr>
            <w:r w:rsidRPr="00971962">
              <w:rPr>
                <w:b/>
                <w:bCs/>
              </w:rPr>
              <w:t>100</w:t>
            </w:r>
          </w:p>
        </w:tc>
      </w:tr>
    </w:tbl>
    <w:p w14:paraId="2969AA84" w14:textId="77777777" w:rsidR="004558FE" w:rsidRPr="00971962" w:rsidRDefault="004558FE" w:rsidP="004558FE">
      <w:pPr>
        <w:spacing w:before="240"/>
        <w:ind w:firstLine="425"/>
        <w:jc w:val="both"/>
        <w:rPr>
          <w:sz w:val="24"/>
        </w:rPr>
      </w:pPr>
      <w:r w:rsidRPr="00971962">
        <w:rPr>
          <w:sz w:val="24"/>
        </w:rPr>
        <w:t xml:space="preserve">Předmětem ocenění v cenové mapě byly stavební pozemky, které jsou v katastru nemovitostí vedeny v druhu </w:t>
      </w:r>
      <w:r w:rsidRPr="00971962">
        <w:rPr>
          <w:i/>
          <w:iCs/>
          <w:sz w:val="24"/>
        </w:rPr>
        <w:t>zastavěná plocha a nádvoří</w:t>
      </w:r>
      <w:r w:rsidRPr="00971962">
        <w:rPr>
          <w:sz w:val="24"/>
        </w:rPr>
        <w:t xml:space="preserve"> (9 %) a spolu s </w:t>
      </w:r>
      <w:r w:rsidRPr="00971962">
        <w:rPr>
          <w:i/>
          <w:iCs/>
          <w:sz w:val="24"/>
        </w:rPr>
        <w:t>ostatními plochami</w:t>
      </w:r>
      <w:r w:rsidRPr="00971962">
        <w:rPr>
          <w:sz w:val="24"/>
        </w:rPr>
        <w:t xml:space="preserve"> tvoří 46 % rozlohy správního území města. Menší podíl stavebních pozemků je důsledkem velké rozlohy zemědělské půdy na periférii správního území města a „zelených“ nezastavěných ploch uvnitř města, mezi jednotlivými městskými obvody. Z hlediska počtu parcel však činí podíl stavebních pozemků 37 % (s pozemky ostatních ploch celkem 65 %). Uvedený stav je důsledkem mnohem větší členitosti zastavěného území a menších výměr parcel stavebních pozemků. </w:t>
      </w:r>
    </w:p>
    <w:p w14:paraId="55BF4E79" w14:textId="0178E940" w:rsidR="004558FE" w:rsidRDefault="004558FE" w:rsidP="004558FE">
      <w:pPr>
        <w:spacing w:before="80"/>
        <w:ind w:firstLine="425"/>
        <w:jc w:val="both"/>
        <w:rPr>
          <w:sz w:val="24"/>
        </w:rPr>
      </w:pPr>
      <w:r w:rsidRPr="00971962">
        <w:rPr>
          <w:sz w:val="24"/>
        </w:rPr>
        <w:t>Ve srovnání s údaji cenové mapy č. 2</w:t>
      </w:r>
      <w:r>
        <w:rPr>
          <w:sz w:val="24"/>
        </w:rPr>
        <w:t>2</w:t>
      </w:r>
      <w:r w:rsidRPr="00971962">
        <w:rPr>
          <w:sz w:val="24"/>
        </w:rPr>
        <w:t xml:space="preserve"> z roku 202</w:t>
      </w:r>
      <w:r>
        <w:rPr>
          <w:sz w:val="24"/>
        </w:rPr>
        <w:t>1</w:t>
      </w:r>
      <w:r w:rsidRPr="00971962">
        <w:rPr>
          <w:sz w:val="24"/>
        </w:rPr>
        <w:t xml:space="preserve"> došlo k</w:t>
      </w:r>
      <w:r>
        <w:rPr>
          <w:sz w:val="24"/>
        </w:rPr>
        <w:t xml:space="preserve"> poklesu </w:t>
      </w:r>
      <w:r w:rsidRPr="00971962">
        <w:rPr>
          <w:sz w:val="24"/>
        </w:rPr>
        <w:t xml:space="preserve">celkového počtu pozemků (o </w:t>
      </w:r>
      <w:r>
        <w:rPr>
          <w:sz w:val="24"/>
        </w:rPr>
        <w:t>397</w:t>
      </w:r>
      <w:r w:rsidRPr="00971962">
        <w:rPr>
          <w:sz w:val="24"/>
        </w:rPr>
        <w:t xml:space="preserve">), nejvýraznější </w:t>
      </w:r>
      <w:r w:rsidR="00CB2F62">
        <w:rPr>
          <w:sz w:val="24"/>
        </w:rPr>
        <w:t>pokles</w:t>
      </w:r>
      <w:r w:rsidRPr="00971962">
        <w:rPr>
          <w:sz w:val="24"/>
        </w:rPr>
        <w:t xml:space="preserve"> byl zaznamenán u </w:t>
      </w:r>
      <w:r>
        <w:rPr>
          <w:sz w:val="24"/>
        </w:rPr>
        <w:t xml:space="preserve">zemědělských </w:t>
      </w:r>
      <w:r w:rsidRPr="00971962">
        <w:rPr>
          <w:sz w:val="24"/>
        </w:rPr>
        <w:t xml:space="preserve">ploch (o </w:t>
      </w:r>
      <w:r>
        <w:rPr>
          <w:sz w:val="24"/>
        </w:rPr>
        <w:t>814</w:t>
      </w:r>
      <w:r w:rsidRPr="00971962">
        <w:rPr>
          <w:sz w:val="24"/>
        </w:rPr>
        <w:t xml:space="preserve"> parcel), </w:t>
      </w:r>
      <w:r>
        <w:rPr>
          <w:sz w:val="24"/>
        </w:rPr>
        <w:t>především</w:t>
      </w:r>
      <w:r w:rsidRPr="00971962">
        <w:rPr>
          <w:sz w:val="24"/>
        </w:rPr>
        <w:t xml:space="preserve"> v katastrech </w:t>
      </w:r>
      <w:r>
        <w:rPr>
          <w:sz w:val="24"/>
        </w:rPr>
        <w:t>Stará bělá, Proskovice, Krásné Pole, Hrušov a Muglinov</w:t>
      </w:r>
      <w:r w:rsidRPr="00971962">
        <w:rPr>
          <w:sz w:val="24"/>
        </w:rPr>
        <w:t xml:space="preserve">, po zaměření a aktualizaci stavu manipulačních a komunikačních ploch u novostaveb, příp. </w:t>
      </w:r>
      <w:r w:rsidR="00CB2F62">
        <w:rPr>
          <w:sz w:val="24"/>
        </w:rPr>
        <w:t>s</w:t>
      </w:r>
      <w:r>
        <w:rPr>
          <w:sz w:val="24"/>
        </w:rPr>
        <w:t xml:space="preserve">celováním zemědělských ploch v katastru nemovitostí v rámci výkupů orné půdy v okrajových částech města. </w:t>
      </w:r>
      <w:r w:rsidRPr="00971962">
        <w:rPr>
          <w:sz w:val="24"/>
        </w:rPr>
        <w:t>Největší změna</w:t>
      </w:r>
      <w:r>
        <w:rPr>
          <w:sz w:val="24"/>
        </w:rPr>
        <w:t xml:space="preserve"> v počtech parcel</w:t>
      </w:r>
      <w:r w:rsidRPr="00971962">
        <w:rPr>
          <w:sz w:val="24"/>
        </w:rPr>
        <w:t xml:space="preserve"> proběhla v katastrálním území </w:t>
      </w:r>
      <w:r>
        <w:rPr>
          <w:sz w:val="24"/>
        </w:rPr>
        <w:t>Proskovice v rámci výkupů orné půdy pro zemědělské účely, a v kategori</w:t>
      </w:r>
      <w:r w:rsidR="00CB2F62">
        <w:rPr>
          <w:sz w:val="24"/>
        </w:rPr>
        <w:t>i</w:t>
      </w:r>
      <w:r>
        <w:rPr>
          <w:sz w:val="24"/>
        </w:rPr>
        <w:t xml:space="preserve"> stavebních pozemků v okrajových částech města v</w:t>
      </w:r>
      <w:r w:rsidR="00CB2F62">
        <w:rPr>
          <w:sz w:val="24"/>
        </w:rPr>
        <w:t> souvislosti s</w:t>
      </w:r>
      <w:r>
        <w:rPr>
          <w:sz w:val="24"/>
        </w:rPr>
        <w:t xml:space="preserve"> nov</w:t>
      </w:r>
      <w:r w:rsidR="00CB2F62">
        <w:rPr>
          <w:sz w:val="24"/>
        </w:rPr>
        <w:t>ou</w:t>
      </w:r>
      <w:r>
        <w:rPr>
          <w:sz w:val="24"/>
        </w:rPr>
        <w:t xml:space="preserve"> výstavb</w:t>
      </w:r>
      <w:r w:rsidR="00CB2F62">
        <w:rPr>
          <w:sz w:val="24"/>
        </w:rPr>
        <w:t>ou</w:t>
      </w:r>
      <w:r>
        <w:rPr>
          <w:sz w:val="24"/>
        </w:rPr>
        <w:t>.</w:t>
      </w:r>
    </w:p>
    <w:p w14:paraId="27326937" w14:textId="72143934" w:rsidR="004558FE" w:rsidRPr="002A07DF" w:rsidRDefault="004558FE" w:rsidP="004558FE">
      <w:pPr>
        <w:spacing w:before="80"/>
        <w:ind w:firstLine="425"/>
        <w:jc w:val="both"/>
        <w:rPr>
          <w:sz w:val="24"/>
        </w:rPr>
      </w:pPr>
      <w:r w:rsidRPr="00504DD0">
        <w:rPr>
          <w:sz w:val="24"/>
        </w:rPr>
        <w:t xml:space="preserve">V případě plošné výměry stavebních pozemků došlo v mezidobí k nárůstu o </w:t>
      </w:r>
      <w:r>
        <w:rPr>
          <w:sz w:val="24"/>
        </w:rPr>
        <w:t>20</w:t>
      </w:r>
      <w:r w:rsidRPr="00504DD0">
        <w:rPr>
          <w:sz w:val="24"/>
        </w:rPr>
        <w:t> ha. Nejvýraznější změna byl</w:t>
      </w:r>
      <w:r w:rsidR="00CB2F62">
        <w:rPr>
          <w:sz w:val="24"/>
        </w:rPr>
        <w:t>a</w:t>
      </w:r>
      <w:r w:rsidRPr="00504DD0">
        <w:rPr>
          <w:sz w:val="24"/>
        </w:rPr>
        <w:t xml:space="preserve"> sledována v </w:t>
      </w:r>
      <w:proofErr w:type="gramStart"/>
      <w:r w:rsidRPr="00504DD0">
        <w:rPr>
          <w:sz w:val="24"/>
        </w:rPr>
        <w:t>k.ú.</w:t>
      </w:r>
      <w:proofErr w:type="gramEnd"/>
      <w:r w:rsidRPr="00504DD0">
        <w:rPr>
          <w:sz w:val="24"/>
        </w:rPr>
        <w:t xml:space="preserve"> Zábřeh – Hulvák</w:t>
      </w:r>
      <w:r w:rsidR="00CB2F62">
        <w:rPr>
          <w:sz w:val="24"/>
        </w:rPr>
        <w:t>y</w:t>
      </w:r>
      <w:r w:rsidRPr="00504DD0">
        <w:rPr>
          <w:sz w:val="24"/>
        </w:rPr>
        <w:t>. Z hlediska plošného vymezení došlo v případě zastavěných ploch k</w:t>
      </w:r>
      <w:r>
        <w:rPr>
          <w:sz w:val="24"/>
        </w:rPr>
        <w:t xml:space="preserve"> nárůstu </w:t>
      </w:r>
      <w:r w:rsidRPr="00504DD0">
        <w:rPr>
          <w:sz w:val="24"/>
        </w:rPr>
        <w:t xml:space="preserve">celkem o </w:t>
      </w:r>
      <w:r>
        <w:rPr>
          <w:sz w:val="24"/>
        </w:rPr>
        <w:t>48,5</w:t>
      </w:r>
      <w:r w:rsidRPr="00504DD0">
        <w:rPr>
          <w:sz w:val="24"/>
        </w:rPr>
        <w:t xml:space="preserve"> ha a u ostatních ploch k</w:t>
      </w:r>
      <w:r>
        <w:rPr>
          <w:sz w:val="24"/>
        </w:rPr>
        <w:t> poklesu</w:t>
      </w:r>
      <w:r w:rsidRPr="00504DD0">
        <w:rPr>
          <w:sz w:val="24"/>
        </w:rPr>
        <w:t xml:space="preserve"> o </w:t>
      </w:r>
      <w:r>
        <w:rPr>
          <w:sz w:val="24"/>
        </w:rPr>
        <w:t>28,9</w:t>
      </w:r>
      <w:r w:rsidRPr="00504DD0">
        <w:rPr>
          <w:sz w:val="24"/>
        </w:rPr>
        <w:t xml:space="preserve"> ha. Vyhodnocením údajů z katastru nemovitostí bylo také zjištěno, že za loňský rok ubylo na území města </w:t>
      </w:r>
      <w:r>
        <w:rPr>
          <w:sz w:val="24"/>
        </w:rPr>
        <w:t>19,6</w:t>
      </w:r>
      <w:r w:rsidRPr="00504DD0">
        <w:rPr>
          <w:sz w:val="24"/>
        </w:rPr>
        <w:t xml:space="preserve"> ha zemědělských, lesních a vodních ploch. Při srovnání s údaji cenové mapy z roku 202</w:t>
      </w:r>
      <w:r>
        <w:rPr>
          <w:sz w:val="24"/>
        </w:rPr>
        <w:t xml:space="preserve">1 </w:t>
      </w:r>
      <w:r w:rsidRPr="00504DD0">
        <w:rPr>
          <w:sz w:val="24"/>
        </w:rPr>
        <w:t>se plocha správního území města Ostravy nezměnila.</w:t>
      </w:r>
      <w:r w:rsidRPr="002A07DF">
        <w:rPr>
          <w:sz w:val="24"/>
        </w:rPr>
        <w:t xml:space="preserve"> </w:t>
      </w:r>
    </w:p>
    <w:p w14:paraId="74CC8727" w14:textId="399A334B" w:rsidR="00263152" w:rsidRPr="00E30A5D" w:rsidRDefault="00263152" w:rsidP="00E30A5D">
      <w:pPr>
        <w:spacing w:before="80"/>
        <w:ind w:firstLine="425"/>
        <w:jc w:val="both"/>
        <w:rPr>
          <w:sz w:val="24"/>
        </w:rPr>
      </w:pPr>
      <w:r w:rsidRPr="00E30A5D">
        <w:rPr>
          <w:sz w:val="24"/>
        </w:rPr>
        <w:t>Pokud se týče souladu údajů katastru nemovitostí</w:t>
      </w:r>
      <w:r w:rsidR="00E30A5D" w:rsidRPr="00E30A5D">
        <w:rPr>
          <w:sz w:val="24"/>
        </w:rPr>
        <w:t>,</w:t>
      </w:r>
      <w:r w:rsidRPr="00E30A5D">
        <w:rPr>
          <w:sz w:val="24"/>
        </w:rPr>
        <w:t xml:space="preserve"> tzn. především zákresu pozemkových parcel v porovnání se skutečností, lze konstatovat, že stav katastru nemovitostí </w:t>
      </w:r>
      <w:r w:rsidR="00A06A80" w:rsidRPr="00E30A5D">
        <w:rPr>
          <w:sz w:val="24"/>
        </w:rPr>
        <w:t>v Ostravě převážně odpovídá skutečnosti. P</w:t>
      </w:r>
      <w:r w:rsidRPr="00E30A5D">
        <w:rPr>
          <w:sz w:val="24"/>
        </w:rPr>
        <w:t xml:space="preserve">ři nesouladech, které </w:t>
      </w:r>
      <w:r w:rsidR="00A06A80" w:rsidRPr="00E30A5D">
        <w:rPr>
          <w:sz w:val="24"/>
        </w:rPr>
        <w:t xml:space="preserve">se </w:t>
      </w:r>
      <w:r w:rsidRPr="00E30A5D">
        <w:rPr>
          <w:sz w:val="24"/>
        </w:rPr>
        <w:t xml:space="preserve">vyskytují </w:t>
      </w:r>
      <w:r w:rsidR="00697408">
        <w:rPr>
          <w:sz w:val="24"/>
        </w:rPr>
        <w:t>na území</w:t>
      </w:r>
      <w:r w:rsidRPr="00E30A5D">
        <w:rPr>
          <w:sz w:val="24"/>
        </w:rPr>
        <w:t xml:space="preserve"> města např. při rozsáhlých změnách </w:t>
      </w:r>
      <w:r w:rsidR="00697408">
        <w:rPr>
          <w:sz w:val="24"/>
        </w:rPr>
        <w:t>v rámci</w:t>
      </w:r>
      <w:r w:rsidRPr="00E30A5D">
        <w:rPr>
          <w:sz w:val="24"/>
        </w:rPr>
        <w:t xml:space="preserve"> asanací průmyslových oblastí </w:t>
      </w:r>
      <w:r w:rsidR="00E30A5D" w:rsidRPr="00E30A5D">
        <w:rPr>
          <w:sz w:val="24"/>
        </w:rPr>
        <w:t>(</w:t>
      </w:r>
      <w:r w:rsidRPr="00E30A5D">
        <w:rPr>
          <w:sz w:val="24"/>
        </w:rPr>
        <w:t>brownfield</w:t>
      </w:r>
      <w:r w:rsidR="00E30A5D" w:rsidRPr="00E30A5D">
        <w:rPr>
          <w:sz w:val="24"/>
        </w:rPr>
        <w:t>s)</w:t>
      </w:r>
      <w:r w:rsidR="00A06A80" w:rsidRPr="00E30A5D">
        <w:rPr>
          <w:sz w:val="24"/>
        </w:rPr>
        <w:t xml:space="preserve">, se tyto v rámci každé aktualizace cenové mapy stavebních pozemků města Ostravy zachycují </w:t>
      </w:r>
      <w:r w:rsidR="00697408">
        <w:rPr>
          <w:sz w:val="24"/>
        </w:rPr>
        <w:t xml:space="preserve">šetřením </w:t>
      </w:r>
      <w:r w:rsidR="00A06A80" w:rsidRPr="00E30A5D">
        <w:rPr>
          <w:sz w:val="24"/>
        </w:rPr>
        <w:t>v terénu a</w:t>
      </w:r>
      <w:r w:rsidR="00697408">
        <w:rPr>
          <w:sz w:val="24"/>
        </w:rPr>
        <w:t> </w:t>
      </w:r>
      <w:r w:rsidR="00A06A80" w:rsidRPr="00E30A5D">
        <w:rPr>
          <w:sz w:val="24"/>
        </w:rPr>
        <w:t>případný nesoulad s katastrem nemovitostí je do cenové mapy zanesen dle skutečnosti.</w:t>
      </w:r>
    </w:p>
    <w:p w14:paraId="53FB1867" w14:textId="5BD58E20" w:rsidR="004558FE" w:rsidRPr="00231ABC" w:rsidRDefault="004558FE" w:rsidP="004558FE">
      <w:pPr>
        <w:spacing w:before="120"/>
        <w:ind w:firstLine="426"/>
        <w:jc w:val="both"/>
        <w:rPr>
          <w:sz w:val="24"/>
        </w:rPr>
      </w:pPr>
      <w:r w:rsidRPr="00F9667C">
        <w:rPr>
          <w:sz w:val="24"/>
        </w:rPr>
        <w:lastRenderedPageBreak/>
        <w:t>Pro ocenění cenovou mapou bylo na území města vymezeno celkem 3 91</w:t>
      </w:r>
      <w:r>
        <w:rPr>
          <w:sz w:val="24"/>
        </w:rPr>
        <w:t>0</w:t>
      </w:r>
      <w:r w:rsidRPr="00F9667C">
        <w:rPr>
          <w:sz w:val="24"/>
        </w:rPr>
        <w:t xml:space="preserve"> skupin obdobných parcel (</w:t>
      </w:r>
      <w:r>
        <w:rPr>
          <w:sz w:val="24"/>
        </w:rPr>
        <w:t xml:space="preserve">pokles </w:t>
      </w:r>
      <w:r w:rsidRPr="00F9667C">
        <w:rPr>
          <w:sz w:val="24"/>
        </w:rPr>
        <w:t xml:space="preserve">o </w:t>
      </w:r>
      <w:r>
        <w:rPr>
          <w:sz w:val="24"/>
        </w:rPr>
        <w:t>8</w:t>
      </w:r>
      <w:r w:rsidRPr="00F9667C">
        <w:rPr>
          <w:sz w:val="24"/>
        </w:rPr>
        <w:t xml:space="preserve"> skupin), z nichž 2 7</w:t>
      </w:r>
      <w:r>
        <w:rPr>
          <w:sz w:val="24"/>
        </w:rPr>
        <w:t>65</w:t>
      </w:r>
      <w:r w:rsidRPr="00F9667C">
        <w:rPr>
          <w:sz w:val="24"/>
        </w:rPr>
        <w:t xml:space="preserve"> (tj. 71 %) bylo oceněno. V těchto</w:t>
      </w:r>
      <w:r w:rsidRPr="00FD5FE4">
        <w:rPr>
          <w:sz w:val="24"/>
        </w:rPr>
        <w:t xml:space="preserve"> skupinách byla uplatněna sjednaná cena nebo došlo k ocenění pozemků na základě porovnání. Z výměry správního území města Ostravy bylo oceněno 38,7 % jeho rozlohy, </w:t>
      </w:r>
      <w:r>
        <w:rPr>
          <w:sz w:val="24"/>
        </w:rPr>
        <w:t xml:space="preserve">obdobně jako </w:t>
      </w:r>
      <w:r w:rsidR="00E30A5D">
        <w:rPr>
          <w:sz w:val="24"/>
        </w:rPr>
        <w:t>v </w:t>
      </w:r>
      <w:r w:rsidRPr="00FD5FE4">
        <w:rPr>
          <w:sz w:val="24"/>
        </w:rPr>
        <w:t>minulém období</w:t>
      </w:r>
      <w:r>
        <w:rPr>
          <w:sz w:val="24"/>
        </w:rPr>
        <w:t xml:space="preserve">. </w:t>
      </w:r>
    </w:p>
    <w:p w14:paraId="62E414D0" w14:textId="77777777" w:rsidR="004558FE" w:rsidRPr="00231ABC" w:rsidRDefault="004558FE" w:rsidP="004558FE">
      <w:pPr>
        <w:pStyle w:val="Nadpis2"/>
        <w:numPr>
          <w:ilvl w:val="0"/>
          <w:numId w:val="0"/>
        </w:numPr>
        <w:tabs>
          <w:tab w:val="clear" w:pos="576"/>
        </w:tabs>
        <w:spacing w:before="120"/>
      </w:pPr>
      <w:r w:rsidRPr="00FD5FE4">
        <w:t xml:space="preserve">Tab. – Celkový počet skupin pozemků </w:t>
      </w:r>
      <w:r>
        <w:t xml:space="preserve">v cenové mapě stavebních pozemků </w:t>
      </w:r>
      <w:r w:rsidRPr="00FD5FE4">
        <w:t>města Ostravy</w:t>
      </w:r>
    </w:p>
    <w:p w14:paraId="62FF50E4" w14:textId="77777777" w:rsidR="004558FE" w:rsidRPr="002B004D" w:rsidRDefault="004558FE" w:rsidP="004558FE">
      <w:pPr>
        <w:pStyle w:val="Zhlav"/>
        <w:tabs>
          <w:tab w:val="clear" w:pos="4536"/>
          <w:tab w:val="clear" w:pos="9072"/>
        </w:tabs>
        <w:spacing w:before="120"/>
      </w:pPr>
      <w:r>
        <w:t>CM 2021</w:t>
      </w:r>
    </w:p>
    <w:tbl>
      <w:tblPr>
        <w:tblW w:w="0" w:type="auto"/>
        <w:tblLayout w:type="fixed"/>
        <w:tblCellMar>
          <w:left w:w="30" w:type="dxa"/>
          <w:right w:w="30" w:type="dxa"/>
        </w:tblCellMar>
        <w:tblLook w:val="0000" w:firstRow="0" w:lastRow="0" w:firstColumn="0" w:lastColumn="0" w:noHBand="0" w:noVBand="0"/>
      </w:tblPr>
      <w:tblGrid>
        <w:gridCol w:w="3007"/>
        <w:gridCol w:w="1469"/>
        <w:gridCol w:w="1402"/>
        <w:gridCol w:w="1622"/>
        <w:gridCol w:w="1594"/>
      </w:tblGrid>
      <w:tr w:rsidR="004558FE" w:rsidRPr="002B004D" w14:paraId="104F42F5" w14:textId="77777777" w:rsidTr="00895CB0">
        <w:trPr>
          <w:trHeight w:val="322"/>
        </w:trPr>
        <w:tc>
          <w:tcPr>
            <w:tcW w:w="3007" w:type="dxa"/>
            <w:tcBorders>
              <w:top w:val="single" w:sz="18" w:space="0" w:color="auto"/>
              <w:left w:val="single" w:sz="18" w:space="0" w:color="auto"/>
              <w:bottom w:val="single" w:sz="18" w:space="0" w:color="auto"/>
              <w:right w:val="single" w:sz="18" w:space="0" w:color="auto"/>
            </w:tcBorders>
          </w:tcPr>
          <w:p w14:paraId="77CF3927" w14:textId="77777777" w:rsidR="004558FE" w:rsidRPr="002B004D" w:rsidRDefault="004558FE" w:rsidP="00895CB0">
            <w:pPr>
              <w:jc w:val="right"/>
              <w:rPr>
                <w:b/>
                <w:color w:val="000000"/>
                <w:sz w:val="24"/>
              </w:rPr>
            </w:pPr>
          </w:p>
        </w:tc>
        <w:tc>
          <w:tcPr>
            <w:tcW w:w="1469" w:type="dxa"/>
            <w:tcBorders>
              <w:top w:val="single" w:sz="18" w:space="0" w:color="auto"/>
              <w:left w:val="nil"/>
              <w:bottom w:val="single" w:sz="18" w:space="0" w:color="auto"/>
              <w:right w:val="single" w:sz="6" w:space="0" w:color="auto"/>
            </w:tcBorders>
            <w:vAlign w:val="center"/>
          </w:tcPr>
          <w:p w14:paraId="63D096CF" w14:textId="77777777" w:rsidR="004558FE" w:rsidRPr="002B004D" w:rsidRDefault="004558FE" w:rsidP="00895CB0">
            <w:pPr>
              <w:jc w:val="center"/>
              <w:rPr>
                <w:b/>
                <w:color w:val="000000"/>
                <w:sz w:val="24"/>
              </w:rPr>
            </w:pPr>
            <w:r w:rsidRPr="002B004D">
              <w:rPr>
                <w:b/>
                <w:color w:val="000000"/>
                <w:sz w:val="24"/>
              </w:rPr>
              <w:t>Počet skupin</w:t>
            </w:r>
          </w:p>
        </w:tc>
        <w:tc>
          <w:tcPr>
            <w:tcW w:w="1402" w:type="dxa"/>
            <w:tcBorders>
              <w:top w:val="single" w:sz="18" w:space="0" w:color="auto"/>
              <w:left w:val="single" w:sz="6" w:space="0" w:color="auto"/>
              <w:bottom w:val="single" w:sz="18" w:space="0" w:color="auto"/>
              <w:right w:val="single" w:sz="6" w:space="0" w:color="auto"/>
            </w:tcBorders>
            <w:vAlign w:val="center"/>
          </w:tcPr>
          <w:p w14:paraId="543676F6" w14:textId="77777777" w:rsidR="004558FE" w:rsidRPr="002B004D" w:rsidRDefault="004558FE" w:rsidP="00895CB0">
            <w:pPr>
              <w:jc w:val="center"/>
              <w:rPr>
                <w:b/>
                <w:color w:val="000000"/>
                <w:sz w:val="24"/>
              </w:rPr>
            </w:pPr>
            <w:r w:rsidRPr="002B004D">
              <w:rPr>
                <w:b/>
                <w:color w:val="000000"/>
                <w:sz w:val="24"/>
              </w:rPr>
              <w:t>Výměra v ha</w:t>
            </w:r>
          </w:p>
        </w:tc>
        <w:tc>
          <w:tcPr>
            <w:tcW w:w="1622" w:type="dxa"/>
            <w:tcBorders>
              <w:top w:val="single" w:sz="18" w:space="0" w:color="auto"/>
              <w:left w:val="single" w:sz="6" w:space="0" w:color="auto"/>
              <w:bottom w:val="single" w:sz="18" w:space="0" w:color="auto"/>
              <w:right w:val="single" w:sz="6" w:space="0" w:color="auto"/>
            </w:tcBorders>
            <w:vAlign w:val="center"/>
          </w:tcPr>
          <w:p w14:paraId="487EAD8F" w14:textId="77777777" w:rsidR="004558FE" w:rsidRPr="002B004D" w:rsidRDefault="004558FE" w:rsidP="00895CB0">
            <w:pPr>
              <w:jc w:val="center"/>
              <w:rPr>
                <w:b/>
                <w:color w:val="000000"/>
                <w:sz w:val="24"/>
              </w:rPr>
            </w:pPr>
            <w:r w:rsidRPr="002B004D">
              <w:rPr>
                <w:b/>
                <w:color w:val="000000"/>
                <w:sz w:val="24"/>
              </w:rPr>
              <w:t>% dle skupiny</w:t>
            </w:r>
          </w:p>
        </w:tc>
        <w:tc>
          <w:tcPr>
            <w:tcW w:w="1594" w:type="dxa"/>
            <w:tcBorders>
              <w:top w:val="single" w:sz="18" w:space="0" w:color="auto"/>
              <w:left w:val="single" w:sz="6" w:space="0" w:color="auto"/>
              <w:bottom w:val="single" w:sz="18" w:space="0" w:color="auto"/>
              <w:right w:val="single" w:sz="18" w:space="0" w:color="auto"/>
            </w:tcBorders>
            <w:vAlign w:val="center"/>
          </w:tcPr>
          <w:p w14:paraId="3ED519E5" w14:textId="77777777" w:rsidR="004558FE" w:rsidRPr="002B004D" w:rsidRDefault="004558FE" w:rsidP="00895CB0">
            <w:pPr>
              <w:jc w:val="center"/>
              <w:rPr>
                <w:b/>
                <w:color w:val="000000"/>
                <w:sz w:val="24"/>
              </w:rPr>
            </w:pPr>
            <w:r w:rsidRPr="002B004D">
              <w:rPr>
                <w:b/>
                <w:color w:val="000000"/>
                <w:sz w:val="24"/>
              </w:rPr>
              <w:t>% dle výměry</w:t>
            </w:r>
          </w:p>
        </w:tc>
      </w:tr>
      <w:tr w:rsidR="004558FE" w:rsidRPr="002B004D" w14:paraId="0BE80F0E" w14:textId="77777777" w:rsidTr="00895CB0">
        <w:trPr>
          <w:trHeight w:val="307"/>
        </w:trPr>
        <w:tc>
          <w:tcPr>
            <w:tcW w:w="3007" w:type="dxa"/>
            <w:tcBorders>
              <w:top w:val="nil"/>
              <w:left w:val="single" w:sz="18" w:space="0" w:color="auto"/>
              <w:bottom w:val="single" w:sz="6" w:space="0" w:color="auto"/>
              <w:right w:val="single" w:sz="18" w:space="0" w:color="auto"/>
            </w:tcBorders>
          </w:tcPr>
          <w:p w14:paraId="4BC85F89" w14:textId="77777777" w:rsidR="004558FE" w:rsidRPr="002B004D" w:rsidRDefault="004558FE" w:rsidP="00895CB0">
            <w:pPr>
              <w:rPr>
                <w:b/>
                <w:color w:val="000000"/>
                <w:sz w:val="24"/>
              </w:rPr>
            </w:pPr>
            <w:r w:rsidRPr="002B004D">
              <w:rPr>
                <w:b/>
                <w:color w:val="000000"/>
                <w:sz w:val="24"/>
              </w:rPr>
              <w:t>Neoceněno</w:t>
            </w:r>
          </w:p>
        </w:tc>
        <w:tc>
          <w:tcPr>
            <w:tcW w:w="1469" w:type="dxa"/>
            <w:tcBorders>
              <w:top w:val="nil"/>
              <w:left w:val="nil"/>
              <w:bottom w:val="single" w:sz="6" w:space="0" w:color="auto"/>
              <w:right w:val="single" w:sz="6" w:space="0" w:color="auto"/>
            </w:tcBorders>
            <w:vAlign w:val="center"/>
          </w:tcPr>
          <w:p w14:paraId="6105DCE4" w14:textId="77777777" w:rsidR="004558FE" w:rsidRPr="002B004D" w:rsidRDefault="004558FE" w:rsidP="00895CB0">
            <w:pPr>
              <w:spacing w:before="20"/>
              <w:jc w:val="center"/>
              <w:rPr>
                <w:color w:val="000000"/>
                <w:sz w:val="24"/>
                <w:szCs w:val="24"/>
              </w:rPr>
            </w:pPr>
            <w:r w:rsidRPr="002B004D">
              <w:rPr>
                <w:color w:val="000000"/>
                <w:sz w:val="24"/>
                <w:szCs w:val="24"/>
              </w:rPr>
              <w:t>1 13</w:t>
            </w:r>
            <w:r>
              <w:rPr>
                <w:color w:val="000000"/>
                <w:sz w:val="24"/>
                <w:szCs w:val="24"/>
              </w:rPr>
              <w:t>6</w:t>
            </w:r>
          </w:p>
        </w:tc>
        <w:tc>
          <w:tcPr>
            <w:tcW w:w="1402" w:type="dxa"/>
            <w:tcBorders>
              <w:top w:val="nil"/>
              <w:left w:val="single" w:sz="6" w:space="0" w:color="auto"/>
              <w:bottom w:val="single" w:sz="6" w:space="0" w:color="auto"/>
              <w:right w:val="single" w:sz="6" w:space="0" w:color="auto"/>
            </w:tcBorders>
            <w:shd w:val="clear" w:color="auto" w:fill="auto"/>
            <w:vAlign w:val="center"/>
          </w:tcPr>
          <w:p w14:paraId="38F7F3AA" w14:textId="77777777" w:rsidR="004558FE" w:rsidRPr="002B004D" w:rsidRDefault="004558FE" w:rsidP="00895CB0">
            <w:pPr>
              <w:spacing w:before="20"/>
              <w:jc w:val="center"/>
              <w:rPr>
                <w:color w:val="000000"/>
                <w:sz w:val="24"/>
                <w:szCs w:val="24"/>
              </w:rPr>
            </w:pPr>
            <w:r w:rsidRPr="002E6889">
              <w:rPr>
                <w:color w:val="000000"/>
                <w:sz w:val="24"/>
                <w:szCs w:val="24"/>
              </w:rPr>
              <w:t>13 134</w:t>
            </w:r>
          </w:p>
        </w:tc>
        <w:tc>
          <w:tcPr>
            <w:tcW w:w="1622" w:type="dxa"/>
            <w:tcBorders>
              <w:top w:val="nil"/>
              <w:left w:val="single" w:sz="6" w:space="0" w:color="auto"/>
              <w:bottom w:val="single" w:sz="6" w:space="0" w:color="auto"/>
              <w:right w:val="single" w:sz="6" w:space="0" w:color="auto"/>
            </w:tcBorders>
            <w:shd w:val="clear" w:color="auto" w:fill="auto"/>
            <w:vAlign w:val="center"/>
          </w:tcPr>
          <w:p w14:paraId="1B4B9C9F" w14:textId="77777777" w:rsidR="004558FE" w:rsidRPr="002B004D" w:rsidRDefault="004558FE" w:rsidP="00895CB0">
            <w:pPr>
              <w:spacing w:before="20"/>
              <w:jc w:val="center"/>
              <w:rPr>
                <w:color w:val="000000"/>
                <w:sz w:val="24"/>
                <w:szCs w:val="24"/>
              </w:rPr>
            </w:pPr>
            <w:r w:rsidRPr="002E6889">
              <w:rPr>
                <w:color w:val="000000"/>
                <w:sz w:val="24"/>
                <w:szCs w:val="24"/>
              </w:rPr>
              <w:t>29,0%</w:t>
            </w:r>
          </w:p>
        </w:tc>
        <w:tc>
          <w:tcPr>
            <w:tcW w:w="1594" w:type="dxa"/>
            <w:tcBorders>
              <w:top w:val="nil"/>
              <w:left w:val="single" w:sz="6" w:space="0" w:color="auto"/>
              <w:bottom w:val="single" w:sz="6" w:space="0" w:color="auto"/>
              <w:right w:val="single" w:sz="18" w:space="0" w:color="auto"/>
            </w:tcBorders>
            <w:shd w:val="clear" w:color="auto" w:fill="auto"/>
            <w:vAlign w:val="center"/>
          </w:tcPr>
          <w:p w14:paraId="3EC44DC3" w14:textId="77777777" w:rsidR="004558FE" w:rsidRPr="002B004D" w:rsidRDefault="004558FE" w:rsidP="00895CB0">
            <w:pPr>
              <w:spacing w:before="20"/>
              <w:jc w:val="center"/>
              <w:rPr>
                <w:color w:val="000000"/>
                <w:sz w:val="24"/>
                <w:szCs w:val="24"/>
              </w:rPr>
            </w:pPr>
            <w:r w:rsidRPr="002E6889">
              <w:rPr>
                <w:color w:val="000000"/>
                <w:sz w:val="24"/>
                <w:szCs w:val="24"/>
              </w:rPr>
              <w:t>61,3%</w:t>
            </w:r>
          </w:p>
        </w:tc>
      </w:tr>
      <w:tr w:rsidR="004558FE" w:rsidRPr="002B004D" w14:paraId="294BBD15" w14:textId="77777777" w:rsidTr="00895CB0">
        <w:trPr>
          <w:trHeight w:val="322"/>
        </w:trPr>
        <w:tc>
          <w:tcPr>
            <w:tcW w:w="3007" w:type="dxa"/>
            <w:tcBorders>
              <w:top w:val="single" w:sz="6" w:space="0" w:color="auto"/>
              <w:left w:val="single" w:sz="18" w:space="0" w:color="auto"/>
              <w:bottom w:val="nil"/>
              <w:right w:val="single" w:sz="18" w:space="0" w:color="auto"/>
            </w:tcBorders>
          </w:tcPr>
          <w:p w14:paraId="60963E10" w14:textId="77777777" w:rsidR="004558FE" w:rsidRPr="002B004D" w:rsidRDefault="004558FE" w:rsidP="00895CB0">
            <w:pPr>
              <w:rPr>
                <w:b/>
                <w:color w:val="000000"/>
                <w:sz w:val="24"/>
              </w:rPr>
            </w:pPr>
            <w:r w:rsidRPr="002B004D">
              <w:rPr>
                <w:b/>
                <w:color w:val="000000"/>
                <w:sz w:val="24"/>
              </w:rPr>
              <w:t>Oceněno</w:t>
            </w:r>
          </w:p>
        </w:tc>
        <w:tc>
          <w:tcPr>
            <w:tcW w:w="1469" w:type="dxa"/>
            <w:tcBorders>
              <w:top w:val="single" w:sz="6" w:space="0" w:color="auto"/>
              <w:left w:val="nil"/>
              <w:bottom w:val="nil"/>
              <w:right w:val="single" w:sz="6" w:space="0" w:color="auto"/>
            </w:tcBorders>
            <w:vAlign w:val="center"/>
          </w:tcPr>
          <w:p w14:paraId="7ED7CB91" w14:textId="77777777" w:rsidR="004558FE" w:rsidRPr="002B004D" w:rsidRDefault="004558FE" w:rsidP="00895CB0">
            <w:pPr>
              <w:spacing w:before="20"/>
              <w:jc w:val="center"/>
              <w:rPr>
                <w:color w:val="000000"/>
                <w:sz w:val="24"/>
                <w:szCs w:val="24"/>
              </w:rPr>
            </w:pPr>
            <w:r w:rsidRPr="002B004D">
              <w:rPr>
                <w:color w:val="000000"/>
                <w:sz w:val="24"/>
                <w:szCs w:val="24"/>
              </w:rPr>
              <w:t>2 7</w:t>
            </w:r>
            <w:r>
              <w:rPr>
                <w:color w:val="000000"/>
                <w:sz w:val="24"/>
                <w:szCs w:val="24"/>
              </w:rPr>
              <w:t>82</w:t>
            </w:r>
          </w:p>
        </w:tc>
        <w:tc>
          <w:tcPr>
            <w:tcW w:w="1402" w:type="dxa"/>
            <w:tcBorders>
              <w:top w:val="single" w:sz="6" w:space="0" w:color="auto"/>
              <w:left w:val="single" w:sz="6" w:space="0" w:color="auto"/>
              <w:bottom w:val="nil"/>
              <w:right w:val="single" w:sz="6" w:space="0" w:color="auto"/>
            </w:tcBorders>
            <w:shd w:val="clear" w:color="auto" w:fill="auto"/>
            <w:vAlign w:val="center"/>
          </w:tcPr>
          <w:p w14:paraId="37A97F20" w14:textId="77777777" w:rsidR="004558FE" w:rsidRPr="002B004D" w:rsidRDefault="004558FE" w:rsidP="00895CB0">
            <w:pPr>
              <w:spacing w:before="20"/>
              <w:jc w:val="center"/>
              <w:rPr>
                <w:color w:val="000000"/>
                <w:sz w:val="24"/>
                <w:szCs w:val="24"/>
              </w:rPr>
            </w:pPr>
            <w:r w:rsidRPr="002E6889">
              <w:rPr>
                <w:color w:val="000000"/>
                <w:sz w:val="24"/>
                <w:szCs w:val="24"/>
              </w:rPr>
              <w:t>8 289</w:t>
            </w:r>
          </w:p>
        </w:tc>
        <w:tc>
          <w:tcPr>
            <w:tcW w:w="1622" w:type="dxa"/>
            <w:tcBorders>
              <w:top w:val="single" w:sz="6" w:space="0" w:color="auto"/>
              <w:left w:val="single" w:sz="6" w:space="0" w:color="auto"/>
              <w:bottom w:val="nil"/>
              <w:right w:val="single" w:sz="6" w:space="0" w:color="auto"/>
            </w:tcBorders>
            <w:shd w:val="clear" w:color="auto" w:fill="auto"/>
            <w:vAlign w:val="center"/>
          </w:tcPr>
          <w:p w14:paraId="7C7EB56E" w14:textId="77777777" w:rsidR="004558FE" w:rsidRPr="002B004D" w:rsidRDefault="004558FE" w:rsidP="00895CB0">
            <w:pPr>
              <w:spacing w:before="20"/>
              <w:jc w:val="center"/>
              <w:rPr>
                <w:color w:val="000000"/>
                <w:sz w:val="24"/>
                <w:szCs w:val="24"/>
              </w:rPr>
            </w:pPr>
            <w:r w:rsidRPr="002E6889">
              <w:rPr>
                <w:color w:val="000000"/>
                <w:sz w:val="24"/>
                <w:szCs w:val="24"/>
              </w:rPr>
              <w:t>71,0%</w:t>
            </w:r>
          </w:p>
        </w:tc>
        <w:tc>
          <w:tcPr>
            <w:tcW w:w="1594" w:type="dxa"/>
            <w:tcBorders>
              <w:top w:val="single" w:sz="6" w:space="0" w:color="auto"/>
              <w:left w:val="single" w:sz="6" w:space="0" w:color="auto"/>
              <w:bottom w:val="nil"/>
              <w:right w:val="single" w:sz="18" w:space="0" w:color="auto"/>
            </w:tcBorders>
            <w:shd w:val="clear" w:color="auto" w:fill="auto"/>
            <w:vAlign w:val="center"/>
          </w:tcPr>
          <w:p w14:paraId="24032FC1" w14:textId="77777777" w:rsidR="004558FE" w:rsidRPr="002B004D" w:rsidRDefault="004558FE" w:rsidP="00895CB0">
            <w:pPr>
              <w:spacing w:before="20"/>
              <w:jc w:val="center"/>
              <w:rPr>
                <w:color w:val="000000"/>
                <w:sz w:val="24"/>
                <w:szCs w:val="24"/>
              </w:rPr>
            </w:pPr>
            <w:r w:rsidRPr="002E6889">
              <w:rPr>
                <w:color w:val="000000"/>
                <w:sz w:val="24"/>
                <w:szCs w:val="24"/>
              </w:rPr>
              <w:t>38,7%</w:t>
            </w:r>
          </w:p>
        </w:tc>
      </w:tr>
      <w:tr w:rsidR="004558FE" w:rsidRPr="002B004D" w14:paraId="211E3E9E" w14:textId="77777777" w:rsidTr="00895CB0">
        <w:trPr>
          <w:trHeight w:val="322"/>
        </w:trPr>
        <w:tc>
          <w:tcPr>
            <w:tcW w:w="3007" w:type="dxa"/>
            <w:tcBorders>
              <w:top w:val="single" w:sz="12" w:space="0" w:color="auto"/>
              <w:left w:val="single" w:sz="18" w:space="0" w:color="auto"/>
              <w:bottom w:val="single" w:sz="18" w:space="0" w:color="auto"/>
              <w:right w:val="single" w:sz="18" w:space="0" w:color="auto"/>
            </w:tcBorders>
          </w:tcPr>
          <w:p w14:paraId="59A18A6C" w14:textId="77777777" w:rsidR="004558FE" w:rsidRPr="002B004D" w:rsidRDefault="004558FE" w:rsidP="00895CB0">
            <w:pPr>
              <w:rPr>
                <w:b/>
                <w:color w:val="000000"/>
                <w:sz w:val="24"/>
              </w:rPr>
            </w:pPr>
            <w:r w:rsidRPr="002B004D">
              <w:rPr>
                <w:b/>
                <w:color w:val="000000"/>
                <w:sz w:val="24"/>
              </w:rPr>
              <w:t>Celkem</w:t>
            </w:r>
          </w:p>
        </w:tc>
        <w:tc>
          <w:tcPr>
            <w:tcW w:w="1469" w:type="dxa"/>
            <w:tcBorders>
              <w:top w:val="single" w:sz="12" w:space="0" w:color="auto"/>
              <w:left w:val="nil"/>
              <w:bottom w:val="single" w:sz="18" w:space="0" w:color="auto"/>
              <w:right w:val="single" w:sz="6" w:space="0" w:color="auto"/>
            </w:tcBorders>
            <w:vAlign w:val="center"/>
          </w:tcPr>
          <w:p w14:paraId="25482921" w14:textId="77777777" w:rsidR="004558FE" w:rsidRPr="002B004D" w:rsidRDefault="004558FE" w:rsidP="00895CB0">
            <w:pPr>
              <w:spacing w:before="20"/>
              <w:jc w:val="center"/>
              <w:rPr>
                <w:b/>
                <w:color w:val="000000"/>
                <w:sz w:val="24"/>
                <w:szCs w:val="24"/>
              </w:rPr>
            </w:pPr>
            <w:r w:rsidRPr="002B004D">
              <w:rPr>
                <w:b/>
                <w:bCs/>
                <w:color w:val="000000"/>
                <w:sz w:val="24"/>
                <w:szCs w:val="24"/>
              </w:rPr>
              <w:t>3 91</w:t>
            </w:r>
            <w:r>
              <w:rPr>
                <w:b/>
                <w:bCs/>
                <w:color w:val="000000"/>
                <w:sz w:val="24"/>
                <w:szCs w:val="24"/>
              </w:rPr>
              <w:t>8</w:t>
            </w:r>
          </w:p>
        </w:tc>
        <w:tc>
          <w:tcPr>
            <w:tcW w:w="1402" w:type="dxa"/>
            <w:tcBorders>
              <w:top w:val="single" w:sz="12" w:space="0" w:color="auto"/>
              <w:left w:val="single" w:sz="6" w:space="0" w:color="auto"/>
              <w:bottom w:val="single" w:sz="18" w:space="0" w:color="auto"/>
              <w:right w:val="single" w:sz="6" w:space="0" w:color="auto"/>
            </w:tcBorders>
            <w:shd w:val="clear" w:color="auto" w:fill="auto"/>
            <w:vAlign w:val="center"/>
          </w:tcPr>
          <w:p w14:paraId="5C5E8CEF" w14:textId="77777777" w:rsidR="004558FE" w:rsidRPr="002E6889" w:rsidRDefault="004558FE" w:rsidP="00895CB0">
            <w:pPr>
              <w:spacing w:before="20"/>
              <w:jc w:val="center"/>
              <w:rPr>
                <w:b/>
                <w:bCs/>
                <w:color w:val="000000"/>
                <w:sz w:val="24"/>
                <w:szCs w:val="24"/>
              </w:rPr>
            </w:pPr>
            <w:r w:rsidRPr="00FD5FE4">
              <w:rPr>
                <w:b/>
                <w:bCs/>
                <w:color w:val="000000"/>
                <w:sz w:val="24"/>
                <w:szCs w:val="24"/>
              </w:rPr>
              <w:t>21 423</w:t>
            </w:r>
          </w:p>
        </w:tc>
        <w:tc>
          <w:tcPr>
            <w:tcW w:w="1622" w:type="dxa"/>
            <w:tcBorders>
              <w:top w:val="single" w:sz="12" w:space="0" w:color="auto"/>
              <w:left w:val="single" w:sz="6" w:space="0" w:color="auto"/>
              <w:bottom w:val="single" w:sz="18" w:space="0" w:color="auto"/>
              <w:right w:val="single" w:sz="6" w:space="0" w:color="auto"/>
            </w:tcBorders>
            <w:shd w:val="clear" w:color="auto" w:fill="auto"/>
            <w:vAlign w:val="center"/>
          </w:tcPr>
          <w:p w14:paraId="3251A4A3" w14:textId="77777777" w:rsidR="004558FE" w:rsidRPr="002E6889" w:rsidRDefault="004558FE" w:rsidP="00895CB0">
            <w:pPr>
              <w:spacing w:before="20"/>
              <w:jc w:val="center"/>
              <w:rPr>
                <w:b/>
                <w:bCs/>
                <w:color w:val="000000"/>
                <w:sz w:val="24"/>
                <w:szCs w:val="24"/>
              </w:rPr>
            </w:pPr>
            <w:r w:rsidRPr="00FD5FE4">
              <w:rPr>
                <w:b/>
                <w:bCs/>
                <w:color w:val="000000"/>
                <w:sz w:val="24"/>
                <w:szCs w:val="24"/>
              </w:rPr>
              <w:t>100,0%</w:t>
            </w:r>
          </w:p>
        </w:tc>
        <w:tc>
          <w:tcPr>
            <w:tcW w:w="1594" w:type="dxa"/>
            <w:tcBorders>
              <w:top w:val="single" w:sz="12" w:space="0" w:color="auto"/>
              <w:left w:val="single" w:sz="6" w:space="0" w:color="auto"/>
              <w:bottom w:val="single" w:sz="18" w:space="0" w:color="auto"/>
              <w:right w:val="single" w:sz="18" w:space="0" w:color="auto"/>
            </w:tcBorders>
            <w:shd w:val="clear" w:color="auto" w:fill="auto"/>
            <w:vAlign w:val="center"/>
          </w:tcPr>
          <w:p w14:paraId="0125C5B4" w14:textId="77777777" w:rsidR="004558FE" w:rsidRPr="002E6889" w:rsidRDefault="004558FE" w:rsidP="00895CB0">
            <w:pPr>
              <w:spacing w:before="20"/>
              <w:jc w:val="center"/>
              <w:rPr>
                <w:b/>
                <w:bCs/>
                <w:color w:val="000000"/>
                <w:sz w:val="24"/>
                <w:szCs w:val="24"/>
              </w:rPr>
            </w:pPr>
            <w:r w:rsidRPr="00FD5FE4">
              <w:rPr>
                <w:b/>
                <w:bCs/>
                <w:color w:val="000000"/>
                <w:sz w:val="24"/>
                <w:szCs w:val="24"/>
              </w:rPr>
              <w:t>100,0%</w:t>
            </w:r>
          </w:p>
        </w:tc>
      </w:tr>
    </w:tbl>
    <w:p w14:paraId="2054FE08" w14:textId="77777777" w:rsidR="004558FE" w:rsidRPr="002B004D" w:rsidRDefault="004558FE" w:rsidP="004558FE">
      <w:pPr>
        <w:pStyle w:val="Zhlav"/>
        <w:tabs>
          <w:tab w:val="clear" w:pos="4536"/>
          <w:tab w:val="clear" w:pos="9072"/>
        </w:tabs>
        <w:spacing w:before="120"/>
      </w:pPr>
      <w:r>
        <w:t>CM 2022</w:t>
      </w:r>
    </w:p>
    <w:tbl>
      <w:tblPr>
        <w:tblW w:w="0" w:type="auto"/>
        <w:tblLayout w:type="fixed"/>
        <w:tblCellMar>
          <w:left w:w="30" w:type="dxa"/>
          <w:right w:w="30" w:type="dxa"/>
        </w:tblCellMar>
        <w:tblLook w:val="0000" w:firstRow="0" w:lastRow="0" w:firstColumn="0" w:lastColumn="0" w:noHBand="0" w:noVBand="0"/>
      </w:tblPr>
      <w:tblGrid>
        <w:gridCol w:w="3007"/>
        <w:gridCol w:w="1469"/>
        <w:gridCol w:w="1402"/>
        <w:gridCol w:w="1622"/>
        <w:gridCol w:w="1594"/>
      </w:tblGrid>
      <w:tr w:rsidR="004558FE" w:rsidRPr="002B004D" w14:paraId="7D16CA16" w14:textId="77777777" w:rsidTr="00895CB0">
        <w:trPr>
          <w:trHeight w:val="322"/>
        </w:trPr>
        <w:tc>
          <w:tcPr>
            <w:tcW w:w="3007" w:type="dxa"/>
            <w:tcBorders>
              <w:top w:val="single" w:sz="18" w:space="0" w:color="auto"/>
              <w:left w:val="single" w:sz="18" w:space="0" w:color="auto"/>
              <w:bottom w:val="single" w:sz="18" w:space="0" w:color="auto"/>
              <w:right w:val="single" w:sz="18" w:space="0" w:color="auto"/>
            </w:tcBorders>
          </w:tcPr>
          <w:p w14:paraId="77A23495" w14:textId="77777777" w:rsidR="004558FE" w:rsidRPr="002B004D" w:rsidRDefault="004558FE" w:rsidP="00895CB0">
            <w:pPr>
              <w:jc w:val="right"/>
              <w:rPr>
                <w:b/>
                <w:color w:val="000000"/>
                <w:sz w:val="24"/>
              </w:rPr>
            </w:pPr>
          </w:p>
        </w:tc>
        <w:tc>
          <w:tcPr>
            <w:tcW w:w="1469" w:type="dxa"/>
            <w:tcBorders>
              <w:top w:val="single" w:sz="18" w:space="0" w:color="auto"/>
              <w:left w:val="nil"/>
              <w:bottom w:val="single" w:sz="18" w:space="0" w:color="auto"/>
              <w:right w:val="single" w:sz="6" w:space="0" w:color="auto"/>
            </w:tcBorders>
            <w:vAlign w:val="center"/>
          </w:tcPr>
          <w:p w14:paraId="24C83F1D" w14:textId="77777777" w:rsidR="004558FE" w:rsidRPr="002B004D" w:rsidRDefault="004558FE" w:rsidP="00895CB0">
            <w:pPr>
              <w:jc w:val="center"/>
              <w:rPr>
                <w:b/>
                <w:color w:val="000000"/>
                <w:sz w:val="24"/>
              </w:rPr>
            </w:pPr>
            <w:r w:rsidRPr="002B004D">
              <w:rPr>
                <w:b/>
                <w:color w:val="000000"/>
                <w:sz w:val="24"/>
              </w:rPr>
              <w:t>Počet skupin</w:t>
            </w:r>
          </w:p>
        </w:tc>
        <w:tc>
          <w:tcPr>
            <w:tcW w:w="1402" w:type="dxa"/>
            <w:tcBorders>
              <w:top w:val="single" w:sz="18" w:space="0" w:color="auto"/>
              <w:left w:val="single" w:sz="6" w:space="0" w:color="auto"/>
              <w:bottom w:val="single" w:sz="18" w:space="0" w:color="auto"/>
              <w:right w:val="single" w:sz="6" w:space="0" w:color="auto"/>
            </w:tcBorders>
            <w:vAlign w:val="center"/>
          </w:tcPr>
          <w:p w14:paraId="312A0AE3" w14:textId="77777777" w:rsidR="004558FE" w:rsidRPr="002B004D" w:rsidRDefault="004558FE" w:rsidP="00895CB0">
            <w:pPr>
              <w:jc w:val="center"/>
              <w:rPr>
                <w:b/>
                <w:color w:val="000000"/>
                <w:sz w:val="24"/>
              </w:rPr>
            </w:pPr>
            <w:r w:rsidRPr="002B004D">
              <w:rPr>
                <w:b/>
                <w:color w:val="000000"/>
                <w:sz w:val="24"/>
              </w:rPr>
              <w:t>Výměra v ha</w:t>
            </w:r>
          </w:p>
        </w:tc>
        <w:tc>
          <w:tcPr>
            <w:tcW w:w="1622" w:type="dxa"/>
            <w:tcBorders>
              <w:top w:val="single" w:sz="18" w:space="0" w:color="auto"/>
              <w:left w:val="single" w:sz="6" w:space="0" w:color="auto"/>
              <w:bottom w:val="single" w:sz="18" w:space="0" w:color="auto"/>
              <w:right w:val="single" w:sz="6" w:space="0" w:color="auto"/>
            </w:tcBorders>
            <w:vAlign w:val="center"/>
          </w:tcPr>
          <w:p w14:paraId="34F067A7" w14:textId="77777777" w:rsidR="004558FE" w:rsidRPr="002B004D" w:rsidRDefault="004558FE" w:rsidP="00895CB0">
            <w:pPr>
              <w:jc w:val="center"/>
              <w:rPr>
                <w:b/>
                <w:color w:val="000000"/>
                <w:sz w:val="24"/>
              </w:rPr>
            </w:pPr>
            <w:r w:rsidRPr="002B004D">
              <w:rPr>
                <w:b/>
                <w:color w:val="000000"/>
                <w:sz w:val="24"/>
              </w:rPr>
              <w:t>% dle skupiny</w:t>
            </w:r>
          </w:p>
        </w:tc>
        <w:tc>
          <w:tcPr>
            <w:tcW w:w="1594" w:type="dxa"/>
            <w:tcBorders>
              <w:top w:val="single" w:sz="18" w:space="0" w:color="auto"/>
              <w:left w:val="single" w:sz="6" w:space="0" w:color="auto"/>
              <w:bottom w:val="single" w:sz="18" w:space="0" w:color="auto"/>
              <w:right w:val="single" w:sz="18" w:space="0" w:color="auto"/>
            </w:tcBorders>
            <w:vAlign w:val="center"/>
          </w:tcPr>
          <w:p w14:paraId="05C54C8F" w14:textId="77777777" w:rsidR="004558FE" w:rsidRPr="002B004D" w:rsidRDefault="004558FE" w:rsidP="00895CB0">
            <w:pPr>
              <w:jc w:val="center"/>
              <w:rPr>
                <w:b/>
                <w:color w:val="000000"/>
                <w:sz w:val="24"/>
              </w:rPr>
            </w:pPr>
            <w:r w:rsidRPr="002B004D">
              <w:rPr>
                <w:b/>
                <w:color w:val="000000"/>
                <w:sz w:val="24"/>
              </w:rPr>
              <w:t>% dle výměry</w:t>
            </w:r>
          </w:p>
        </w:tc>
      </w:tr>
      <w:tr w:rsidR="004558FE" w:rsidRPr="002B004D" w14:paraId="6D351990" w14:textId="77777777" w:rsidTr="00895CB0">
        <w:trPr>
          <w:trHeight w:val="307"/>
        </w:trPr>
        <w:tc>
          <w:tcPr>
            <w:tcW w:w="3007" w:type="dxa"/>
            <w:tcBorders>
              <w:top w:val="nil"/>
              <w:left w:val="single" w:sz="18" w:space="0" w:color="auto"/>
              <w:bottom w:val="single" w:sz="6" w:space="0" w:color="auto"/>
              <w:right w:val="single" w:sz="18" w:space="0" w:color="auto"/>
            </w:tcBorders>
          </w:tcPr>
          <w:p w14:paraId="6E539A69" w14:textId="77777777" w:rsidR="004558FE" w:rsidRPr="002B004D" w:rsidRDefault="004558FE" w:rsidP="00895CB0">
            <w:pPr>
              <w:rPr>
                <w:b/>
                <w:color w:val="000000"/>
                <w:sz w:val="24"/>
              </w:rPr>
            </w:pPr>
            <w:r w:rsidRPr="002B004D">
              <w:rPr>
                <w:b/>
                <w:color w:val="000000"/>
                <w:sz w:val="24"/>
              </w:rPr>
              <w:t>Neoceněno</w:t>
            </w:r>
          </w:p>
        </w:tc>
        <w:tc>
          <w:tcPr>
            <w:tcW w:w="1469" w:type="dxa"/>
            <w:tcBorders>
              <w:top w:val="nil"/>
              <w:left w:val="nil"/>
              <w:bottom w:val="single" w:sz="6" w:space="0" w:color="auto"/>
              <w:right w:val="single" w:sz="6" w:space="0" w:color="auto"/>
            </w:tcBorders>
            <w:vAlign w:val="center"/>
          </w:tcPr>
          <w:p w14:paraId="1857A80E" w14:textId="77777777" w:rsidR="004558FE" w:rsidRPr="002B004D" w:rsidRDefault="004558FE" w:rsidP="00895CB0">
            <w:pPr>
              <w:spacing w:before="20"/>
              <w:jc w:val="center"/>
              <w:rPr>
                <w:color w:val="000000"/>
                <w:sz w:val="24"/>
              </w:rPr>
            </w:pPr>
            <w:r w:rsidRPr="002B004D">
              <w:rPr>
                <w:color w:val="000000"/>
                <w:sz w:val="24"/>
                <w:szCs w:val="24"/>
              </w:rPr>
              <w:t>1 1</w:t>
            </w:r>
            <w:r>
              <w:rPr>
                <w:color w:val="000000"/>
                <w:sz w:val="24"/>
                <w:szCs w:val="24"/>
              </w:rPr>
              <w:t>45</w:t>
            </w:r>
          </w:p>
        </w:tc>
        <w:tc>
          <w:tcPr>
            <w:tcW w:w="1402" w:type="dxa"/>
            <w:tcBorders>
              <w:top w:val="nil"/>
              <w:left w:val="single" w:sz="6" w:space="0" w:color="auto"/>
              <w:bottom w:val="single" w:sz="6" w:space="0" w:color="auto"/>
              <w:right w:val="single" w:sz="6" w:space="0" w:color="auto"/>
            </w:tcBorders>
            <w:vAlign w:val="center"/>
          </w:tcPr>
          <w:p w14:paraId="75D6E8F0" w14:textId="77777777" w:rsidR="004558FE" w:rsidRPr="002B004D" w:rsidRDefault="004558FE" w:rsidP="00895CB0">
            <w:pPr>
              <w:spacing w:before="20"/>
              <w:jc w:val="center"/>
              <w:rPr>
                <w:color w:val="000000"/>
                <w:sz w:val="24"/>
              </w:rPr>
            </w:pPr>
            <w:r w:rsidRPr="002B004D">
              <w:rPr>
                <w:color w:val="000000"/>
                <w:sz w:val="24"/>
                <w:szCs w:val="24"/>
              </w:rPr>
              <w:t>13 14</w:t>
            </w:r>
            <w:r>
              <w:rPr>
                <w:color w:val="000000"/>
                <w:sz w:val="24"/>
                <w:szCs w:val="24"/>
              </w:rPr>
              <w:t>1</w:t>
            </w:r>
          </w:p>
        </w:tc>
        <w:tc>
          <w:tcPr>
            <w:tcW w:w="1622" w:type="dxa"/>
            <w:tcBorders>
              <w:top w:val="nil"/>
              <w:left w:val="single" w:sz="6" w:space="0" w:color="auto"/>
              <w:bottom w:val="single" w:sz="6" w:space="0" w:color="auto"/>
              <w:right w:val="single" w:sz="6" w:space="0" w:color="auto"/>
            </w:tcBorders>
            <w:vAlign w:val="center"/>
          </w:tcPr>
          <w:p w14:paraId="50B346CF" w14:textId="77777777" w:rsidR="004558FE" w:rsidRPr="002B004D" w:rsidRDefault="004558FE" w:rsidP="00895CB0">
            <w:pPr>
              <w:spacing w:before="20"/>
              <w:jc w:val="center"/>
              <w:rPr>
                <w:color w:val="000000"/>
                <w:sz w:val="24"/>
              </w:rPr>
            </w:pPr>
            <w:r w:rsidRPr="002B004D">
              <w:rPr>
                <w:color w:val="000000"/>
                <w:sz w:val="24"/>
                <w:szCs w:val="24"/>
              </w:rPr>
              <w:t>29,</w:t>
            </w:r>
            <w:r>
              <w:rPr>
                <w:color w:val="000000"/>
                <w:sz w:val="24"/>
                <w:szCs w:val="24"/>
              </w:rPr>
              <w:t>3</w:t>
            </w:r>
          </w:p>
        </w:tc>
        <w:tc>
          <w:tcPr>
            <w:tcW w:w="1594" w:type="dxa"/>
            <w:tcBorders>
              <w:top w:val="nil"/>
              <w:left w:val="single" w:sz="6" w:space="0" w:color="auto"/>
              <w:bottom w:val="single" w:sz="6" w:space="0" w:color="auto"/>
              <w:right w:val="single" w:sz="18" w:space="0" w:color="auto"/>
            </w:tcBorders>
            <w:vAlign w:val="center"/>
          </w:tcPr>
          <w:p w14:paraId="08B04433" w14:textId="77777777" w:rsidR="004558FE" w:rsidRPr="002B004D" w:rsidRDefault="004558FE" w:rsidP="00895CB0">
            <w:pPr>
              <w:spacing w:before="20"/>
              <w:jc w:val="center"/>
              <w:rPr>
                <w:color w:val="000000"/>
                <w:sz w:val="24"/>
              </w:rPr>
            </w:pPr>
            <w:r w:rsidRPr="002B004D">
              <w:rPr>
                <w:color w:val="000000"/>
                <w:sz w:val="24"/>
                <w:szCs w:val="24"/>
              </w:rPr>
              <w:t>61,3</w:t>
            </w:r>
          </w:p>
        </w:tc>
      </w:tr>
      <w:tr w:rsidR="004558FE" w:rsidRPr="002B004D" w14:paraId="0493B7AC" w14:textId="77777777" w:rsidTr="00895CB0">
        <w:trPr>
          <w:trHeight w:val="322"/>
        </w:trPr>
        <w:tc>
          <w:tcPr>
            <w:tcW w:w="3007" w:type="dxa"/>
            <w:tcBorders>
              <w:top w:val="single" w:sz="6" w:space="0" w:color="auto"/>
              <w:left w:val="single" w:sz="18" w:space="0" w:color="auto"/>
              <w:bottom w:val="nil"/>
              <w:right w:val="single" w:sz="18" w:space="0" w:color="auto"/>
            </w:tcBorders>
          </w:tcPr>
          <w:p w14:paraId="29229CA1" w14:textId="77777777" w:rsidR="004558FE" w:rsidRPr="002B004D" w:rsidRDefault="004558FE" w:rsidP="00895CB0">
            <w:pPr>
              <w:rPr>
                <w:b/>
                <w:color w:val="000000"/>
                <w:sz w:val="24"/>
              </w:rPr>
            </w:pPr>
            <w:r w:rsidRPr="002B004D">
              <w:rPr>
                <w:b/>
                <w:color w:val="000000"/>
                <w:sz w:val="24"/>
              </w:rPr>
              <w:t>Oceněno</w:t>
            </w:r>
          </w:p>
        </w:tc>
        <w:tc>
          <w:tcPr>
            <w:tcW w:w="1469" w:type="dxa"/>
            <w:tcBorders>
              <w:top w:val="single" w:sz="6" w:space="0" w:color="auto"/>
              <w:left w:val="nil"/>
              <w:bottom w:val="nil"/>
              <w:right w:val="single" w:sz="6" w:space="0" w:color="auto"/>
            </w:tcBorders>
            <w:vAlign w:val="center"/>
          </w:tcPr>
          <w:p w14:paraId="2FDF94F2" w14:textId="77777777" w:rsidR="004558FE" w:rsidRPr="002B004D" w:rsidRDefault="004558FE" w:rsidP="00895CB0">
            <w:pPr>
              <w:spacing w:before="20"/>
              <w:jc w:val="center"/>
              <w:rPr>
                <w:color w:val="000000"/>
                <w:sz w:val="24"/>
              </w:rPr>
            </w:pPr>
            <w:r w:rsidRPr="002B004D">
              <w:rPr>
                <w:color w:val="000000"/>
                <w:sz w:val="24"/>
                <w:szCs w:val="24"/>
              </w:rPr>
              <w:t>2 7</w:t>
            </w:r>
            <w:r>
              <w:rPr>
                <w:color w:val="000000"/>
                <w:sz w:val="24"/>
                <w:szCs w:val="24"/>
              </w:rPr>
              <w:t>65</w:t>
            </w:r>
          </w:p>
        </w:tc>
        <w:tc>
          <w:tcPr>
            <w:tcW w:w="1402" w:type="dxa"/>
            <w:tcBorders>
              <w:top w:val="single" w:sz="6" w:space="0" w:color="auto"/>
              <w:left w:val="single" w:sz="6" w:space="0" w:color="auto"/>
              <w:bottom w:val="nil"/>
              <w:right w:val="single" w:sz="6" w:space="0" w:color="auto"/>
            </w:tcBorders>
            <w:vAlign w:val="center"/>
          </w:tcPr>
          <w:p w14:paraId="2F61D431" w14:textId="77777777" w:rsidR="004558FE" w:rsidRPr="002B004D" w:rsidRDefault="004558FE" w:rsidP="00895CB0">
            <w:pPr>
              <w:spacing w:before="20"/>
              <w:jc w:val="center"/>
              <w:rPr>
                <w:color w:val="000000"/>
                <w:sz w:val="24"/>
              </w:rPr>
            </w:pPr>
            <w:r w:rsidRPr="002B004D">
              <w:rPr>
                <w:color w:val="000000"/>
                <w:sz w:val="24"/>
                <w:szCs w:val="24"/>
              </w:rPr>
              <w:t>8 28</w:t>
            </w:r>
            <w:r>
              <w:rPr>
                <w:color w:val="000000"/>
                <w:sz w:val="24"/>
                <w:szCs w:val="24"/>
              </w:rPr>
              <w:t>2</w:t>
            </w:r>
          </w:p>
        </w:tc>
        <w:tc>
          <w:tcPr>
            <w:tcW w:w="1622" w:type="dxa"/>
            <w:tcBorders>
              <w:top w:val="single" w:sz="6" w:space="0" w:color="auto"/>
              <w:left w:val="single" w:sz="6" w:space="0" w:color="auto"/>
              <w:bottom w:val="nil"/>
              <w:right w:val="single" w:sz="6" w:space="0" w:color="auto"/>
            </w:tcBorders>
            <w:vAlign w:val="center"/>
          </w:tcPr>
          <w:p w14:paraId="57163231" w14:textId="77777777" w:rsidR="004558FE" w:rsidRPr="002B004D" w:rsidRDefault="004558FE" w:rsidP="00895CB0">
            <w:pPr>
              <w:spacing w:before="20"/>
              <w:jc w:val="center"/>
              <w:rPr>
                <w:color w:val="000000"/>
                <w:sz w:val="24"/>
              </w:rPr>
            </w:pPr>
            <w:r w:rsidRPr="002B004D">
              <w:rPr>
                <w:color w:val="000000"/>
                <w:sz w:val="24"/>
                <w:szCs w:val="24"/>
              </w:rPr>
              <w:t>70,</w:t>
            </w:r>
            <w:r>
              <w:rPr>
                <w:color w:val="000000"/>
                <w:sz w:val="24"/>
                <w:szCs w:val="24"/>
              </w:rPr>
              <w:t>7</w:t>
            </w:r>
          </w:p>
        </w:tc>
        <w:tc>
          <w:tcPr>
            <w:tcW w:w="1594" w:type="dxa"/>
            <w:tcBorders>
              <w:top w:val="single" w:sz="6" w:space="0" w:color="auto"/>
              <w:left w:val="single" w:sz="6" w:space="0" w:color="auto"/>
              <w:bottom w:val="nil"/>
              <w:right w:val="single" w:sz="18" w:space="0" w:color="auto"/>
            </w:tcBorders>
            <w:vAlign w:val="center"/>
          </w:tcPr>
          <w:p w14:paraId="09906C34" w14:textId="77777777" w:rsidR="004558FE" w:rsidRPr="002B004D" w:rsidRDefault="004558FE" w:rsidP="00895CB0">
            <w:pPr>
              <w:spacing w:before="20"/>
              <w:jc w:val="center"/>
              <w:rPr>
                <w:color w:val="000000"/>
                <w:sz w:val="24"/>
              </w:rPr>
            </w:pPr>
            <w:r w:rsidRPr="002B004D">
              <w:rPr>
                <w:color w:val="000000"/>
                <w:sz w:val="24"/>
                <w:szCs w:val="24"/>
              </w:rPr>
              <w:t>38,7</w:t>
            </w:r>
          </w:p>
        </w:tc>
      </w:tr>
      <w:tr w:rsidR="004558FE" w:rsidRPr="002B004D" w14:paraId="119795DE" w14:textId="77777777" w:rsidTr="00895CB0">
        <w:trPr>
          <w:trHeight w:val="322"/>
        </w:trPr>
        <w:tc>
          <w:tcPr>
            <w:tcW w:w="3007" w:type="dxa"/>
            <w:tcBorders>
              <w:top w:val="single" w:sz="12" w:space="0" w:color="auto"/>
              <w:left w:val="single" w:sz="18" w:space="0" w:color="auto"/>
              <w:bottom w:val="single" w:sz="18" w:space="0" w:color="auto"/>
              <w:right w:val="single" w:sz="18" w:space="0" w:color="auto"/>
            </w:tcBorders>
          </w:tcPr>
          <w:p w14:paraId="31F9FE7A" w14:textId="77777777" w:rsidR="004558FE" w:rsidRPr="002B004D" w:rsidRDefault="004558FE" w:rsidP="00895CB0">
            <w:pPr>
              <w:rPr>
                <w:b/>
                <w:color w:val="000000"/>
                <w:sz w:val="24"/>
              </w:rPr>
            </w:pPr>
            <w:r w:rsidRPr="002B004D">
              <w:rPr>
                <w:b/>
                <w:color w:val="000000"/>
                <w:sz w:val="24"/>
              </w:rPr>
              <w:t>Celkem</w:t>
            </w:r>
          </w:p>
        </w:tc>
        <w:tc>
          <w:tcPr>
            <w:tcW w:w="1469" w:type="dxa"/>
            <w:tcBorders>
              <w:top w:val="single" w:sz="12" w:space="0" w:color="auto"/>
              <w:left w:val="nil"/>
              <w:bottom w:val="single" w:sz="18" w:space="0" w:color="auto"/>
              <w:right w:val="single" w:sz="6" w:space="0" w:color="auto"/>
            </w:tcBorders>
            <w:vAlign w:val="center"/>
          </w:tcPr>
          <w:p w14:paraId="5EA4629D" w14:textId="77777777" w:rsidR="004558FE" w:rsidRPr="002B004D" w:rsidRDefault="004558FE" w:rsidP="00895CB0">
            <w:pPr>
              <w:spacing w:before="20"/>
              <w:jc w:val="center"/>
              <w:rPr>
                <w:b/>
                <w:color w:val="000000"/>
                <w:sz w:val="24"/>
              </w:rPr>
            </w:pPr>
            <w:r w:rsidRPr="002B004D">
              <w:rPr>
                <w:b/>
                <w:bCs/>
                <w:color w:val="000000"/>
                <w:sz w:val="24"/>
                <w:szCs w:val="24"/>
              </w:rPr>
              <w:t>3 9</w:t>
            </w:r>
            <w:r>
              <w:rPr>
                <w:b/>
                <w:bCs/>
                <w:color w:val="000000"/>
                <w:sz w:val="24"/>
                <w:szCs w:val="24"/>
              </w:rPr>
              <w:t>10</w:t>
            </w:r>
          </w:p>
        </w:tc>
        <w:tc>
          <w:tcPr>
            <w:tcW w:w="1402" w:type="dxa"/>
            <w:tcBorders>
              <w:top w:val="single" w:sz="12" w:space="0" w:color="auto"/>
              <w:left w:val="single" w:sz="6" w:space="0" w:color="auto"/>
              <w:bottom w:val="single" w:sz="18" w:space="0" w:color="auto"/>
              <w:right w:val="single" w:sz="6" w:space="0" w:color="auto"/>
            </w:tcBorders>
            <w:vAlign w:val="center"/>
          </w:tcPr>
          <w:p w14:paraId="63680822" w14:textId="77777777" w:rsidR="004558FE" w:rsidRPr="002B004D" w:rsidRDefault="004558FE" w:rsidP="00895CB0">
            <w:pPr>
              <w:spacing w:before="20"/>
              <w:jc w:val="center"/>
              <w:rPr>
                <w:b/>
                <w:color w:val="000000"/>
                <w:sz w:val="24"/>
              </w:rPr>
            </w:pPr>
            <w:r w:rsidRPr="002B004D">
              <w:rPr>
                <w:b/>
                <w:bCs/>
                <w:color w:val="000000"/>
                <w:sz w:val="24"/>
                <w:szCs w:val="24"/>
              </w:rPr>
              <w:t>21 423</w:t>
            </w:r>
          </w:p>
        </w:tc>
        <w:tc>
          <w:tcPr>
            <w:tcW w:w="1622" w:type="dxa"/>
            <w:tcBorders>
              <w:top w:val="single" w:sz="12" w:space="0" w:color="auto"/>
              <w:left w:val="single" w:sz="6" w:space="0" w:color="auto"/>
              <w:bottom w:val="single" w:sz="18" w:space="0" w:color="auto"/>
              <w:right w:val="single" w:sz="6" w:space="0" w:color="auto"/>
            </w:tcBorders>
            <w:vAlign w:val="center"/>
          </w:tcPr>
          <w:p w14:paraId="290CFE28" w14:textId="77777777" w:rsidR="004558FE" w:rsidRPr="002B004D" w:rsidRDefault="004558FE" w:rsidP="00895CB0">
            <w:pPr>
              <w:spacing w:before="20"/>
              <w:jc w:val="center"/>
              <w:rPr>
                <w:b/>
                <w:color w:val="000000"/>
                <w:sz w:val="24"/>
              </w:rPr>
            </w:pPr>
            <w:r w:rsidRPr="002B004D">
              <w:rPr>
                <w:b/>
                <w:bCs/>
                <w:color w:val="000000"/>
                <w:sz w:val="24"/>
                <w:szCs w:val="24"/>
              </w:rPr>
              <w:t>100,0</w:t>
            </w:r>
          </w:p>
        </w:tc>
        <w:tc>
          <w:tcPr>
            <w:tcW w:w="1594" w:type="dxa"/>
            <w:tcBorders>
              <w:top w:val="single" w:sz="12" w:space="0" w:color="auto"/>
              <w:left w:val="single" w:sz="6" w:space="0" w:color="auto"/>
              <w:bottom w:val="single" w:sz="18" w:space="0" w:color="auto"/>
              <w:right w:val="single" w:sz="18" w:space="0" w:color="auto"/>
            </w:tcBorders>
            <w:vAlign w:val="center"/>
          </w:tcPr>
          <w:p w14:paraId="727F1D65" w14:textId="77777777" w:rsidR="004558FE" w:rsidRPr="002B004D" w:rsidRDefault="004558FE" w:rsidP="00895CB0">
            <w:pPr>
              <w:spacing w:before="20"/>
              <w:jc w:val="center"/>
              <w:rPr>
                <w:b/>
                <w:color w:val="000000"/>
                <w:sz w:val="24"/>
              </w:rPr>
            </w:pPr>
            <w:r w:rsidRPr="002B004D">
              <w:rPr>
                <w:b/>
                <w:bCs/>
                <w:color w:val="000000"/>
                <w:sz w:val="24"/>
                <w:szCs w:val="24"/>
              </w:rPr>
              <w:t>100,0</w:t>
            </w:r>
          </w:p>
        </w:tc>
      </w:tr>
    </w:tbl>
    <w:p w14:paraId="7F5D27F5" w14:textId="77777777" w:rsidR="004558FE" w:rsidRPr="002B004D" w:rsidRDefault="004558FE" w:rsidP="004558FE">
      <w:pPr>
        <w:spacing w:before="240"/>
        <w:ind w:firstLine="425"/>
        <w:jc w:val="both"/>
        <w:rPr>
          <w:i/>
          <w:color w:val="FF0000"/>
          <w:sz w:val="24"/>
          <w:szCs w:val="24"/>
        </w:rPr>
      </w:pPr>
      <w:r w:rsidRPr="002B004D">
        <w:rPr>
          <w:sz w:val="24"/>
          <w:szCs w:val="24"/>
        </w:rPr>
        <w:t>Následující tabulky poskytují srovnání celkových počtů vymezených ploch se shodným stavebním určením a jejich strukturou využití. Ve srovnání s údaji cenové mapy z roku 20</w:t>
      </w:r>
      <w:r>
        <w:rPr>
          <w:sz w:val="24"/>
          <w:szCs w:val="24"/>
        </w:rPr>
        <w:t>21</w:t>
      </w:r>
      <w:r w:rsidRPr="002B004D">
        <w:rPr>
          <w:sz w:val="24"/>
          <w:szCs w:val="24"/>
        </w:rPr>
        <w:t xml:space="preserve"> došlo k mírnému </w:t>
      </w:r>
      <w:r>
        <w:rPr>
          <w:sz w:val="24"/>
          <w:szCs w:val="24"/>
        </w:rPr>
        <w:t>poklesu</w:t>
      </w:r>
      <w:r w:rsidRPr="002B004D">
        <w:rPr>
          <w:sz w:val="24"/>
          <w:szCs w:val="24"/>
        </w:rPr>
        <w:t xml:space="preserve"> počtu oceněných skupin pozemků,</w:t>
      </w:r>
      <w:r>
        <w:rPr>
          <w:sz w:val="24"/>
          <w:szCs w:val="24"/>
        </w:rPr>
        <w:t xml:space="preserve"> s tím, že </w:t>
      </w:r>
      <w:r w:rsidRPr="002B004D">
        <w:rPr>
          <w:sz w:val="24"/>
          <w:szCs w:val="24"/>
        </w:rPr>
        <w:t>výměr</w:t>
      </w:r>
      <w:r>
        <w:rPr>
          <w:sz w:val="24"/>
          <w:szCs w:val="24"/>
        </w:rPr>
        <w:t>a</w:t>
      </w:r>
      <w:r w:rsidRPr="002B004D">
        <w:rPr>
          <w:sz w:val="24"/>
          <w:szCs w:val="24"/>
        </w:rPr>
        <w:t xml:space="preserve"> oceněného území </w:t>
      </w:r>
      <w:r>
        <w:rPr>
          <w:sz w:val="24"/>
          <w:szCs w:val="24"/>
        </w:rPr>
        <w:t xml:space="preserve">zůstala stejná </w:t>
      </w:r>
      <w:r w:rsidRPr="002B004D">
        <w:rPr>
          <w:sz w:val="24"/>
          <w:szCs w:val="24"/>
        </w:rPr>
        <w:t xml:space="preserve">(viz tabulky výše a níže uvedené). </w:t>
      </w:r>
      <w:r w:rsidRPr="002B004D">
        <w:rPr>
          <w:i/>
          <w:color w:val="FF0000"/>
          <w:sz w:val="24"/>
          <w:szCs w:val="24"/>
        </w:rPr>
        <w:t xml:space="preserve"> </w:t>
      </w:r>
    </w:p>
    <w:p w14:paraId="33D2D8B1" w14:textId="77777777" w:rsidR="004558FE" w:rsidRPr="00BD5CD6" w:rsidRDefault="004558FE" w:rsidP="004558FE">
      <w:pPr>
        <w:pStyle w:val="Nadpis2"/>
        <w:numPr>
          <w:ilvl w:val="0"/>
          <w:numId w:val="0"/>
        </w:numPr>
        <w:tabs>
          <w:tab w:val="clear" w:pos="576"/>
        </w:tabs>
        <w:spacing w:before="120"/>
      </w:pPr>
      <w:r w:rsidRPr="00BD5CD6">
        <w:t>Tab. - Rozdělení zastavěné plochy dle charakteru využití</w:t>
      </w:r>
    </w:p>
    <w:p w14:paraId="3ACFCD5A" w14:textId="77777777" w:rsidR="004558FE" w:rsidRPr="00BD5CD6" w:rsidRDefault="004558FE" w:rsidP="004558FE">
      <w:pPr>
        <w:pStyle w:val="Zhlav"/>
        <w:tabs>
          <w:tab w:val="clear" w:pos="4536"/>
          <w:tab w:val="clear" w:pos="9072"/>
        </w:tabs>
        <w:spacing w:before="120"/>
        <w:rPr>
          <w:sz w:val="24"/>
        </w:rPr>
      </w:pPr>
      <w:r>
        <w:t>CM 2021</w:t>
      </w:r>
    </w:p>
    <w:tbl>
      <w:tblPr>
        <w:tblW w:w="9620" w:type="dxa"/>
        <w:tblLayout w:type="fixed"/>
        <w:tblCellMar>
          <w:left w:w="30" w:type="dxa"/>
          <w:right w:w="30" w:type="dxa"/>
        </w:tblCellMar>
        <w:tblLook w:val="0000" w:firstRow="0" w:lastRow="0" w:firstColumn="0" w:lastColumn="0" w:noHBand="0" w:noVBand="0"/>
      </w:tblPr>
      <w:tblGrid>
        <w:gridCol w:w="3291"/>
        <w:gridCol w:w="1984"/>
        <w:gridCol w:w="1985"/>
        <w:gridCol w:w="1180"/>
        <w:gridCol w:w="1180"/>
      </w:tblGrid>
      <w:tr w:rsidR="004558FE" w:rsidRPr="00BD5CD6" w14:paraId="57D7771B" w14:textId="77777777" w:rsidTr="00895CB0">
        <w:trPr>
          <w:gridAfter w:val="2"/>
          <w:wAfter w:w="2360" w:type="dxa"/>
          <w:trHeight w:val="345"/>
        </w:trPr>
        <w:tc>
          <w:tcPr>
            <w:tcW w:w="3291" w:type="dxa"/>
            <w:vMerge w:val="restart"/>
            <w:tcBorders>
              <w:top w:val="single" w:sz="18" w:space="0" w:color="auto"/>
              <w:left w:val="single" w:sz="18" w:space="0" w:color="auto"/>
              <w:right w:val="single" w:sz="18" w:space="0" w:color="auto"/>
            </w:tcBorders>
            <w:shd w:val="pct10" w:color="auto" w:fill="FFFFFF"/>
            <w:vAlign w:val="center"/>
          </w:tcPr>
          <w:p w14:paraId="5105C15F" w14:textId="77777777" w:rsidR="004558FE" w:rsidRPr="00BD5CD6" w:rsidRDefault="004558FE" w:rsidP="00895CB0">
            <w:pPr>
              <w:spacing w:before="40"/>
              <w:jc w:val="center"/>
              <w:rPr>
                <w:b/>
                <w:color w:val="000000"/>
              </w:rPr>
            </w:pPr>
            <w:r w:rsidRPr="00BD5CD6">
              <w:rPr>
                <w:b/>
                <w:color w:val="000000"/>
                <w:sz w:val="24"/>
              </w:rPr>
              <w:t>Druh zastavěné plochy</w:t>
            </w:r>
          </w:p>
        </w:tc>
        <w:tc>
          <w:tcPr>
            <w:tcW w:w="3969" w:type="dxa"/>
            <w:gridSpan w:val="2"/>
            <w:tcBorders>
              <w:top w:val="single" w:sz="18" w:space="0" w:color="auto"/>
              <w:left w:val="single" w:sz="6" w:space="0" w:color="auto"/>
              <w:bottom w:val="single" w:sz="6" w:space="0" w:color="auto"/>
              <w:right w:val="single" w:sz="18" w:space="0" w:color="auto"/>
            </w:tcBorders>
            <w:shd w:val="pct10" w:color="auto" w:fill="FFFFFF"/>
            <w:vAlign w:val="center"/>
          </w:tcPr>
          <w:p w14:paraId="64D844E2" w14:textId="77777777" w:rsidR="004558FE" w:rsidRPr="00BD5CD6" w:rsidRDefault="004558FE" w:rsidP="00895CB0">
            <w:pPr>
              <w:pStyle w:val="Nadpis5"/>
              <w:numPr>
                <w:ilvl w:val="0"/>
                <w:numId w:val="0"/>
              </w:numPr>
              <w:tabs>
                <w:tab w:val="clear" w:pos="1008"/>
              </w:tabs>
              <w:spacing w:before="0"/>
              <w:rPr>
                <w:b/>
              </w:rPr>
            </w:pPr>
            <w:r w:rsidRPr="00BD5CD6">
              <w:rPr>
                <w:b/>
              </w:rPr>
              <w:t>Počet skupin obdobných pozemků</w:t>
            </w:r>
          </w:p>
        </w:tc>
      </w:tr>
      <w:tr w:rsidR="004558FE" w:rsidRPr="00BD5CD6" w14:paraId="6DDECD4B" w14:textId="77777777" w:rsidTr="00895CB0">
        <w:trPr>
          <w:gridAfter w:val="2"/>
          <w:wAfter w:w="2360" w:type="dxa"/>
          <w:trHeight w:val="345"/>
        </w:trPr>
        <w:tc>
          <w:tcPr>
            <w:tcW w:w="3291" w:type="dxa"/>
            <w:vMerge/>
            <w:tcBorders>
              <w:left w:val="single" w:sz="18" w:space="0" w:color="auto"/>
              <w:bottom w:val="single" w:sz="18" w:space="0" w:color="auto"/>
              <w:right w:val="single" w:sz="18" w:space="0" w:color="auto"/>
            </w:tcBorders>
            <w:shd w:val="pct10" w:color="auto" w:fill="FFFFFF"/>
          </w:tcPr>
          <w:p w14:paraId="00011AF5" w14:textId="77777777" w:rsidR="004558FE" w:rsidRPr="00BD5CD6" w:rsidRDefault="004558FE" w:rsidP="00895CB0">
            <w:pPr>
              <w:spacing w:before="40"/>
              <w:rPr>
                <w:b/>
                <w:color w:val="000000"/>
                <w:sz w:val="24"/>
              </w:rPr>
            </w:pPr>
          </w:p>
        </w:tc>
        <w:tc>
          <w:tcPr>
            <w:tcW w:w="1984" w:type="dxa"/>
            <w:tcBorders>
              <w:top w:val="single" w:sz="6" w:space="0" w:color="auto"/>
              <w:left w:val="single" w:sz="6" w:space="0" w:color="auto"/>
              <w:bottom w:val="single" w:sz="18" w:space="0" w:color="auto"/>
              <w:right w:val="single" w:sz="6" w:space="0" w:color="auto"/>
            </w:tcBorders>
            <w:shd w:val="pct10" w:color="auto" w:fill="FFFFFF"/>
          </w:tcPr>
          <w:p w14:paraId="4573DBCE" w14:textId="77777777" w:rsidR="004558FE" w:rsidRPr="00BD5CD6" w:rsidRDefault="004558FE" w:rsidP="00895CB0">
            <w:pPr>
              <w:spacing w:before="40"/>
              <w:jc w:val="center"/>
              <w:rPr>
                <w:b/>
                <w:color w:val="000000"/>
                <w:sz w:val="24"/>
              </w:rPr>
            </w:pPr>
            <w:r w:rsidRPr="00BD5CD6">
              <w:rPr>
                <w:b/>
                <w:color w:val="000000"/>
                <w:sz w:val="24"/>
              </w:rPr>
              <w:t xml:space="preserve">celkem </w:t>
            </w:r>
          </w:p>
        </w:tc>
        <w:tc>
          <w:tcPr>
            <w:tcW w:w="1985" w:type="dxa"/>
            <w:tcBorders>
              <w:top w:val="single" w:sz="6" w:space="0" w:color="auto"/>
              <w:left w:val="single" w:sz="6" w:space="0" w:color="auto"/>
              <w:bottom w:val="single" w:sz="18" w:space="0" w:color="auto"/>
              <w:right w:val="single" w:sz="18" w:space="0" w:color="auto"/>
            </w:tcBorders>
            <w:shd w:val="pct10" w:color="auto" w:fill="FFFFFF"/>
          </w:tcPr>
          <w:p w14:paraId="08C44D86" w14:textId="77777777" w:rsidR="004558FE" w:rsidRPr="00BD5CD6" w:rsidRDefault="004558FE" w:rsidP="00895CB0">
            <w:pPr>
              <w:spacing w:before="40"/>
              <w:jc w:val="center"/>
              <w:rPr>
                <w:b/>
                <w:color w:val="000000"/>
                <w:sz w:val="24"/>
              </w:rPr>
            </w:pPr>
            <w:r w:rsidRPr="00BD5CD6">
              <w:rPr>
                <w:b/>
                <w:color w:val="000000"/>
                <w:sz w:val="24"/>
              </w:rPr>
              <w:t>oceněných</w:t>
            </w:r>
          </w:p>
        </w:tc>
      </w:tr>
      <w:tr w:rsidR="004558FE" w:rsidRPr="00BD5CD6" w14:paraId="006DFE2E" w14:textId="77777777" w:rsidTr="00895CB0">
        <w:trPr>
          <w:trHeight w:val="345"/>
        </w:trPr>
        <w:tc>
          <w:tcPr>
            <w:tcW w:w="3291" w:type="dxa"/>
            <w:tcBorders>
              <w:top w:val="nil"/>
              <w:left w:val="single" w:sz="18" w:space="0" w:color="auto"/>
              <w:bottom w:val="single" w:sz="6" w:space="0" w:color="auto"/>
              <w:right w:val="single" w:sz="18" w:space="0" w:color="auto"/>
            </w:tcBorders>
          </w:tcPr>
          <w:p w14:paraId="17769841" w14:textId="77777777" w:rsidR="004558FE" w:rsidRPr="00BD5CD6" w:rsidRDefault="004558FE" w:rsidP="00895CB0">
            <w:pPr>
              <w:spacing w:before="40"/>
              <w:rPr>
                <w:color w:val="000000"/>
                <w:sz w:val="24"/>
              </w:rPr>
            </w:pPr>
            <w:r w:rsidRPr="00BD5CD6">
              <w:rPr>
                <w:color w:val="000000"/>
                <w:sz w:val="24"/>
              </w:rPr>
              <w:t>průmyslové objekty</w:t>
            </w:r>
          </w:p>
        </w:tc>
        <w:tc>
          <w:tcPr>
            <w:tcW w:w="1984" w:type="dxa"/>
            <w:tcBorders>
              <w:top w:val="nil"/>
              <w:left w:val="nil"/>
              <w:bottom w:val="single" w:sz="6" w:space="0" w:color="auto"/>
              <w:right w:val="single" w:sz="6" w:space="0" w:color="auto"/>
            </w:tcBorders>
            <w:vAlign w:val="bottom"/>
          </w:tcPr>
          <w:p w14:paraId="3BBBBF91" w14:textId="77777777" w:rsidR="004558FE" w:rsidRPr="00BD5CD6" w:rsidRDefault="004558FE" w:rsidP="00895CB0">
            <w:pPr>
              <w:spacing w:before="20"/>
              <w:jc w:val="center"/>
              <w:rPr>
                <w:color w:val="000000"/>
                <w:sz w:val="24"/>
                <w:szCs w:val="24"/>
              </w:rPr>
            </w:pPr>
            <w:r>
              <w:rPr>
                <w:color w:val="000000"/>
                <w:sz w:val="24"/>
                <w:szCs w:val="24"/>
              </w:rPr>
              <w:t>448</w:t>
            </w:r>
          </w:p>
        </w:tc>
        <w:tc>
          <w:tcPr>
            <w:tcW w:w="1985" w:type="dxa"/>
            <w:tcBorders>
              <w:top w:val="nil"/>
              <w:left w:val="single" w:sz="6" w:space="0" w:color="auto"/>
              <w:bottom w:val="single" w:sz="6" w:space="0" w:color="auto"/>
              <w:right w:val="single" w:sz="18" w:space="0" w:color="auto"/>
            </w:tcBorders>
            <w:vAlign w:val="bottom"/>
          </w:tcPr>
          <w:p w14:paraId="2CB1023B" w14:textId="77777777" w:rsidR="004558FE" w:rsidRPr="00BD5CD6" w:rsidRDefault="004558FE" w:rsidP="00895CB0">
            <w:pPr>
              <w:spacing w:before="20"/>
              <w:jc w:val="center"/>
              <w:rPr>
                <w:color w:val="000000"/>
                <w:sz w:val="24"/>
                <w:szCs w:val="24"/>
              </w:rPr>
            </w:pPr>
            <w:r w:rsidRPr="00BD5CD6">
              <w:rPr>
                <w:color w:val="000000"/>
                <w:sz w:val="24"/>
                <w:szCs w:val="24"/>
              </w:rPr>
              <w:t>4</w:t>
            </w:r>
            <w:r>
              <w:rPr>
                <w:color w:val="000000"/>
                <w:sz w:val="24"/>
                <w:szCs w:val="24"/>
              </w:rPr>
              <w:t>05</w:t>
            </w:r>
          </w:p>
        </w:tc>
        <w:tc>
          <w:tcPr>
            <w:tcW w:w="1180" w:type="dxa"/>
            <w:vAlign w:val="bottom"/>
          </w:tcPr>
          <w:p w14:paraId="1DAF6222" w14:textId="77777777" w:rsidR="004558FE" w:rsidRPr="00BD5CD6" w:rsidRDefault="004558FE" w:rsidP="00895CB0">
            <w:pPr>
              <w:jc w:val="center"/>
              <w:rPr>
                <w:color w:val="000000"/>
                <w:sz w:val="22"/>
                <w:szCs w:val="22"/>
              </w:rPr>
            </w:pPr>
          </w:p>
        </w:tc>
        <w:tc>
          <w:tcPr>
            <w:tcW w:w="1180" w:type="dxa"/>
            <w:vAlign w:val="bottom"/>
          </w:tcPr>
          <w:p w14:paraId="6C547DE0" w14:textId="77777777" w:rsidR="004558FE" w:rsidRPr="00BD5CD6" w:rsidRDefault="004558FE" w:rsidP="00895CB0">
            <w:pPr>
              <w:jc w:val="center"/>
              <w:rPr>
                <w:color w:val="000000"/>
                <w:sz w:val="22"/>
                <w:szCs w:val="22"/>
              </w:rPr>
            </w:pPr>
          </w:p>
        </w:tc>
      </w:tr>
      <w:tr w:rsidR="004558FE" w:rsidRPr="00BD5CD6" w14:paraId="7EBC5729" w14:textId="77777777" w:rsidTr="00895CB0">
        <w:trPr>
          <w:trHeight w:val="345"/>
        </w:trPr>
        <w:tc>
          <w:tcPr>
            <w:tcW w:w="3291" w:type="dxa"/>
            <w:tcBorders>
              <w:top w:val="single" w:sz="6" w:space="0" w:color="auto"/>
              <w:left w:val="single" w:sz="18" w:space="0" w:color="auto"/>
              <w:bottom w:val="single" w:sz="6" w:space="0" w:color="auto"/>
              <w:right w:val="single" w:sz="18" w:space="0" w:color="auto"/>
            </w:tcBorders>
          </w:tcPr>
          <w:p w14:paraId="16BCCB4F" w14:textId="77777777" w:rsidR="004558FE" w:rsidRPr="00BD5CD6" w:rsidRDefault="004558FE" w:rsidP="00895CB0">
            <w:pPr>
              <w:spacing w:before="40"/>
              <w:rPr>
                <w:color w:val="000000"/>
                <w:sz w:val="24"/>
              </w:rPr>
            </w:pPr>
            <w:r w:rsidRPr="00BD5CD6">
              <w:rPr>
                <w:color w:val="000000"/>
                <w:sz w:val="24"/>
              </w:rPr>
              <w:t>zemědělské a lesní objekty</w:t>
            </w:r>
          </w:p>
        </w:tc>
        <w:tc>
          <w:tcPr>
            <w:tcW w:w="1984" w:type="dxa"/>
            <w:tcBorders>
              <w:top w:val="single" w:sz="6" w:space="0" w:color="auto"/>
              <w:left w:val="nil"/>
              <w:bottom w:val="single" w:sz="6" w:space="0" w:color="auto"/>
              <w:right w:val="single" w:sz="6" w:space="0" w:color="auto"/>
            </w:tcBorders>
            <w:vAlign w:val="bottom"/>
          </w:tcPr>
          <w:p w14:paraId="63D049B3" w14:textId="77777777" w:rsidR="004558FE" w:rsidRPr="00BD5CD6" w:rsidRDefault="004558FE" w:rsidP="00895CB0">
            <w:pPr>
              <w:spacing w:before="20"/>
              <w:jc w:val="center"/>
              <w:rPr>
                <w:color w:val="000000"/>
                <w:sz w:val="24"/>
                <w:szCs w:val="24"/>
              </w:rPr>
            </w:pPr>
            <w:r w:rsidRPr="00BD5CD6">
              <w:rPr>
                <w:color w:val="000000"/>
                <w:sz w:val="24"/>
                <w:szCs w:val="24"/>
              </w:rPr>
              <w:t>37</w:t>
            </w:r>
          </w:p>
        </w:tc>
        <w:tc>
          <w:tcPr>
            <w:tcW w:w="1985" w:type="dxa"/>
            <w:tcBorders>
              <w:top w:val="single" w:sz="6" w:space="0" w:color="auto"/>
              <w:left w:val="single" w:sz="6" w:space="0" w:color="auto"/>
              <w:bottom w:val="single" w:sz="6" w:space="0" w:color="auto"/>
              <w:right w:val="single" w:sz="18" w:space="0" w:color="auto"/>
            </w:tcBorders>
            <w:vAlign w:val="bottom"/>
          </w:tcPr>
          <w:p w14:paraId="48A83F9E" w14:textId="77777777" w:rsidR="004558FE" w:rsidRPr="00BD5CD6" w:rsidRDefault="004558FE" w:rsidP="00895CB0">
            <w:pPr>
              <w:spacing w:before="20"/>
              <w:jc w:val="center"/>
              <w:rPr>
                <w:color w:val="000000"/>
                <w:sz w:val="24"/>
                <w:szCs w:val="24"/>
              </w:rPr>
            </w:pPr>
            <w:r w:rsidRPr="00BD5CD6">
              <w:rPr>
                <w:color w:val="000000"/>
                <w:sz w:val="24"/>
                <w:szCs w:val="24"/>
              </w:rPr>
              <w:t>36</w:t>
            </w:r>
          </w:p>
        </w:tc>
        <w:tc>
          <w:tcPr>
            <w:tcW w:w="1180" w:type="dxa"/>
            <w:vAlign w:val="bottom"/>
          </w:tcPr>
          <w:p w14:paraId="799D5BA0" w14:textId="77777777" w:rsidR="004558FE" w:rsidRPr="00BD5CD6" w:rsidRDefault="004558FE" w:rsidP="00895CB0">
            <w:pPr>
              <w:jc w:val="center"/>
              <w:rPr>
                <w:color w:val="000000"/>
                <w:sz w:val="22"/>
                <w:szCs w:val="22"/>
              </w:rPr>
            </w:pPr>
          </w:p>
        </w:tc>
        <w:tc>
          <w:tcPr>
            <w:tcW w:w="1180" w:type="dxa"/>
            <w:vAlign w:val="bottom"/>
          </w:tcPr>
          <w:p w14:paraId="24D0F10D" w14:textId="77777777" w:rsidR="004558FE" w:rsidRPr="00BD5CD6" w:rsidRDefault="004558FE" w:rsidP="00895CB0">
            <w:pPr>
              <w:jc w:val="center"/>
              <w:rPr>
                <w:color w:val="000000"/>
                <w:sz w:val="22"/>
                <w:szCs w:val="22"/>
              </w:rPr>
            </w:pPr>
          </w:p>
        </w:tc>
      </w:tr>
      <w:tr w:rsidR="004558FE" w:rsidRPr="00BD5CD6" w14:paraId="7A34C25D" w14:textId="77777777" w:rsidTr="00895CB0">
        <w:trPr>
          <w:trHeight w:val="345"/>
        </w:trPr>
        <w:tc>
          <w:tcPr>
            <w:tcW w:w="3291" w:type="dxa"/>
            <w:tcBorders>
              <w:top w:val="single" w:sz="6" w:space="0" w:color="auto"/>
              <w:left w:val="single" w:sz="18" w:space="0" w:color="auto"/>
              <w:bottom w:val="single" w:sz="6" w:space="0" w:color="auto"/>
              <w:right w:val="single" w:sz="18" w:space="0" w:color="auto"/>
            </w:tcBorders>
          </w:tcPr>
          <w:p w14:paraId="1A68BF20" w14:textId="77777777" w:rsidR="004558FE" w:rsidRPr="00BD5CD6" w:rsidRDefault="004558FE" w:rsidP="00895CB0">
            <w:pPr>
              <w:spacing w:before="40"/>
              <w:rPr>
                <w:color w:val="000000"/>
                <w:sz w:val="24"/>
              </w:rPr>
            </w:pPr>
            <w:r w:rsidRPr="00BD5CD6">
              <w:rPr>
                <w:color w:val="000000"/>
                <w:sz w:val="24"/>
              </w:rPr>
              <w:t>občanská vybavenost</w:t>
            </w:r>
          </w:p>
        </w:tc>
        <w:tc>
          <w:tcPr>
            <w:tcW w:w="1984" w:type="dxa"/>
            <w:tcBorders>
              <w:top w:val="single" w:sz="6" w:space="0" w:color="auto"/>
              <w:left w:val="nil"/>
              <w:bottom w:val="single" w:sz="6" w:space="0" w:color="auto"/>
              <w:right w:val="single" w:sz="6" w:space="0" w:color="auto"/>
            </w:tcBorders>
            <w:vAlign w:val="bottom"/>
          </w:tcPr>
          <w:p w14:paraId="3F78F26F" w14:textId="77777777" w:rsidR="004558FE" w:rsidRPr="00BD5CD6" w:rsidRDefault="004558FE" w:rsidP="00895CB0">
            <w:pPr>
              <w:spacing w:before="20"/>
              <w:jc w:val="center"/>
              <w:rPr>
                <w:color w:val="000000"/>
                <w:sz w:val="24"/>
                <w:szCs w:val="24"/>
              </w:rPr>
            </w:pPr>
            <w:r>
              <w:rPr>
                <w:color w:val="000000"/>
                <w:sz w:val="24"/>
                <w:szCs w:val="24"/>
              </w:rPr>
              <w:t>1 096</w:t>
            </w:r>
          </w:p>
        </w:tc>
        <w:tc>
          <w:tcPr>
            <w:tcW w:w="1985" w:type="dxa"/>
            <w:tcBorders>
              <w:top w:val="single" w:sz="6" w:space="0" w:color="auto"/>
              <w:left w:val="single" w:sz="6" w:space="0" w:color="auto"/>
              <w:bottom w:val="single" w:sz="6" w:space="0" w:color="auto"/>
              <w:right w:val="single" w:sz="18" w:space="0" w:color="auto"/>
            </w:tcBorders>
            <w:vAlign w:val="bottom"/>
          </w:tcPr>
          <w:p w14:paraId="1DF974ED" w14:textId="77777777" w:rsidR="004558FE" w:rsidRPr="00BD5CD6" w:rsidRDefault="004558FE" w:rsidP="00895CB0">
            <w:pPr>
              <w:spacing w:before="20"/>
              <w:jc w:val="center"/>
              <w:rPr>
                <w:color w:val="000000"/>
                <w:sz w:val="24"/>
                <w:szCs w:val="24"/>
              </w:rPr>
            </w:pPr>
            <w:r>
              <w:rPr>
                <w:color w:val="000000"/>
                <w:sz w:val="24"/>
                <w:szCs w:val="24"/>
              </w:rPr>
              <w:t>739</w:t>
            </w:r>
          </w:p>
        </w:tc>
        <w:tc>
          <w:tcPr>
            <w:tcW w:w="1180" w:type="dxa"/>
            <w:vAlign w:val="bottom"/>
          </w:tcPr>
          <w:p w14:paraId="06077175" w14:textId="77777777" w:rsidR="004558FE" w:rsidRPr="00BD5CD6" w:rsidRDefault="004558FE" w:rsidP="00895CB0">
            <w:pPr>
              <w:jc w:val="center"/>
              <w:rPr>
                <w:color w:val="000000"/>
                <w:sz w:val="22"/>
                <w:szCs w:val="22"/>
              </w:rPr>
            </w:pPr>
          </w:p>
        </w:tc>
        <w:tc>
          <w:tcPr>
            <w:tcW w:w="1180" w:type="dxa"/>
            <w:vAlign w:val="bottom"/>
          </w:tcPr>
          <w:p w14:paraId="6698424F" w14:textId="77777777" w:rsidR="004558FE" w:rsidRPr="00BD5CD6" w:rsidRDefault="004558FE" w:rsidP="00895CB0">
            <w:pPr>
              <w:jc w:val="center"/>
              <w:rPr>
                <w:color w:val="000000"/>
                <w:sz w:val="22"/>
                <w:szCs w:val="22"/>
              </w:rPr>
            </w:pPr>
          </w:p>
        </w:tc>
      </w:tr>
      <w:tr w:rsidR="004558FE" w:rsidRPr="00BD5CD6" w14:paraId="5B0360B5" w14:textId="77777777" w:rsidTr="00895CB0">
        <w:trPr>
          <w:trHeight w:val="345"/>
        </w:trPr>
        <w:tc>
          <w:tcPr>
            <w:tcW w:w="3291" w:type="dxa"/>
            <w:tcBorders>
              <w:top w:val="single" w:sz="6" w:space="0" w:color="auto"/>
              <w:left w:val="single" w:sz="18" w:space="0" w:color="auto"/>
              <w:bottom w:val="single" w:sz="6" w:space="0" w:color="auto"/>
              <w:right w:val="single" w:sz="18" w:space="0" w:color="auto"/>
            </w:tcBorders>
          </w:tcPr>
          <w:p w14:paraId="551158AE" w14:textId="77777777" w:rsidR="004558FE" w:rsidRPr="00BD5CD6" w:rsidRDefault="004558FE" w:rsidP="00895CB0">
            <w:pPr>
              <w:spacing w:before="40"/>
              <w:rPr>
                <w:color w:val="000000"/>
                <w:sz w:val="24"/>
              </w:rPr>
            </w:pPr>
            <w:r w:rsidRPr="00BD5CD6">
              <w:rPr>
                <w:color w:val="000000"/>
                <w:sz w:val="24"/>
              </w:rPr>
              <w:t>ostatní stavební objekty - garáže</w:t>
            </w:r>
          </w:p>
        </w:tc>
        <w:tc>
          <w:tcPr>
            <w:tcW w:w="1984" w:type="dxa"/>
            <w:tcBorders>
              <w:top w:val="single" w:sz="6" w:space="0" w:color="auto"/>
              <w:left w:val="nil"/>
              <w:bottom w:val="single" w:sz="6" w:space="0" w:color="auto"/>
              <w:right w:val="single" w:sz="6" w:space="0" w:color="auto"/>
            </w:tcBorders>
            <w:vAlign w:val="bottom"/>
          </w:tcPr>
          <w:p w14:paraId="1583DE76" w14:textId="77777777" w:rsidR="004558FE" w:rsidRPr="00BD5CD6" w:rsidRDefault="004558FE" w:rsidP="00895CB0">
            <w:pPr>
              <w:spacing w:before="20"/>
              <w:jc w:val="center"/>
              <w:rPr>
                <w:color w:val="000000"/>
                <w:sz w:val="24"/>
                <w:szCs w:val="24"/>
              </w:rPr>
            </w:pPr>
            <w:r w:rsidRPr="00BD5CD6">
              <w:rPr>
                <w:color w:val="000000"/>
                <w:sz w:val="24"/>
                <w:szCs w:val="24"/>
              </w:rPr>
              <w:t>163</w:t>
            </w:r>
          </w:p>
        </w:tc>
        <w:tc>
          <w:tcPr>
            <w:tcW w:w="1985" w:type="dxa"/>
            <w:tcBorders>
              <w:top w:val="single" w:sz="6" w:space="0" w:color="auto"/>
              <w:left w:val="single" w:sz="6" w:space="0" w:color="auto"/>
              <w:bottom w:val="single" w:sz="6" w:space="0" w:color="auto"/>
              <w:right w:val="single" w:sz="18" w:space="0" w:color="auto"/>
            </w:tcBorders>
            <w:vAlign w:val="bottom"/>
          </w:tcPr>
          <w:p w14:paraId="7EFA00C6" w14:textId="77777777" w:rsidR="004558FE" w:rsidRPr="00BD5CD6" w:rsidRDefault="004558FE" w:rsidP="00895CB0">
            <w:pPr>
              <w:spacing w:before="20"/>
              <w:jc w:val="center"/>
              <w:rPr>
                <w:color w:val="000000"/>
                <w:sz w:val="24"/>
                <w:szCs w:val="24"/>
              </w:rPr>
            </w:pPr>
            <w:r w:rsidRPr="00BD5CD6">
              <w:rPr>
                <w:color w:val="000000"/>
                <w:sz w:val="24"/>
                <w:szCs w:val="24"/>
              </w:rPr>
              <w:t>163</w:t>
            </w:r>
          </w:p>
        </w:tc>
        <w:tc>
          <w:tcPr>
            <w:tcW w:w="1180" w:type="dxa"/>
            <w:vAlign w:val="bottom"/>
          </w:tcPr>
          <w:p w14:paraId="57FC96B4" w14:textId="77777777" w:rsidR="004558FE" w:rsidRPr="00BD5CD6" w:rsidRDefault="004558FE" w:rsidP="00895CB0">
            <w:pPr>
              <w:jc w:val="center"/>
              <w:rPr>
                <w:color w:val="000000"/>
                <w:sz w:val="22"/>
                <w:szCs w:val="22"/>
              </w:rPr>
            </w:pPr>
          </w:p>
        </w:tc>
        <w:tc>
          <w:tcPr>
            <w:tcW w:w="1180" w:type="dxa"/>
            <w:vAlign w:val="bottom"/>
          </w:tcPr>
          <w:p w14:paraId="102E4B17" w14:textId="77777777" w:rsidR="004558FE" w:rsidRPr="00BD5CD6" w:rsidRDefault="004558FE" w:rsidP="00895CB0">
            <w:pPr>
              <w:jc w:val="center"/>
              <w:rPr>
                <w:color w:val="000000"/>
                <w:sz w:val="22"/>
                <w:szCs w:val="22"/>
              </w:rPr>
            </w:pPr>
          </w:p>
        </w:tc>
      </w:tr>
      <w:tr w:rsidR="004558FE" w:rsidRPr="00BD5CD6" w14:paraId="6C8F1271" w14:textId="77777777" w:rsidTr="00895CB0">
        <w:trPr>
          <w:trHeight w:val="345"/>
        </w:trPr>
        <w:tc>
          <w:tcPr>
            <w:tcW w:w="3291" w:type="dxa"/>
            <w:tcBorders>
              <w:top w:val="single" w:sz="6" w:space="0" w:color="auto"/>
              <w:left w:val="single" w:sz="18" w:space="0" w:color="auto"/>
              <w:bottom w:val="single" w:sz="6" w:space="0" w:color="auto"/>
              <w:right w:val="single" w:sz="18" w:space="0" w:color="auto"/>
            </w:tcBorders>
          </w:tcPr>
          <w:p w14:paraId="2BA1F82A" w14:textId="77777777" w:rsidR="004558FE" w:rsidRPr="00BD5CD6" w:rsidRDefault="004558FE" w:rsidP="00895CB0">
            <w:pPr>
              <w:spacing w:before="40"/>
              <w:rPr>
                <w:color w:val="000000"/>
                <w:sz w:val="24"/>
              </w:rPr>
            </w:pPr>
            <w:r w:rsidRPr="00BD5CD6">
              <w:rPr>
                <w:color w:val="000000"/>
                <w:sz w:val="24"/>
              </w:rPr>
              <w:t>technická vybavenost</w:t>
            </w:r>
          </w:p>
        </w:tc>
        <w:tc>
          <w:tcPr>
            <w:tcW w:w="1984" w:type="dxa"/>
            <w:tcBorders>
              <w:top w:val="single" w:sz="6" w:space="0" w:color="auto"/>
              <w:left w:val="nil"/>
              <w:bottom w:val="single" w:sz="6" w:space="0" w:color="auto"/>
              <w:right w:val="single" w:sz="6" w:space="0" w:color="auto"/>
            </w:tcBorders>
            <w:vAlign w:val="bottom"/>
          </w:tcPr>
          <w:p w14:paraId="7FBA391F" w14:textId="77777777" w:rsidR="004558FE" w:rsidRPr="00BD5CD6" w:rsidRDefault="004558FE" w:rsidP="00895CB0">
            <w:pPr>
              <w:spacing w:before="20"/>
              <w:jc w:val="center"/>
              <w:rPr>
                <w:color w:val="000000"/>
                <w:sz w:val="24"/>
                <w:szCs w:val="24"/>
              </w:rPr>
            </w:pPr>
            <w:r>
              <w:rPr>
                <w:color w:val="000000"/>
                <w:sz w:val="24"/>
                <w:szCs w:val="24"/>
              </w:rPr>
              <w:t>70</w:t>
            </w:r>
          </w:p>
        </w:tc>
        <w:tc>
          <w:tcPr>
            <w:tcW w:w="1985" w:type="dxa"/>
            <w:tcBorders>
              <w:top w:val="single" w:sz="6" w:space="0" w:color="auto"/>
              <w:left w:val="single" w:sz="6" w:space="0" w:color="auto"/>
              <w:bottom w:val="single" w:sz="6" w:space="0" w:color="auto"/>
              <w:right w:val="single" w:sz="18" w:space="0" w:color="auto"/>
            </w:tcBorders>
            <w:vAlign w:val="bottom"/>
          </w:tcPr>
          <w:p w14:paraId="262E609C" w14:textId="77777777" w:rsidR="004558FE" w:rsidRPr="00BD5CD6" w:rsidRDefault="004558FE" w:rsidP="00895CB0">
            <w:pPr>
              <w:spacing w:before="20"/>
              <w:jc w:val="center"/>
              <w:rPr>
                <w:color w:val="000000"/>
                <w:sz w:val="24"/>
                <w:szCs w:val="24"/>
              </w:rPr>
            </w:pPr>
            <w:r>
              <w:rPr>
                <w:color w:val="000000"/>
                <w:sz w:val="24"/>
                <w:szCs w:val="24"/>
              </w:rPr>
              <w:t>32</w:t>
            </w:r>
          </w:p>
        </w:tc>
        <w:tc>
          <w:tcPr>
            <w:tcW w:w="1180" w:type="dxa"/>
            <w:vAlign w:val="bottom"/>
          </w:tcPr>
          <w:p w14:paraId="5C3D0E5F" w14:textId="77777777" w:rsidR="004558FE" w:rsidRPr="00BD5CD6" w:rsidRDefault="004558FE" w:rsidP="00895CB0">
            <w:pPr>
              <w:jc w:val="center"/>
              <w:rPr>
                <w:color w:val="000000"/>
                <w:sz w:val="22"/>
                <w:szCs w:val="22"/>
              </w:rPr>
            </w:pPr>
          </w:p>
        </w:tc>
        <w:tc>
          <w:tcPr>
            <w:tcW w:w="1180" w:type="dxa"/>
            <w:vAlign w:val="bottom"/>
          </w:tcPr>
          <w:p w14:paraId="2D5D3A37" w14:textId="77777777" w:rsidR="004558FE" w:rsidRPr="00BD5CD6" w:rsidRDefault="004558FE" w:rsidP="00895CB0">
            <w:pPr>
              <w:jc w:val="center"/>
              <w:rPr>
                <w:color w:val="000000"/>
                <w:sz w:val="22"/>
                <w:szCs w:val="22"/>
              </w:rPr>
            </w:pPr>
          </w:p>
        </w:tc>
      </w:tr>
      <w:tr w:rsidR="004558FE" w:rsidRPr="00BD5CD6" w14:paraId="28988D91" w14:textId="77777777" w:rsidTr="00895CB0">
        <w:trPr>
          <w:trHeight w:val="345"/>
        </w:trPr>
        <w:tc>
          <w:tcPr>
            <w:tcW w:w="3291" w:type="dxa"/>
            <w:tcBorders>
              <w:top w:val="single" w:sz="6" w:space="0" w:color="auto"/>
              <w:left w:val="single" w:sz="18" w:space="0" w:color="auto"/>
              <w:bottom w:val="single" w:sz="6" w:space="0" w:color="auto"/>
              <w:right w:val="single" w:sz="18" w:space="0" w:color="auto"/>
            </w:tcBorders>
          </w:tcPr>
          <w:p w14:paraId="47C3574F" w14:textId="77777777" w:rsidR="004558FE" w:rsidRPr="00BD5CD6" w:rsidRDefault="004558FE" w:rsidP="00895CB0">
            <w:pPr>
              <w:spacing w:before="40"/>
              <w:rPr>
                <w:color w:val="000000"/>
                <w:sz w:val="24"/>
              </w:rPr>
            </w:pPr>
            <w:r w:rsidRPr="00BD5CD6">
              <w:rPr>
                <w:color w:val="000000"/>
                <w:sz w:val="24"/>
              </w:rPr>
              <w:t xml:space="preserve">objekty bydlení </w:t>
            </w:r>
          </w:p>
        </w:tc>
        <w:tc>
          <w:tcPr>
            <w:tcW w:w="1984" w:type="dxa"/>
            <w:tcBorders>
              <w:top w:val="single" w:sz="6" w:space="0" w:color="auto"/>
              <w:left w:val="nil"/>
              <w:bottom w:val="single" w:sz="6" w:space="0" w:color="auto"/>
              <w:right w:val="single" w:sz="6" w:space="0" w:color="auto"/>
            </w:tcBorders>
            <w:vAlign w:val="bottom"/>
          </w:tcPr>
          <w:p w14:paraId="2BF95EDF" w14:textId="77777777" w:rsidR="004558FE" w:rsidRPr="00BD5CD6" w:rsidRDefault="004558FE" w:rsidP="00895CB0">
            <w:pPr>
              <w:spacing w:before="20"/>
              <w:jc w:val="center"/>
              <w:rPr>
                <w:color w:val="000000"/>
                <w:sz w:val="24"/>
                <w:szCs w:val="24"/>
              </w:rPr>
            </w:pPr>
            <w:r>
              <w:rPr>
                <w:color w:val="000000"/>
                <w:sz w:val="24"/>
                <w:szCs w:val="24"/>
              </w:rPr>
              <w:t>1 416</w:t>
            </w:r>
          </w:p>
        </w:tc>
        <w:tc>
          <w:tcPr>
            <w:tcW w:w="1985" w:type="dxa"/>
            <w:tcBorders>
              <w:top w:val="single" w:sz="6" w:space="0" w:color="auto"/>
              <w:left w:val="single" w:sz="6" w:space="0" w:color="auto"/>
              <w:bottom w:val="single" w:sz="6" w:space="0" w:color="auto"/>
              <w:right w:val="single" w:sz="18" w:space="0" w:color="auto"/>
            </w:tcBorders>
            <w:vAlign w:val="bottom"/>
          </w:tcPr>
          <w:p w14:paraId="18B95D71" w14:textId="77777777" w:rsidR="004558FE" w:rsidRPr="00BD5CD6" w:rsidRDefault="004558FE" w:rsidP="00895CB0">
            <w:pPr>
              <w:spacing w:before="20"/>
              <w:jc w:val="center"/>
              <w:rPr>
                <w:color w:val="000000"/>
                <w:sz w:val="24"/>
                <w:szCs w:val="24"/>
              </w:rPr>
            </w:pPr>
            <w:r w:rsidRPr="00BD5CD6">
              <w:rPr>
                <w:color w:val="000000"/>
                <w:sz w:val="24"/>
                <w:szCs w:val="24"/>
              </w:rPr>
              <w:t>1 407</w:t>
            </w:r>
          </w:p>
        </w:tc>
        <w:tc>
          <w:tcPr>
            <w:tcW w:w="1180" w:type="dxa"/>
            <w:vAlign w:val="bottom"/>
          </w:tcPr>
          <w:p w14:paraId="1A427605" w14:textId="77777777" w:rsidR="004558FE" w:rsidRPr="00BD5CD6" w:rsidRDefault="004558FE" w:rsidP="00895CB0">
            <w:pPr>
              <w:jc w:val="center"/>
              <w:rPr>
                <w:color w:val="000000"/>
                <w:sz w:val="22"/>
                <w:szCs w:val="22"/>
              </w:rPr>
            </w:pPr>
          </w:p>
        </w:tc>
        <w:tc>
          <w:tcPr>
            <w:tcW w:w="1180" w:type="dxa"/>
            <w:vAlign w:val="bottom"/>
          </w:tcPr>
          <w:p w14:paraId="02B6599D" w14:textId="77777777" w:rsidR="004558FE" w:rsidRPr="00BD5CD6" w:rsidRDefault="004558FE" w:rsidP="00895CB0">
            <w:pPr>
              <w:jc w:val="center"/>
              <w:rPr>
                <w:color w:val="000000"/>
                <w:sz w:val="22"/>
                <w:szCs w:val="22"/>
              </w:rPr>
            </w:pPr>
          </w:p>
        </w:tc>
      </w:tr>
      <w:tr w:rsidR="004558FE" w:rsidRPr="009116E6" w14:paraId="329A4A7D" w14:textId="77777777" w:rsidTr="00895CB0">
        <w:trPr>
          <w:gridAfter w:val="2"/>
          <w:wAfter w:w="2360" w:type="dxa"/>
          <w:trHeight w:val="345"/>
        </w:trPr>
        <w:tc>
          <w:tcPr>
            <w:tcW w:w="3291" w:type="dxa"/>
            <w:tcBorders>
              <w:top w:val="single" w:sz="12" w:space="0" w:color="auto"/>
              <w:left w:val="single" w:sz="18" w:space="0" w:color="auto"/>
              <w:bottom w:val="single" w:sz="18" w:space="0" w:color="auto"/>
              <w:right w:val="single" w:sz="18" w:space="0" w:color="auto"/>
            </w:tcBorders>
          </w:tcPr>
          <w:p w14:paraId="7F7BA99F" w14:textId="77777777" w:rsidR="004558FE" w:rsidRPr="00BD5CD6" w:rsidRDefault="004558FE" w:rsidP="00895CB0">
            <w:pPr>
              <w:spacing w:before="40"/>
              <w:rPr>
                <w:b/>
                <w:color w:val="000000"/>
                <w:sz w:val="24"/>
              </w:rPr>
            </w:pPr>
            <w:r w:rsidRPr="00BD5CD6">
              <w:rPr>
                <w:b/>
                <w:color w:val="000000"/>
                <w:sz w:val="24"/>
              </w:rPr>
              <w:t>Celkem</w:t>
            </w:r>
          </w:p>
        </w:tc>
        <w:tc>
          <w:tcPr>
            <w:tcW w:w="1984" w:type="dxa"/>
            <w:tcBorders>
              <w:top w:val="single" w:sz="12" w:space="0" w:color="auto"/>
              <w:left w:val="nil"/>
              <w:bottom w:val="single" w:sz="18" w:space="0" w:color="auto"/>
              <w:right w:val="single" w:sz="6" w:space="0" w:color="auto"/>
            </w:tcBorders>
            <w:vAlign w:val="bottom"/>
          </w:tcPr>
          <w:p w14:paraId="46274793" w14:textId="77777777" w:rsidR="004558FE" w:rsidRPr="00BD5CD6" w:rsidRDefault="004558FE" w:rsidP="00895CB0">
            <w:pPr>
              <w:spacing w:before="40"/>
              <w:jc w:val="center"/>
              <w:rPr>
                <w:b/>
                <w:color w:val="000000"/>
                <w:sz w:val="24"/>
              </w:rPr>
            </w:pPr>
            <w:r w:rsidRPr="00BD5CD6">
              <w:rPr>
                <w:b/>
                <w:color w:val="000000"/>
                <w:sz w:val="24"/>
              </w:rPr>
              <w:t xml:space="preserve">3 </w:t>
            </w:r>
            <w:r>
              <w:rPr>
                <w:b/>
                <w:color w:val="000000"/>
                <w:sz w:val="24"/>
              </w:rPr>
              <w:t>230</w:t>
            </w:r>
          </w:p>
        </w:tc>
        <w:tc>
          <w:tcPr>
            <w:tcW w:w="1985" w:type="dxa"/>
            <w:tcBorders>
              <w:top w:val="single" w:sz="12" w:space="0" w:color="auto"/>
              <w:left w:val="nil"/>
              <w:bottom w:val="single" w:sz="18" w:space="0" w:color="auto"/>
              <w:right w:val="single" w:sz="18" w:space="0" w:color="auto"/>
            </w:tcBorders>
            <w:vAlign w:val="bottom"/>
          </w:tcPr>
          <w:p w14:paraId="6BF1B42E" w14:textId="77777777" w:rsidR="004558FE" w:rsidRPr="00BD5CD6" w:rsidRDefault="004558FE" w:rsidP="00895CB0">
            <w:pPr>
              <w:spacing w:before="40"/>
              <w:jc w:val="center"/>
              <w:rPr>
                <w:b/>
                <w:color w:val="000000"/>
                <w:sz w:val="24"/>
              </w:rPr>
            </w:pPr>
            <w:r w:rsidRPr="00BD5CD6">
              <w:rPr>
                <w:b/>
                <w:color w:val="000000"/>
                <w:sz w:val="24"/>
              </w:rPr>
              <w:t>2 7</w:t>
            </w:r>
            <w:r>
              <w:rPr>
                <w:b/>
                <w:color w:val="000000"/>
                <w:sz w:val="24"/>
              </w:rPr>
              <w:t>82</w:t>
            </w:r>
          </w:p>
        </w:tc>
      </w:tr>
    </w:tbl>
    <w:p w14:paraId="642867F6" w14:textId="77777777" w:rsidR="004558FE" w:rsidRPr="00BD5CD6" w:rsidRDefault="004558FE" w:rsidP="004558FE">
      <w:pPr>
        <w:pStyle w:val="Zhlav"/>
        <w:tabs>
          <w:tab w:val="clear" w:pos="4536"/>
          <w:tab w:val="clear" w:pos="9072"/>
        </w:tabs>
        <w:spacing w:before="120"/>
        <w:rPr>
          <w:sz w:val="24"/>
        </w:rPr>
      </w:pPr>
      <w:r w:rsidRPr="00BD5CD6">
        <w:t>CM 20</w:t>
      </w:r>
      <w:r>
        <w:t>22</w:t>
      </w:r>
    </w:p>
    <w:tbl>
      <w:tblPr>
        <w:tblW w:w="0" w:type="auto"/>
        <w:tblLayout w:type="fixed"/>
        <w:tblCellMar>
          <w:left w:w="30" w:type="dxa"/>
          <w:right w:w="30" w:type="dxa"/>
        </w:tblCellMar>
        <w:tblLook w:val="0000" w:firstRow="0" w:lastRow="0" w:firstColumn="0" w:lastColumn="0" w:noHBand="0" w:noVBand="0"/>
      </w:tblPr>
      <w:tblGrid>
        <w:gridCol w:w="3291"/>
        <w:gridCol w:w="1984"/>
        <w:gridCol w:w="1985"/>
      </w:tblGrid>
      <w:tr w:rsidR="004558FE" w:rsidRPr="00BD5CD6" w14:paraId="1111A690" w14:textId="77777777" w:rsidTr="00895CB0">
        <w:trPr>
          <w:trHeight w:val="345"/>
        </w:trPr>
        <w:tc>
          <w:tcPr>
            <w:tcW w:w="3291" w:type="dxa"/>
            <w:vMerge w:val="restart"/>
            <w:tcBorders>
              <w:top w:val="single" w:sz="18" w:space="0" w:color="auto"/>
              <w:left w:val="single" w:sz="18" w:space="0" w:color="auto"/>
              <w:right w:val="single" w:sz="18" w:space="0" w:color="auto"/>
            </w:tcBorders>
            <w:shd w:val="pct10" w:color="auto" w:fill="FFFFFF"/>
            <w:vAlign w:val="center"/>
          </w:tcPr>
          <w:p w14:paraId="7D293E4D" w14:textId="77777777" w:rsidR="004558FE" w:rsidRPr="00BD5CD6" w:rsidRDefault="004558FE" w:rsidP="00895CB0">
            <w:pPr>
              <w:spacing w:before="40"/>
              <w:jc w:val="center"/>
              <w:rPr>
                <w:b/>
                <w:color w:val="000000"/>
              </w:rPr>
            </w:pPr>
            <w:r w:rsidRPr="00BD5CD6">
              <w:rPr>
                <w:b/>
                <w:color w:val="000000"/>
                <w:sz w:val="24"/>
              </w:rPr>
              <w:t>Druh zastavěné plochy</w:t>
            </w:r>
          </w:p>
        </w:tc>
        <w:tc>
          <w:tcPr>
            <w:tcW w:w="3969" w:type="dxa"/>
            <w:gridSpan w:val="2"/>
            <w:tcBorders>
              <w:top w:val="single" w:sz="18" w:space="0" w:color="auto"/>
              <w:left w:val="single" w:sz="6" w:space="0" w:color="auto"/>
              <w:bottom w:val="single" w:sz="6" w:space="0" w:color="auto"/>
              <w:right w:val="single" w:sz="18" w:space="0" w:color="auto"/>
            </w:tcBorders>
            <w:shd w:val="pct10" w:color="auto" w:fill="FFFFFF"/>
            <w:vAlign w:val="center"/>
          </w:tcPr>
          <w:p w14:paraId="32480C6E" w14:textId="77777777" w:rsidR="004558FE" w:rsidRPr="00BD5CD6" w:rsidRDefault="004558FE" w:rsidP="00895CB0">
            <w:pPr>
              <w:pStyle w:val="Nadpis5"/>
              <w:numPr>
                <w:ilvl w:val="0"/>
                <w:numId w:val="0"/>
              </w:numPr>
              <w:tabs>
                <w:tab w:val="clear" w:pos="1008"/>
              </w:tabs>
              <w:spacing w:before="0"/>
              <w:rPr>
                <w:b/>
              </w:rPr>
            </w:pPr>
            <w:r w:rsidRPr="00BD5CD6">
              <w:rPr>
                <w:b/>
              </w:rPr>
              <w:t>Počet skupin obdobných pozemků</w:t>
            </w:r>
          </w:p>
        </w:tc>
      </w:tr>
      <w:tr w:rsidR="004558FE" w:rsidRPr="00BD5CD6" w14:paraId="2434A096" w14:textId="77777777" w:rsidTr="00895CB0">
        <w:trPr>
          <w:trHeight w:val="345"/>
        </w:trPr>
        <w:tc>
          <w:tcPr>
            <w:tcW w:w="3291" w:type="dxa"/>
            <w:vMerge/>
            <w:tcBorders>
              <w:left w:val="single" w:sz="18" w:space="0" w:color="auto"/>
              <w:bottom w:val="single" w:sz="18" w:space="0" w:color="auto"/>
              <w:right w:val="single" w:sz="18" w:space="0" w:color="auto"/>
            </w:tcBorders>
            <w:shd w:val="pct10" w:color="auto" w:fill="FFFFFF"/>
          </w:tcPr>
          <w:p w14:paraId="6D2FAA8A" w14:textId="77777777" w:rsidR="004558FE" w:rsidRPr="00BD5CD6" w:rsidRDefault="004558FE" w:rsidP="00895CB0">
            <w:pPr>
              <w:spacing w:before="40"/>
              <w:rPr>
                <w:b/>
                <w:color w:val="000000"/>
                <w:sz w:val="24"/>
              </w:rPr>
            </w:pPr>
          </w:p>
        </w:tc>
        <w:tc>
          <w:tcPr>
            <w:tcW w:w="1984" w:type="dxa"/>
            <w:tcBorders>
              <w:top w:val="single" w:sz="6" w:space="0" w:color="auto"/>
              <w:left w:val="single" w:sz="6" w:space="0" w:color="auto"/>
              <w:bottom w:val="single" w:sz="18" w:space="0" w:color="auto"/>
              <w:right w:val="single" w:sz="6" w:space="0" w:color="auto"/>
            </w:tcBorders>
            <w:shd w:val="pct10" w:color="auto" w:fill="FFFFFF"/>
          </w:tcPr>
          <w:p w14:paraId="58AE743B" w14:textId="77777777" w:rsidR="004558FE" w:rsidRPr="00BD5CD6" w:rsidRDefault="004558FE" w:rsidP="00895CB0">
            <w:pPr>
              <w:spacing w:before="40"/>
              <w:jc w:val="center"/>
              <w:rPr>
                <w:b/>
                <w:color w:val="000000"/>
                <w:sz w:val="24"/>
              </w:rPr>
            </w:pPr>
            <w:r w:rsidRPr="00BD5CD6">
              <w:rPr>
                <w:b/>
                <w:color w:val="000000"/>
                <w:sz w:val="24"/>
              </w:rPr>
              <w:t xml:space="preserve">celkem </w:t>
            </w:r>
          </w:p>
        </w:tc>
        <w:tc>
          <w:tcPr>
            <w:tcW w:w="1985" w:type="dxa"/>
            <w:tcBorders>
              <w:top w:val="single" w:sz="6" w:space="0" w:color="auto"/>
              <w:left w:val="single" w:sz="6" w:space="0" w:color="auto"/>
              <w:bottom w:val="single" w:sz="18" w:space="0" w:color="auto"/>
              <w:right w:val="single" w:sz="18" w:space="0" w:color="auto"/>
            </w:tcBorders>
            <w:shd w:val="pct10" w:color="auto" w:fill="FFFFFF"/>
          </w:tcPr>
          <w:p w14:paraId="37ADDE44" w14:textId="77777777" w:rsidR="004558FE" w:rsidRPr="00BD5CD6" w:rsidRDefault="004558FE" w:rsidP="00895CB0">
            <w:pPr>
              <w:spacing w:before="40"/>
              <w:jc w:val="center"/>
              <w:rPr>
                <w:b/>
                <w:color w:val="000000"/>
                <w:sz w:val="24"/>
              </w:rPr>
            </w:pPr>
            <w:r w:rsidRPr="00BD5CD6">
              <w:rPr>
                <w:b/>
                <w:color w:val="000000"/>
                <w:sz w:val="24"/>
              </w:rPr>
              <w:t>oceněných</w:t>
            </w:r>
          </w:p>
        </w:tc>
      </w:tr>
      <w:tr w:rsidR="004558FE" w:rsidRPr="00BD5CD6" w14:paraId="3D6D2B95" w14:textId="77777777" w:rsidTr="00895CB0">
        <w:trPr>
          <w:trHeight w:val="345"/>
        </w:trPr>
        <w:tc>
          <w:tcPr>
            <w:tcW w:w="3291" w:type="dxa"/>
            <w:tcBorders>
              <w:top w:val="nil"/>
              <w:left w:val="single" w:sz="18" w:space="0" w:color="auto"/>
              <w:bottom w:val="single" w:sz="6" w:space="0" w:color="auto"/>
              <w:right w:val="single" w:sz="18" w:space="0" w:color="auto"/>
            </w:tcBorders>
          </w:tcPr>
          <w:p w14:paraId="120151B8" w14:textId="77777777" w:rsidR="004558FE" w:rsidRPr="00BD5CD6" w:rsidRDefault="004558FE" w:rsidP="00895CB0">
            <w:pPr>
              <w:spacing w:before="40"/>
              <w:rPr>
                <w:color w:val="000000"/>
                <w:sz w:val="24"/>
              </w:rPr>
            </w:pPr>
            <w:r w:rsidRPr="00BD5CD6">
              <w:rPr>
                <w:color w:val="000000"/>
                <w:sz w:val="24"/>
              </w:rPr>
              <w:t>průmyslové objekty</w:t>
            </w:r>
          </w:p>
        </w:tc>
        <w:tc>
          <w:tcPr>
            <w:tcW w:w="1984" w:type="dxa"/>
            <w:tcBorders>
              <w:top w:val="nil"/>
              <w:left w:val="nil"/>
              <w:bottom w:val="single" w:sz="6" w:space="0" w:color="auto"/>
              <w:right w:val="single" w:sz="6" w:space="0" w:color="auto"/>
            </w:tcBorders>
            <w:vAlign w:val="bottom"/>
          </w:tcPr>
          <w:p w14:paraId="57A8AE4C" w14:textId="77777777" w:rsidR="004558FE" w:rsidRPr="00BD5CD6" w:rsidRDefault="004558FE" w:rsidP="00895CB0">
            <w:pPr>
              <w:spacing w:before="40"/>
              <w:jc w:val="center"/>
              <w:rPr>
                <w:color w:val="000000"/>
                <w:sz w:val="24"/>
              </w:rPr>
            </w:pPr>
            <w:r w:rsidRPr="00BD5CD6">
              <w:rPr>
                <w:color w:val="000000"/>
                <w:sz w:val="24"/>
                <w:szCs w:val="24"/>
              </w:rPr>
              <w:t>44</w:t>
            </w:r>
            <w:r>
              <w:rPr>
                <w:color w:val="000000"/>
                <w:sz w:val="24"/>
                <w:szCs w:val="24"/>
              </w:rPr>
              <w:t>5</w:t>
            </w:r>
          </w:p>
        </w:tc>
        <w:tc>
          <w:tcPr>
            <w:tcW w:w="1985" w:type="dxa"/>
            <w:tcBorders>
              <w:top w:val="nil"/>
              <w:left w:val="single" w:sz="6" w:space="0" w:color="auto"/>
              <w:bottom w:val="single" w:sz="6" w:space="0" w:color="auto"/>
              <w:right w:val="single" w:sz="18" w:space="0" w:color="auto"/>
            </w:tcBorders>
            <w:vAlign w:val="bottom"/>
          </w:tcPr>
          <w:p w14:paraId="7D338B1F" w14:textId="77777777" w:rsidR="004558FE" w:rsidRPr="00BD5CD6" w:rsidRDefault="004558FE" w:rsidP="00895CB0">
            <w:pPr>
              <w:spacing w:before="40"/>
              <w:jc w:val="center"/>
              <w:rPr>
                <w:color w:val="000000"/>
                <w:sz w:val="24"/>
              </w:rPr>
            </w:pPr>
            <w:r w:rsidRPr="00BD5CD6">
              <w:rPr>
                <w:color w:val="000000"/>
                <w:sz w:val="24"/>
                <w:szCs w:val="24"/>
              </w:rPr>
              <w:t>40</w:t>
            </w:r>
            <w:r>
              <w:rPr>
                <w:color w:val="000000"/>
                <w:sz w:val="24"/>
                <w:szCs w:val="24"/>
              </w:rPr>
              <w:t>2</w:t>
            </w:r>
          </w:p>
        </w:tc>
      </w:tr>
      <w:tr w:rsidR="004558FE" w:rsidRPr="00BD5CD6" w14:paraId="182AE0E8" w14:textId="77777777" w:rsidTr="00895CB0">
        <w:trPr>
          <w:trHeight w:val="345"/>
        </w:trPr>
        <w:tc>
          <w:tcPr>
            <w:tcW w:w="3291" w:type="dxa"/>
            <w:tcBorders>
              <w:top w:val="single" w:sz="6" w:space="0" w:color="auto"/>
              <w:left w:val="single" w:sz="18" w:space="0" w:color="auto"/>
              <w:bottom w:val="single" w:sz="6" w:space="0" w:color="auto"/>
              <w:right w:val="single" w:sz="18" w:space="0" w:color="auto"/>
            </w:tcBorders>
          </w:tcPr>
          <w:p w14:paraId="202DCE9E" w14:textId="77777777" w:rsidR="004558FE" w:rsidRPr="00BD5CD6" w:rsidRDefault="004558FE" w:rsidP="00895CB0">
            <w:pPr>
              <w:spacing w:before="40"/>
              <w:rPr>
                <w:color w:val="000000"/>
                <w:sz w:val="24"/>
              </w:rPr>
            </w:pPr>
            <w:r w:rsidRPr="00BD5CD6">
              <w:rPr>
                <w:color w:val="000000"/>
                <w:sz w:val="24"/>
              </w:rPr>
              <w:t>zemědělské a lesní objekty</w:t>
            </w:r>
          </w:p>
        </w:tc>
        <w:tc>
          <w:tcPr>
            <w:tcW w:w="1984" w:type="dxa"/>
            <w:tcBorders>
              <w:top w:val="single" w:sz="6" w:space="0" w:color="auto"/>
              <w:left w:val="nil"/>
              <w:bottom w:val="single" w:sz="6" w:space="0" w:color="auto"/>
              <w:right w:val="single" w:sz="6" w:space="0" w:color="auto"/>
            </w:tcBorders>
            <w:vAlign w:val="bottom"/>
          </w:tcPr>
          <w:p w14:paraId="185C54EC" w14:textId="77777777" w:rsidR="004558FE" w:rsidRPr="00BD5CD6" w:rsidRDefault="004558FE" w:rsidP="00895CB0">
            <w:pPr>
              <w:spacing w:before="40"/>
              <w:jc w:val="center"/>
              <w:rPr>
                <w:color w:val="000000"/>
                <w:sz w:val="24"/>
              </w:rPr>
            </w:pPr>
            <w:r w:rsidRPr="00BD5CD6">
              <w:rPr>
                <w:color w:val="000000"/>
                <w:sz w:val="24"/>
                <w:szCs w:val="24"/>
              </w:rPr>
              <w:t>37</w:t>
            </w:r>
          </w:p>
        </w:tc>
        <w:tc>
          <w:tcPr>
            <w:tcW w:w="1985" w:type="dxa"/>
            <w:tcBorders>
              <w:top w:val="single" w:sz="6" w:space="0" w:color="auto"/>
              <w:left w:val="single" w:sz="6" w:space="0" w:color="auto"/>
              <w:bottom w:val="single" w:sz="6" w:space="0" w:color="auto"/>
              <w:right w:val="single" w:sz="18" w:space="0" w:color="auto"/>
            </w:tcBorders>
            <w:vAlign w:val="bottom"/>
          </w:tcPr>
          <w:p w14:paraId="2932AD30" w14:textId="77777777" w:rsidR="004558FE" w:rsidRPr="00BD5CD6" w:rsidRDefault="004558FE" w:rsidP="00895CB0">
            <w:pPr>
              <w:spacing w:before="40"/>
              <w:jc w:val="center"/>
              <w:rPr>
                <w:color w:val="000000"/>
                <w:sz w:val="24"/>
              </w:rPr>
            </w:pPr>
            <w:r w:rsidRPr="00BD5CD6">
              <w:rPr>
                <w:color w:val="000000"/>
                <w:sz w:val="24"/>
                <w:szCs w:val="24"/>
              </w:rPr>
              <w:t>3</w:t>
            </w:r>
            <w:r>
              <w:rPr>
                <w:color w:val="000000"/>
                <w:sz w:val="24"/>
                <w:szCs w:val="24"/>
              </w:rPr>
              <w:t>5</w:t>
            </w:r>
          </w:p>
        </w:tc>
      </w:tr>
      <w:tr w:rsidR="004558FE" w:rsidRPr="00BD5CD6" w14:paraId="474B620F" w14:textId="77777777" w:rsidTr="00895CB0">
        <w:trPr>
          <w:trHeight w:val="345"/>
        </w:trPr>
        <w:tc>
          <w:tcPr>
            <w:tcW w:w="3291" w:type="dxa"/>
            <w:tcBorders>
              <w:top w:val="single" w:sz="6" w:space="0" w:color="auto"/>
              <w:left w:val="single" w:sz="18" w:space="0" w:color="auto"/>
              <w:bottom w:val="single" w:sz="6" w:space="0" w:color="auto"/>
              <w:right w:val="single" w:sz="18" w:space="0" w:color="auto"/>
            </w:tcBorders>
          </w:tcPr>
          <w:p w14:paraId="4002EF49" w14:textId="77777777" w:rsidR="004558FE" w:rsidRPr="00BD5CD6" w:rsidRDefault="004558FE" w:rsidP="00895CB0">
            <w:pPr>
              <w:spacing w:before="40"/>
              <w:rPr>
                <w:color w:val="000000"/>
                <w:sz w:val="24"/>
              </w:rPr>
            </w:pPr>
            <w:r w:rsidRPr="00BD5CD6">
              <w:rPr>
                <w:color w:val="000000"/>
                <w:sz w:val="24"/>
              </w:rPr>
              <w:t>občanská vybavenost</w:t>
            </w:r>
          </w:p>
        </w:tc>
        <w:tc>
          <w:tcPr>
            <w:tcW w:w="1984" w:type="dxa"/>
            <w:tcBorders>
              <w:top w:val="single" w:sz="6" w:space="0" w:color="auto"/>
              <w:left w:val="nil"/>
              <w:bottom w:val="single" w:sz="6" w:space="0" w:color="auto"/>
              <w:right w:val="single" w:sz="6" w:space="0" w:color="auto"/>
            </w:tcBorders>
            <w:vAlign w:val="bottom"/>
          </w:tcPr>
          <w:p w14:paraId="4BA2968A" w14:textId="77777777" w:rsidR="004558FE" w:rsidRPr="00BD5CD6" w:rsidRDefault="004558FE" w:rsidP="00895CB0">
            <w:pPr>
              <w:spacing w:before="40"/>
              <w:jc w:val="center"/>
              <w:rPr>
                <w:color w:val="000000"/>
                <w:sz w:val="24"/>
              </w:rPr>
            </w:pPr>
            <w:r w:rsidRPr="00BD5CD6">
              <w:rPr>
                <w:color w:val="000000"/>
                <w:sz w:val="24"/>
                <w:szCs w:val="24"/>
              </w:rPr>
              <w:t>1 0</w:t>
            </w:r>
            <w:r>
              <w:rPr>
                <w:color w:val="000000"/>
                <w:sz w:val="24"/>
                <w:szCs w:val="24"/>
              </w:rPr>
              <w:t>97</w:t>
            </w:r>
          </w:p>
        </w:tc>
        <w:tc>
          <w:tcPr>
            <w:tcW w:w="1985" w:type="dxa"/>
            <w:tcBorders>
              <w:top w:val="single" w:sz="6" w:space="0" w:color="auto"/>
              <w:left w:val="single" w:sz="6" w:space="0" w:color="auto"/>
              <w:bottom w:val="single" w:sz="6" w:space="0" w:color="auto"/>
              <w:right w:val="single" w:sz="18" w:space="0" w:color="auto"/>
            </w:tcBorders>
            <w:vAlign w:val="bottom"/>
          </w:tcPr>
          <w:p w14:paraId="37760FDD" w14:textId="77777777" w:rsidR="004558FE" w:rsidRPr="00BD5CD6" w:rsidRDefault="004558FE" w:rsidP="00895CB0">
            <w:pPr>
              <w:spacing w:before="40"/>
              <w:jc w:val="center"/>
              <w:rPr>
                <w:color w:val="000000"/>
                <w:sz w:val="24"/>
              </w:rPr>
            </w:pPr>
            <w:r w:rsidRPr="00BD5CD6">
              <w:rPr>
                <w:color w:val="000000"/>
                <w:sz w:val="24"/>
                <w:szCs w:val="24"/>
              </w:rPr>
              <w:t>73</w:t>
            </w:r>
            <w:r>
              <w:rPr>
                <w:color w:val="000000"/>
                <w:sz w:val="24"/>
                <w:szCs w:val="24"/>
              </w:rPr>
              <w:t>2</w:t>
            </w:r>
          </w:p>
        </w:tc>
      </w:tr>
      <w:tr w:rsidR="004558FE" w:rsidRPr="00BD5CD6" w14:paraId="7EFAD83F" w14:textId="77777777" w:rsidTr="00895CB0">
        <w:trPr>
          <w:trHeight w:val="345"/>
        </w:trPr>
        <w:tc>
          <w:tcPr>
            <w:tcW w:w="3291" w:type="dxa"/>
            <w:tcBorders>
              <w:top w:val="single" w:sz="6" w:space="0" w:color="auto"/>
              <w:left w:val="single" w:sz="18" w:space="0" w:color="auto"/>
              <w:bottom w:val="single" w:sz="6" w:space="0" w:color="auto"/>
              <w:right w:val="single" w:sz="18" w:space="0" w:color="auto"/>
            </w:tcBorders>
          </w:tcPr>
          <w:p w14:paraId="31FDABF2" w14:textId="77777777" w:rsidR="004558FE" w:rsidRPr="00BD5CD6" w:rsidRDefault="004558FE" w:rsidP="00895CB0">
            <w:pPr>
              <w:spacing w:before="40"/>
              <w:rPr>
                <w:color w:val="000000"/>
                <w:sz w:val="24"/>
              </w:rPr>
            </w:pPr>
            <w:r w:rsidRPr="00BD5CD6">
              <w:rPr>
                <w:color w:val="000000"/>
                <w:sz w:val="24"/>
              </w:rPr>
              <w:t>ostatní stavební objekty - garáže</w:t>
            </w:r>
          </w:p>
        </w:tc>
        <w:tc>
          <w:tcPr>
            <w:tcW w:w="1984" w:type="dxa"/>
            <w:tcBorders>
              <w:top w:val="single" w:sz="6" w:space="0" w:color="auto"/>
              <w:left w:val="nil"/>
              <w:bottom w:val="single" w:sz="6" w:space="0" w:color="auto"/>
              <w:right w:val="single" w:sz="6" w:space="0" w:color="auto"/>
            </w:tcBorders>
            <w:vAlign w:val="bottom"/>
          </w:tcPr>
          <w:p w14:paraId="6BBA3C3A" w14:textId="77777777" w:rsidR="004558FE" w:rsidRPr="00BD5CD6" w:rsidRDefault="004558FE" w:rsidP="00895CB0">
            <w:pPr>
              <w:spacing w:before="40"/>
              <w:jc w:val="center"/>
              <w:rPr>
                <w:color w:val="000000"/>
                <w:sz w:val="24"/>
              </w:rPr>
            </w:pPr>
            <w:r w:rsidRPr="00BD5CD6">
              <w:rPr>
                <w:color w:val="000000"/>
                <w:sz w:val="24"/>
                <w:szCs w:val="24"/>
              </w:rPr>
              <w:t>16</w:t>
            </w:r>
            <w:r>
              <w:rPr>
                <w:color w:val="000000"/>
                <w:sz w:val="24"/>
                <w:szCs w:val="24"/>
              </w:rPr>
              <w:t>4</w:t>
            </w:r>
          </w:p>
        </w:tc>
        <w:tc>
          <w:tcPr>
            <w:tcW w:w="1985" w:type="dxa"/>
            <w:tcBorders>
              <w:top w:val="single" w:sz="6" w:space="0" w:color="auto"/>
              <w:left w:val="single" w:sz="6" w:space="0" w:color="auto"/>
              <w:bottom w:val="single" w:sz="6" w:space="0" w:color="auto"/>
              <w:right w:val="single" w:sz="18" w:space="0" w:color="auto"/>
            </w:tcBorders>
            <w:vAlign w:val="bottom"/>
          </w:tcPr>
          <w:p w14:paraId="62A56AB0" w14:textId="77777777" w:rsidR="004558FE" w:rsidRPr="00BD5CD6" w:rsidRDefault="004558FE" w:rsidP="00895CB0">
            <w:pPr>
              <w:spacing w:before="40"/>
              <w:jc w:val="center"/>
              <w:rPr>
                <w:color w:val="000000"/>
                <w:sz w:val="24"/>
              </w:rPr>
            </w:pPr>
            <w:r w:rsidRPr="00BD5CD6">
              <w:rPr>
                <w:color w:val="000000"/>
                <w:sz w:val="24"/>
                <w:szCs w:val="24"/>
              </w:rPr>
              <w:t>163</w:t>
            </w:r>
          </w:p>
        </w:tc>
      </w:tr>
      <w:tr w:rsidR="004558FE" w:rsidRPr="00BD5CD6" w14:paraId="07B73D41" w14:textId="77777777" w:rsidTr="00895CB0">
        <w:trPr>
          <w:trHeight w:val="345"/>
        </w:trPr>
        <w:tc>
          <w:tcPr>
            <w:tcW w:w="3291" w:type="dxa"/>
            <w:tcBorders>
              <w:top w:val="single" w:sz="6" w:space="0" w:color="auto"/>
              <w:left w:val="single" w:sz="18" w:space="0" w:color="auto"/>
              <w:bottom w:val="single" w:sz="6" w:space="0" w:color="auto"/>
              <w:right w:val="single" w:sz="18" w:space="0" w:color="auto"/>
            </w:tcBorders>
          </w:tcPr>
          <w:p w14:paraId="7846E1D1" w14:textId="77777777" w:rsidR="004558FE" w:rsidRPr="00BD5CD6" w:rsidRDefault="004558FE" w:rsidP="00895CB0">
            <w:pPr>
              <w:spacing w:before="40"/>
              <w:rPr>
                <w:color w:val="000000"/>
                <w:sz w:val="24"/>
              </w:rPr>
            </w:pPr>
            <w:r w:rsidRPr="00BD5CD6">
              <w:rPr>
                <w:color w:val="000000"/>
                <w:sz w:val="24"/>
              </w:rPr>
              <w:t>technická vybavenost</w:t>
            </w:r>
          </w:p>
        </w:tc>
        <w:tc>
          <w:tcPr>
            <w:tcW w:w="1984" w:type="dxa"/>
            <w:tcBorders>
              <w:top w:val="single" w:sz="6" w:space="0" w:color="auto"/>
              <w:left w:val="nil"/>
              <w:bottom w:val="single" w:sz="6" w:space="0" w:color="auto"/>
              <w:right w:val="single" w:sz="6" w:space="0" w:color="auto"/>
            </w:tcBorders>
            <w:vAlign w:val="bottom"/>
          </w:tcPr>
          <w:p w14:paraId="52521592" w14:textId="77777777" w:rsidR="004558FE" w:rsidRPr="00BD5CD6" w:rsidRDefault="004558FE" w:rsidP="00895CB0">
            <w:pPr>
              <w:spacing w:before="40"/>
              <w:jc w:val="center"/>
              <w:rPr>
                <w:color w:val="000000"/>
                <w:sz w:val="24"/>
              </w:rPr>
            </w:pPr>
            <w:r w:rsidRPr="00BD5CD6">
              <w:rPr>
                <w:color w:val="000000"/>
                <w:sz w:val="24"/>
                <w:szCs w:val="24"/>
              </w:rPr>
              <w:t>69</w:t>
            </w:r>
          </w:p>
        </w:tc>
        <w:tc>
          <w:tcPr>
            <w:tcW w:w="1985" w:type="dxa"/>
            <w:tcBorders>
              <w:top w:val="single" w:sz="6" w:space="0" w:color="auto"/>
              <w:left w:val="single" w:sz="6" w:space="0" w:color="auto"/>
              <w:bottom w:val="single" w:sz="6" w:space="0" w:color="auto"/>
              <w:right w:val="single" w:sz="18" w:space="0" w:color="auto"/>
            </w:tcBorders>
            <w:vAlign w:val="bottom"/>
          </w:tcPr>
          <w:p w14:paraId="32126B9D" w14:textId="77777777" w:rsidR="004558FE" w:rsidRPr="00BD5CD6" w:rsidRDefault="004558FE" w:rsidP="00895CB0">
            <w:pPr>
              <w:spacing w:before="40"/>
              <w:jc w:val="center"/>
              <w:rPr>
                <w:color w:val="000000"/>
                <w:sz w:val="24"/>
              </w:rPr>
            </w:pPr>
            <w:r>
              <w:rPr>
                <w:color w:val="000000"/>
                <w:sz w:val="24"/>
              </w:rPr>
              <w:t>28</w:t>
            </w:r>
          </w:p>
        </w:tc>
      </w:tr>
      <w:tr w:rsidR="004558FE" w:rsidRPr="00BD5CD6" w14:paraId="2BA522A9" w14:textId="77777777" w:rsidTr="00895CB0">
        <w:trPr>
          <w:trHeight w:val="345"/>
        </w:trPr>
        <w:tc>
          <w:tcPr>
            <w:tcW w:w="3291" w:type="dxa"/>
            <w:tcBorders>
              <w:top w:val="single" w:sz="6" w:space="0" w:color="auto"/>
              <w:left w:val="single" w:sz="18" w:space="0" w:color="auto"/>
              <w:bottom w:val="single" w:sz="6" w:space="0" w:color="auto"/>
              <w:right w:val="single" w:sz="18" w:space="0" w:color="auto"/>
            </w:tcBorders>
          </w:tcPr>
          <w:p w14:paraId="1BB5AA93" w14:textId="77777777" w:rsidR="004558FE" w:rsidRPr="00BD5CD6" w:rsidRDefault="004558FE" w:rsidP="00895CB0">
            <w:pPr>
              <w:spacing w:before="40"/>
              <w:rPr>
                <w:color w:val="000000"/>
                <w:sz w:val="24"/>
              </w:rPr>
            </w:pPr>
            <w:r w:rsidRPr="00BD5CD6">
              <w:rPr>
                <w:color w:val="000000"/>
                <w:sz w:val="24"/>
              </w:rPr>
              <w:lastRenderedPageBreak/>
              <w:t xml:space="preserve">objekty bydlení </w:t>
            </w:r>
          </w:p>
        </w:tc>
        <w:tc>
          <w:tcPr>
            <w:tcW w:w="1984" w:type="dxa"/>
            <w:tcBorders>
              <w:top w:val="single" w:sz="6" w:space="0" w:color="auto"/>
              <w:left w:val="nil"/>
              <w:bottom w:val="single" w:sz="6" w:space="0" w:color="auto"/>
              <w:right w:val="single" w:sz="6" w:space="0" w:color="auto"/>
            </w:tcBorders>
            <w:vAlign w:val="bottom"/>
          </w:tcPr>
          <w:p w14:paraId="235D9994" w14:textId="77777777" w:rsidR="004558FE" w:rsidRPr="00BD5CD6" w:rsidRDefault="004558FE" w:rsidP="00895CB0">
            <w:pPr>
              <w:spacing w:before="40"/>
              <w:jc w:val="center"/>
              <w:rPr>
                <w:color w:val="000000"/>
                <w:sz w:val="24"/>
              </w:rPr>
            </w:pPr>
            <w:r w:rsidRPr="00BD5CD6">
              <w:rPr>
                <w:color w:val="000000"/>
                <w:sz w:val="24"/>
                <w:szCs w:val="24"/>
              </w:rPr>
              <w:t>1 415</w:t>
            </w:r>
          </w:p>
        </w:tc>
        <w:tc>
          <w:tcPr>
            <w:tcW w:w="1985" w:type="dxa"/>
            <w:tcBorders>
              <w:top w:val="single" w:sz="6" w:space="0" w:color="auto"/>
              <w:left w:val="single" w:sz="6" w:space="0" w:color="auto"/>
              <w:bottom w:val="single" w:sz="6" w:space="0" w:color="auto"/>
              <w:right w:val="single" w:sz="18" w:space="0" w:color="auto"/>
            </w:tcBorders>
            <w:vAlign w:val="bottom"/>
          </w:tcPr>
          <w:p w14:paraId="58D983E1" w14:textId="77777777" w:rsidR="004558FE" w:rsidRPr="00BD5CD6" w:rsidRDefault="004558FE" w:rsidP="00895CB0">
            <w:pPr>
              <w:spacing w:before="40"/>
              <w:jc w:val="center"/>
              <w:rPr>
                <w:color w:val="000000"/>
                <w:sz w:val="24"/>
              </w:rPr>
            </w:pPr>
            <w:r w:rsidRPr="00BD5CD6">
              <w:rPr>
                <w:color w:val="000000"/>
                <w:sz w:val="24"/>
                <w:szCs w:val="24"/>
              </w:rPr>
              <w:t>1 40</w:t>
            </w:r>
            <w:r>
              <w:rPr>
                <w:color w:val="000000"/>
                <w:sz w:val="24"/>
                <w:szCs w:val="24"/>
              </w:rPr>
              <w:t>5</w:t>
            </w:r>
          </w:p>
        </w:tc>
      </w:tr>
      <w:tr w:rsidR="004558FE" w:rsidRPr="00231ABC" w14:paraId="665B8560" w14:textId="77777777" w:rsidTr="00895CB0">
        <w:trPr>
          <w:trHeight w:val="345"/>
        </w:trPr>
        <w:tc>
          <w:tcPr>
            <w:tcW w:w="3291" w:type="dxa"/>
            <w:tcBorders>
              <w:top w:val="single" w:sz="12" w:space="0" w:color="auto"/>
              <w:left w:val="single" w:sz="18" w:space="0" w:color="auto"/>
              <w:bottom w:val="single" w:sz="18" w:space="0" w:color="auto"/>
              <w:right w:val="single" w:sz="18" w:space="0" w:color="auto"/>
            </w:tcBorders>
          </w:tcPr>
          <w:p w14:paraId="792F71A7" w14:textId="77777777" w:rsidR="004558FE" w:rsidRPr="00BD5CD6" w:rsidRDefault="004558FE" w:rsidP="00895CB0">
            <w:pPr>
              <w:spacing w:before="40"/>
              <w:rPr>
                <w:b/>
                <w:color w:val="000000"/>
                <w:sz w:val="24"/>
              </w:rPr>
            </w:pPr>
            <w:r w:rsidRPr="00BD5CD6">
              <w:rPr>
                <w:b/>
                <w:color w:val="000000"/>
                <w:sz w:val="24"/>
              </w:rPr>
              <w:t>Celkem</w:t>
            </w:r>
          </w:p>
        </w:tc>
        <w:tc>
          <w:tcPr>
            <w:tcW w:w="1984" w:type="dxa"/>
            <w:tcBorders>
              <w:top w:val="single" w:sz="12" w:space="0" w:color="auto"/>
              <w:left w:val="nil"/>
              <w:bottom w:val="single" w:sz="18" w:space="0" w:color="auto"/>
              <w:right w:val="single" w:sz="6" w:space="0" w:color="auto"/>
            </w:tcBorders>
            <w:vAlign w:val="bottom"/>
          </w:tcPr>
          <w:p w14:paraId="2C27FFB7" w14:textId="77777777" w:rsidR="004558FE" w:rsidRPr="00BD5CD6" w:rsidRDefault="004558FE" w:rsidP="00895CB0">
            <w:pPr>
              <w:spacing w:before="40"/>
              <w:jc w:val="center"/>
              <w:rPr>
                <w:b/>
                <w:color w:val="000000"/>
                <w:sz w:val="24"/>
              </w:rPr>
            </w:pPr>
            <w:r w:rsidRPr="00BD5CD6">
              <w:rPr>
                <w:b/>
                <w:color w:val="000000"/>
                <w:sz w:val="24"/>
              </w:rPr>
              <w:t xml:space="preserve">3 </w:t>
            </w:r>
            <w:r>
              <w:rPr>
                <w:b/>
                <w:color w:val="000000"/>
                <w:sz w:val="24"/>
              </w:rPr>
              <w:t>224</w:t>
            </w:r>
          </w:p>
        </w:tc>
        <w:tc>
          <w:tcPr>
            <w:tcW w:w="1985" w:type="dxa"/>
            <w:tcBorders>
              <w:top w:val="single" w:sz="12" w:space="0" w:color="auto"/>
              <w:left w:val="nil"/>
              <w:bottom w:val="single" w:sz="18" w:space="0" w:color="auto"/>
              <w:right w:val="single" w:sz="18" w:space="0" w:color="auto"/>
            </w:tcBorders>
            <w:vAlign w:val="bottom"/>
          </w:tcPr>
          <w:p w14:paraId="1589E67A" w14:textId="77777777" w:rsidR="004558FE" w:rsidRPr="00231ABC" w:rsidRDefault="004558FE" w:rsidP="00895CB0">
            <w:pPr>
              <w:spacing w:before="40"/>
              <w:jc w:val="center"/>
              <w:rPr>
                <w:b/>
                <w:color w:val="000000"/>
                <w:sz w:val="24"/>
              </w:rPr>
            </w:pPr>
            <w:r w:rsidRPr="00BD5CD6">
              <w:rPr>
                <w:b/>
                <w:color w:val="000000"/>
                <w:sz w:val="24"/>
              </w:rPr>
              <w:t>2 7</w:t>
            </w:r>
            <w:r>
              <w:rPr>
                <w:b/>
                <w:color w:val="000000"/>
                <w:sz w:val="24"/>
              </w:rPr>
              <w:t>65</w:t>
            </w:r>
          </w:p>
        </w:tc>
      </w:tr>
    </w:tbl>
    <w:p w14:paraId="60189069" w14:textId="77777777" w:rsidR="004558FE" w:rsidRPr="00231ABC" w:rsidRDefault="004558FE" w:rsidP="004558FE">
      <w:pPr>
        <w:numPr>
          <w:ilvl w:val="0"/>
          <w:numId w:val="18"/>
        </w:numPr>
        <w:tabs>
          <w:tab w:val="left" w:pos="360"/>
        </w:tabs>
        <w:ind w:left="357" w:hanging="357"/>
        <w:jc w:val="both"/>
        <w:rPr>
          <w:b/>
          <w:sz w:val="36"/>
        </w:rPr>
      </w:pPr>
      <w:r w:rsidRPr="00231ABC">
        <w:rPr>
          <w:b/>
          <w:sz w:val="36"/>
          <w:highlight w:val="yellow"/>
        </w:rPr>
        <w:br w:type="page"/>
      </w:r>
      <w:r w:rsidRPr="00231ABC">
        <w:rPr>
          <w:b/>
          <w:sz w:val="36"/>
        </w:rPr>
        <w:lastRenderedPageBreak/>
        <w:t>Charakteristika trhu s pozemky</w:t>
      </w:r>
    </w:p>
    <w:p w14:paraId="2968F280" w14:textId="77777777" w:rsidR="004558FE" w:rsidRPr="00231ABC" w:rsidRDefault="004558FE" w:rsidP="004558FE">
      <w:pPr>
        <w:pStyle w:val="Zkladntext"/>
        <w:spacing w:before="240"/>
      </w:pPr>
      <w:r w:rsidRPr="00231ABC">
        <w:t xml:space="preserve">7.1.  </w:t>
      </w:r>
      <w:r w:rsidRPr="00231ABC">
        <w:rPr>
          <w:b/>
          <w:u w:val="single"/>
        </w:rPr>
        <w:t>Všeobecná analýza</w:t>
      </w:r>
    </w:p>
    <w:p w14:paraId="3A2BD09F" w14:textId="77777777" w:rsidR="004558FE" w:rsidRPr="00BE5656" w:rsidRDefault="004558FE" w:rsidP="004558FE">
      <w:pPr>
        <w:pStyle w:val="Zkladntextodsazen31"/>
      </w:pPr>
      <w:r w:rsidRPr="00231ABC">
        <w:rPr>
          <w:b/>
          <w:i/>
        </w:rPr>
        <w:t>Analýza trhu</w:t>
      </w:r>
      <w:r w:rsidRPr="00231ABC">
        <w:t xml:space="preserve"> s </w:t>
      </w:r>
      <w:r>
        <w:t>pozemky</w:t>
      </w:r>
      <w:r w:rsidRPr="00231ABC">
        <w:t xml:space="preserve"> na území města Ostravy pro aktualizaci cenové mapy </w:t>
      </w:r>
      <w:r w:rsidRPr="00231ABC">
        <w:br/>
        <w:t>pro rok 20</w:t>
      </w:r>
      <w:r>
        <w:t>22</w:t>
      </w:r>
      <w:r w:rsidRPr="00231ABC">
        <w:t xml:space="preserve"> byla provedena z informací </w:t>
      </w:r>
      <w:r w:rsidRPr="00BE5656">
        <w:t xml:space="preserve">získaných o </w:t>
      </w:r>
      <w:r>
        <w:t xml:space="preserve">2 202 </w:t>
      </w:r>
      <w:r w:rsidRPr="00BE5656">
        <w:t>prodejích pozemků v období od ledna 20</w:t>
      </w:r>
      <w:r>
        <w:t>21</w:t>
      </w:r>
      <w:r w:rsidRPr="00BE5656">
        <w:t xml:space="preserve"> do prosince 20</w:t>
      </w:r>
      <w:r>
        <w:t>21</w:t>
      </w:r>
      <w:r w:rsidRPr="00BE5656">
        <w:t>. V tomto období došlo k</w:t>
      </w:r>
      <w:r>
        <w:t xml:space="preserve"> nárůstu </w:t>
      </w:r>
      <w:r w:rsidRPr="00BE5656">
        <w:t>počtu převod</w:t>
      </w:r>
      <w:r>
        <w:t>ů</w:t>
      </w:r>
      <w:r w:rsidRPr="00BE5656">
        <w:t xml:space="preserve"> pozemků ve srovnání s předchozím hodnoceným obdobím</w:t>
      </w:r>
      <w:r>
        <w:t>,</w:t>
      </w:r>
      <w:r w:rsidRPr="00BE5656">
        <w:t xml:space="preserve"> </w:t>
      </w:r>
      <w:r>
        <w:t>a to celkem o 777 tr</w:t>
      </w:r>
      <w:r w:rsidRPr="00BE5656">
        <w:t>ansakcí</w:t>
      </w:r>
      <w:r>
        <w:t xml:space="preserve"> (tj. o 54 %)</w:t>
      </w:r>
      <w:r w:rsidRPr="00BE5656">
        <w:t>.</w:t>
      </w:r>
    </w:p>
    <w:p w14:paraId="3DEF3F79" w14:textId="6B5A2051" w:rsidR="004558FE" w:rsidRPr="007101F2" w:rsidRDefault="004558FE" w:rsidP="004558FE">
      <w:pPr>
        <w:spacing w:before="120"/>
        <w:ind w:firstLine="425"/>
        <w:jc w:val="both"/>
        <w:rPr>
          <w:sz w:val="24"/>
        </w:rPr>
      </w:pPr>
      <w:r w:rsidRPr="00BE5656">
        <w:rPr>
          <w:sz w:val="24"/>
        </w:rPr>
        <w:t xml:space="preserve">Při posuzování realizovaných cen se </w:t>
      </w:r>
      <w:r>
        <w:rPr>
          <w:sz w:val="24"/>
        </w:rPr>
        <w:t xml:space="preserve">následně </w:t>
      </w:r>
      <w:r w:rsidRPr="00BE5656">
        <w:rPr>
          <w:sz w:val="24"/>
        </w:rPr>
        <w:t xml:space="preserve">vycházelo ze souboru </w:t>
      </w:r>
      <w:r>
        <w:rPr>
          <w:sz w:val="24"/>
        </w:rPr>
        <w:t>1</w:t>
      </w:r>
      <w:r w:rsidR="001B4DEA">
        <w:rPr>
          <w:sz w:val="24"/>
        </w:rPr>
        <w:t> </w:t>
      </w:r>
      <w:r>
        <w:rPr>
          <w:sz w:val="24"/>
        </w:rPr>
        <w:t xml:space="preserve">494 </w:t>
      </w:r>
      <w:r w:rsidRPr="00BE5656">
        <w:rPr>
          <w:sz w:val="24"/>
        </w:rPr>
        <w:t xml:space="preserve">prodaných pozemků. Průměrná cena stavebního pozemku </w:t>
      </w:r>
      <w:r>
        <w:rPr>
          <w:sz w:val="24"/>
        </w:rPr>
        <w:t xml:space="preserve">vzrostla na úroveň </w:t>
      </w:r>
      <w:r>
        <w:rPr>
          <w:b/>
          <w:sz w:val="24"/>
        </w:rPr>
        <w:t>1 248</w:t>
      </w:r>
      <w:r w:rsidRPr="00BE5656">
        <w:rPr>
          <w:sz w:val="24"/>
        </w:rPr>
        <w:t xml:space="preserve"> </w:t>
      </w:r>
      <w:r w:rsidRPr="00BE5656">
        <w:rPr>
          <w:b/>
          <w:sz w:val="24"/>
        </w:rPr>
        <w:t>Kč za m</w:t>
      </w:r>
      <w:r w:rsidRPr="00BE5656">
        <w:rPr>
          <w:b/>
          <w:sz w:val="24"/>
          <w:vertAlign w:val="superscript"/>
        </w:rPr>
        <w:t>2</w:t>
      </w:r>
      <w:r>
        <w:rPr>
          <w:sz w:val="24"/>
        </w:rPr>
        <w:t xml:space="preserve">. </w:t>
      </w:r>
      <w:r w:rsidRPr="00BE5656">
        <w:rPr>
          <w:sz w:val="24"/>
        </w:rPr>
        <w:t xml:space="preserve"> Průměrná cena stavebních pozemků na území města Ostravy </w:t>
      </w:r>
      <w:r>
        <w:rPr>
          <w:sz w:val="24"/>
        </w:rPr>
        <w:t xml:space="preserve">tedy v období roku 2021 skokově vzrostla na historicky nejvyšší úroveň, a to o cca 58 %. </w:t>
      </w:r>
      <w:r w:rsidRPr="00570932">
        <w:rPr>
          <w:bCs/>
          <w:sz w:val="24"/>
        </w:rPr>
        <w:t>Z dalšího, podrobnějšího hodnocení po jednotlivých druzích pozemků vyplynulo, že průměrn</w:t>
      </w:r>
      <w:r>
        <w:rPr>
          <w:bCs/>
          <w:sz w:val="24"/>
        </w:rPr>
        <w:t>é</w:t>
      </w:r>
      <w:r w:rsidRPr="00570932">
        <w:rPr>
          <w:bCs/>
          <w:sz w:val="24"/>
        </w:rPr>
        <w:t xml:space="preserve"> cen</w:t>
      </w:r>
      <w:r>
        <w:rPr>
          <w:bCs/>
          <w:sz w:val="24"/>
        </w:rPr>
        <w:t>y</w:t>
      </w:r>
      <w:r w:rsidRPr="00570932">
        <w:rPr>
          <w:bCs/>
          <w:sz w:val="24"/>
        </w:rPr>
        <w:t xml:space="preserve"> </w:t>
      </w:r>
      <w:r>
        <w:rPr>
          <w:bCs/>
          <w:sz w:val="24"/>
        </w:rPr>
        <w:t xml:space="preserve">vzrostly ve všech kategoriích, s výjimkou méně významných kategorií z hlediska množství tj. pozemků pro garáže, občanskou vybavenost neziskového sektoru a technickou vybavenost. </w:t>
      </w:r>
    </w:p>
    <w:p w14:paraId="1CFA97BB" w14:textId="263D67B0" w:rsidR="00DF40DD" w:rsidRDefault="001F6825" w:rsidP="00564A5C">
      <w:pPr>
        <w:spacing w:before="120"/>
        <w:jc w:val="both"/>
        <w:rPr>
          <w:bCs/>
          <w:sz w:val="24"/>
        </w:rPr>
      </w:pPr>
      <w:r>
        <w:rPr>
          <w:bCs/>
          <w:noProof/>
          <w:sz w:val="24"/>
        </w:rPr>
        <w:drawing>
          <wp:inline distT="0" distB="0" distL="0" distR="0" wp14:anchorId="1CBF87A2" wp14:editId="313BB43F">
            <wp:extent cx="5760085" cy="2880000"/>
            <wp:effectExtent l="0" t="0" r="5715" b="3175"/>
            <wp:docPr id="3" name="Obrázek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Obrázek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60085" cy="2880000"/>
                    </a:xfrm>
                    <a:prstGeom prst="rect">
                      <a:avLst/>
                    </a:prstGeom>
                  </pic:spPr>
                </pic:pic>
              </a:graphicData>
            </a:graphic>
          </wp:inline>
        </w:drawing>
      </w:r>
    </w:p>
    <w:p w14:paraId="687DEF64" w14:textId="77777777" w:rsidR="004558FE" w:rsidRPr="002439BC" w:rsidRDefault="004558FE" w:rsidP="004558FE">
      <w:pPr>
        <w:pStyle w:val="Nadpis2"/>
        <w:numPr>
          <w:ilvl w:val="0"/>
          <w:numId w:val="0"/>
        </w:numPr>
        <w:tabs>
          <w:tab w:val="clear" w:pos="576"/>
        </w:tabs>
        <w:spacing w:before="240" w:after="120"/>
      </w:pPr>
      <w:r w:rsidRPr="002439BC">
        <w:t>Tab. - Vývoj průměrných cen v letech v jednotlivých územích města</w:t>
      </w: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61"/>
        <w:gridCol w:w="1134"/>
        <w:gridCol w:w="1134"/>
        <w:gridCol w:w="1134"/>
        <w:gridCol w:w="1134"/>
        <w:gridCol w:w="1275"/>
      </w:tblGrid>
      <w:tr w:rsidR="004558FE" w:rsidRPr="002439BC" w14:paraId="2888BF1F" w14:textId="77777777" w:rsidTr="00895CB0">
        <w:trPr>
          <w:cantSplit/>
        </w:trPr>
        <w:tc>
          <w:tcPr>
            <w:tcW w:w="3261" w:type="dxa"/>
            <w:vMerge w:val="restart"/>
            <w:tcBorders>
              <w:top w:val="single" w:sz="18" w:space="0" w:color="auto"/>
              <w:left w:val="single" w:sz="18" w:space="0" w:color="auto"/>
              <w:right w:val="single" w:sz="18" w:space="0" w:color="auto"/>
            </w:tcBorders>
            <w:vAlign w:val="center"/>
          </w:tcPr>
          <w:p w14:paraId="4255C6FD" w14:textId="77777777" w:rsidR="004558FE" w:rsidRPr="002439BC" w:rsidRDefault="004558FE" w:rsidP="00895CB0">
            <w:pPr>
              <w:pStyle w:val="Nadpis1"/>
              <w:jc w:val="center"/>
              <w:rPr>
                <w:b/>
              </w:rPr>
            </w:pPr>
            <w:r w:rsidRPr="002439BC">
              <w:rPr>
                <w:b/>
              </w:rPr>
              <w:t>Poloha</w:t>
            </w:r>
          </w:p>
        </w:tc>
        <w:tc>
          <w:tcPr>
            <w:tcW w:w="5811" w:type="dxa"/>
            <w:gridSpan w:val="5"/>
            <w:tcBorders>
              <w:top w:val="single" w:sz="18" w:space="0" w:color="auto"/>
              <w:left w:val="nil"/>
              <w:bottom w:val="nil"/>
              <w:right w:val="single" w:sz="18" w:space="0" w:color="auto"/>
            </w:tcBorders>
          </w:tcPr>
          <w:p w14:paraId="6FBFB4D2" w14:textId="77777777" w:rsidR="004558FE" w:rsidRPr="002439BC" w:rsidRDefault="004558FE" w:rsidP="00895CB0">
            <w:pPr>
              <w:jc w:val="center"/>
              <w:rPr>
                <w:b/>
                <w:sz w:val="24"/>
              </w:rPr>
            </w:pPr>
            <w:r w:rsidRPr="002439BC">
              <w:rPr>
                <w:b/>
                <w:sz w:val="24"/>
              </w:rPr>
              <w:t>Průměrná cena v Kč/m</w:t>
            </w:r>
            <w:r w:rsidRPr="002439BC">
              <w:rPr>
                <w:b/>
                <w:sz w:val="24"/>
                <w:vertAlign w:val="superscript"/>
              </w:rPr>
              <w:t>2</w:t>
            </w:r>
            <w:r w:rsidRPr="002439BC">
              <w:rPr>
                <w:b/>
                <w:sz w:val="24"/>
              </w:rPr>
              <w:t xml:space="preserve"> v roce</w:t>
            </w:r>
          </w:p>
        </w:tc>
      </w:tr>
      <w:tr w:rsidR="004558FE" w:rsidRPr="002439BC" w14:paraId="61491C0A" w14:textId="77777777" w:rsidTr="00895CB0">
        <w:tc>
          <w:tcPr>
            <w:tcW w:w="3261" w:type="dxa"/>
            <w:vMerge/>
            <w:tcBorders>
              <w:left w:val="single" w:sz="18" w:space="0" w:color="auto"/>
              <w:bottom w:val="single" w:sz="18" w:space="0" w:color="auto"/>
              <w:right w:val="single" w:sz="18" w:space="0" w:color="auto"/>
            </w:tcBorders>
          </w:tcPr>
          <w:p w14:paraId="2118D238" w14:textId="77777777" w:rsidR="004558FE" w:rsidRPr="002439BC" w:rsidRDefault="004558FE" w:rsidP="00895CB0">
            <w:pPr>
              <w:pStyle w:val="Nadpis1"/>
              <w:rPr>
                <w:b/>
              </w:rPr>
            </w:pPr>
          </w:p>
        </w:tc>
        <w:tc>
          <w:tcPr>
            <w:tcW w:w="1134" w:type="dxa"/>
            <w:tcBorders>
              <w:top w:val="single" w:sz="12" w:space="0" w:color="auto"/>
              <w:left w:val="nil"/>
              <w:bottom w:val="single" w:sz="18" w:space="0" w:color="auto"/>
              <w:right w:val="single" w:sz="18" w:space="0" w:color="auto"/>
            </w:tcBorders>
          </w:tcPr>
          <w:p w14:paraId="50456C89" w14:textId="77777777" w:rsidR="004558FE" w:rsidRPr="002439BC" w:rsidRDefault="004558FE" w:rsidP="00895CB0">
            <w:pPr>
              <w:jc w:val="center"/>
              <w:rPr>
                <w:b/>
                <w:sz w:val="24"/>
              </w:rPr>
            </w:pPr>
            <w:r w:rsidRPr="002439BC">
              <w:rPr>
                <w:b/>
                <w:sz w:val="24"/>
              </w:rPr>
              <w:t>2018</w:t>
            </w:r>
          </w:p>
        </w:tc>
        <w:tc>
          <w:tcPr>
            <w:tcW w:w="1134" w:type="dxa"/>
            <w:tcBorders>
              <w:top w:val="single" w:sz="12" w:space="0" w:color="auto"/>
              <w:left w:val="single" w:sz="18" w:space="0" w:color="auto"/>
              <w:bottom w:val="single" w:sz="18" w:space="0" w:color="auto"/>
              <w:right w:val="single" w:sz="18" w:space="0" w:color="auto"/>
            </w:tcBorders>
          </w:tcPr>
          <w:p w14:paraId="12619478" w14:textId="77777777" w:rsidR="004558FE" w:rsidRPr="002439BC" w:rsidRDefault="004558FE" w:rsidP="00895CB0">
            <w:pPr>
              <w:jc w:val="center"/>
              <w:rPr>
                <w:b/>
                <w:sz w:val="24"/>
              </w:rPr>
            </w:pPr>
            <w:r w:rsidRPr="002439BC">
              <w:rPr>
                <w:b/>
                <w:sz w:val="24"/>
              </w:rPr>
              <w:t>2019</w:t>
            </w:r>
          </w:p>
        </w:tc>
        <w:tc>
          <w:tcPr>
            <w:tcW w:w="1134" w:type="dxa"/>
            <w:tcBorders>
              <w:top w:val="single" w:sz="12" w:space="0" w:color="auto"/>
              <w:left w:val="single" w:sz="18" w:space="0" w:color="auto"/>
              <w:bottom w:val="single" w:sz="18" w:space="0" w:color="auto"/>
              <w:right w:val="single" w:sz="18" w:space="0" w:color="auto"/>
            </w:tcBorders>
          </w:tcPr>
          <w:p w14:paraId="44898B1F" w14:textId="77777777" w:rsidR="004558FE" w:rsidRPr="002439BC" w:rsidRDefault="004558FE" w:rsidP="00895CB0">
            <w:pPr>
              <w:jc w:val="center"/>
              <w:rPr>
                <w:b/>
                <w:sz w:val="24"/>
              </w:rPr>
            </w:pPr>
            <w:r w:rsidRPr="002439BC">
              <w:rPr>
                <w:b/>
                <w:sz w:val="24"/>
              </w:rPr>
              <w:t>2020</w:t>
            </w:r>
          </w:p>
        </w:tc>
        <w:tc>
          <w:tcPr>
            <w:tcW w:w="1134" w:type="dxa"/>
            <w:tcBorders>
              <w:top w:val="single" w:sz="12" w:space="0" w:color="auto"/>
              <w:left w:val="single" w:sz="18" w:space="0" w:color="auto"/>
              <w:bottom w:val="single" w:sz="18" w:space="0" w:color="auto"/>
              <w:right w:val="single" w:sz="18" w:space="0" w:color="auto"/>
            </w:tcBorders>
          </w:tcPr>
          <w:p w14:paraId="6BAB01B2" w14:textId="77777777" w:rsidR="004558FE" w:rsidRPr="002439BC" w:rsidRDefault="004558FE" w:rsidP="00895CB0">
            <w:pPr>
              <w:jc w:val="center"/>
              <w:rPr>
                <w:b/>
                <w:sz w:val="24"/>
              </w:rPr>
            </w:pPr>
            <w:r w:rsidRPr="002439BC">
              <w:rPr>
                <w:b/>
                <w:sz w:val="24"/>
              </w:rPr>
              <w:t>202</w:t>
            </w:r>
            <w:r>
              <w:rPr>
                <w:b/>
                <w:sz w:val="24"/>
              </w:rPr>
              <w:t>1</w:t>
            </w:r>
          </w:p>
        </w:tc>
        <w:tc>
          <w:tcPr>
            <w:tcW w:w="1275" w:type="dxa"/>
            <w:tcBorders>
              <w:top w:val="single" w:sz="12" w:space="0" w:color="auto"/>
              <w:left w:val="single" w:sz="18" w:space="0" w:color="auto"/>
              <w:bottom w:val="single" w:sz="18" w:space="0" w:color="auto"/>
              <w:right w:val="single" w:sz="18" w:space="0" w:color="auto"/>
            </w:tcBorders>
          </w:tcPr>
          <w:p w14:paraId="1A6CF6EA" w14:textId="77777777" w:rsidR="004558FE" w:rsidRPr="002439BC" w:rsidRDefault="004558FE" w:rsidP="00895CB0">
            <w:pPr>
              <w:jc w:val="center"/>
              <w:rPr>
                <w:b/>
                <w:sz w:val="24"/>
              </w:rPr>
            </w:pPr>
            <w:r w:rsidRPr="002439BC">
              <w:rPr>
                <w:b/>
                <w:sz w:val="24"/>
              </w:rPr>
              <w:t>202</w:t>
            </w:r>
            <w:r>
              <w:rPr>
                <w:b/>
                <w:sz w:val="24"/>
              </w:rPr>
              <w:t>2</w:t>
            </w:r>
          </w:p>
        </w:tc>
      </w:tr>
      <w:tr w:rsidR="004558FE" w:rsidRPr="002439BC" w14:paraId="4B78155C" w14:textId="77777777" w:rsidTr="00895CB0">
        <w:tc>
          <w:tcPr>
            <w:tcW w:w="3261" w:type="dxa"/>
            <w:tcBorders>
              <w:top w:val="nil"/>
              <w:left w:val="single" w:sz="18" w:space="0" w:color="auto"/>
              <w:bottom w:val="single" w:sz="6" w:space="0" w:color="auto"/>
              <w:right w:val="single" w:sz="18" w:space="0" w:color="auto"/>
            </w:tcBorders>
          </w:tcPr>
          <w:p w14:paraId="4CC58BD7" w14:textId="77777777" w:rsidR="004558FE" w:rsidRPr="002439BC" w:rsidRDefault="004558FE" w:rsidP="00895CB0">
            <w:pPr>
              <w:rPr>
                <w:sz w:val="24"/>
              </w:rPr>
            </w:pPr>
            <w:r w:rsidRPr="002439BC">
              <w:rPr>
                <w:sz w:val="24"/>
              </w:rPr>
              <w:t>Vnitřní město</w:t>
            </w:r>
          </w:p>
        </w:tc>
        <w:tc>
          <w:tcPr>
            <w:tcW w:w="1134" w:type="dxa"/>
            <w:tcBorders>
              <w:top w:val="single" w:sz="18" w:space="0" w:color="auto"/>
              <w:left w:val="nil"/>
              <w:bottom w:val="single" w:sz="6" w:space="0" w:color="auto"/>
              <w:right w:val="single" w:sz="6" w:space="0" w:color="auto"/>
            </w:tcBorders>
            <w:vAlign w:val="bottom"/>
          </w:tcPr>
          <w:p w14:paraId="519299A3" w14:textId="77777777" w:rsidR="004558FE" w:rsidRPr="002439BC" w:rsidRDefault="004558FE" w:rsidP="00895CB0">
            <w:pPr>
              <w:jc w:val="center"/>
              <w:rPr>
                <w:sz w:val="24"/>
              </w:rPr>
            </w:pPr>
            <w:r w:rsidRPr="002439BC">
              <w:rPr>
                <w:sz w:val="24"/>
              </w:rPr>
              <w:t>1 012</w:t>
            </w:r>
          </w:p>
        </w:tc>
        <w:tc>
          <w:tcPr>
            <w:tcW w:w="1134" w:type="dxa"/>
            <w:tcBorders>
              <w:top w:val="nil"/>
              <w:left w:val="single" w:sz="6" w:space="0" w:color="auto"/>
              <w:bottom w:val="single" w:sz="6" w:space="0" w:color="auto"/>
              <w:right w:val="single" w:sz="6" w:space="0" w:color="auto"/>
            </w:tcBorders>
            <w:vAlign w:val="bottom"/>
          </w:tcPr>
          <w:p w14:paraId="001CD697" w14:textId="77777777" w:rsidR="004558FE" w:rsidRPr="002439BC" w:rsidRDefault="004558FE" w:rsidP="00895CB0">
            <w:pPr>
              <w:jc w:val="center"/>
              <w:rPr>
                <w:sz w:val="24"/>
              </w:rPr>
            </w:pPr>
            <w:r w:rsidRPr="002439BC">
              <w:rPr>
                <w:sz w:val="24"/>
              </w:rPr>
              <w:t>1 164</w:t>
            </w:r>
          </w:p>
        </w:tc>
        <w:tc>
          <w:tcPr>
            <w:tcW w:w="1134" w:type="dxa"/>
            <w:tcBorders>
              <w:top w:val="nil"/>
              <w:left w:val="single" w:sz="6" w:space="0" w:color="auto"/>
              <w:bottom w:val="single" w:sz="6" w:space="0" w:color="auto"/>
              <w:right w:val="single" w:sz="6" w:space="0" w:color="auto"/>
            </w:tcBorders>
            <w:vAlign w:val="bottom"/>
          </w:tcPr>
          <w:p w14:paraId="6D610032" w14:textId="77777777" w:rsidR="004558FE" w:rsidRPr="002439BC" w:rsidRDefault="004558FE" w:rsidP="00895CB0">
            <w:pPr>
              <w:jc w:val="center"/>
              <w:rPr>
                <w:sz w:val="24"/>
              </w:rPr>
            </w:pPr>
            <w:r w:rsidRPr="002439BC">
              <w:rPr>
                <w:sz w:val="24"/>
              </w:rPr>
              <w:t>1 858</w:t>
            </w:r>
          </w:p>
        </w:tc>
        <w:tc>
          <w:tcPr>
            <w:tcW w:w="1134" w:type="dxa"/>
            <w:tcBorders>
              <w:top w:val="nil"/>
              <w:left w:val="single" w:sz="6" w:space="0" w:color="auto"/>
              <w:bottom w:val="single" w:sz="6" w:space="0" w:color="auto"/>
              <w:right w:val="single" w:sz="2" w:space="0" w:color="auto"/>
            </w:tcBorders>
            <w:vAlign w:val="bottom"/>
          </w:tcPr>
          <w:p w14:paraId="3D5177D9" w14:textId="77777777" w:rsidR="004558FE" w:rsidRPr="002439BC" w:rsidRDefault="004558FE" w:rsidP="00895CB0">
            <w:pPr>
              <w:jc w:val="center"/>
              <w:rPr>
                <w:sz w:val="24"/>
              </w:rPr>
            </w:pPr>
            <w:r>
              <w:rPr>
                <w:sz w:val="24"/>
              </w:rPr>
              <w:t>1 359</w:t>
            </w:r>
          </w:p>
        </w:tc>
        <w:tc>
          <w:tcPr>
            <w:tcW w:w="1275" w:type="dxa"/>
            <w:tcBorders>
              <w:top w:val="nil"/>
              <w:left w:val="single" w:sz="2" w:space="0" w:color="auto"/>
              <w:bottom w:val="single" w:sz="6" w:space="0" w:color="auto"/>
              <w:right w:val="single" w:sz="18" w:space="0" w:color="auto"/>
            </w:tcBorders>
            <w:vAlign w:val="bottom"/>
          </w:tcPr>
          <w:p w14:paraId="796FA774" w14:textId="77777777" w:rsidR="004558FE" w:rsidRPr="002439BC" w:rsidRDefault="004558FE" w:rsidP="00895CB0">
            <w:pPr>
              <w:jc w:val="center"/>
              <w:rPr>
                <w:sz w:val="24"/>
              </w:rPr>
            </w:pPr>
            <w:r>
              <w:rPr>
                <w:sz w:val="24"/>
              </w:rPr>
              <w:t>3 002</w:t>
            </w:r>
          </w:p>
        </w:tc>
      </w:tr>
      <w:tr w:rsidR="004558FE" w:rsidRPr="002439BC" w14:paraId="3DC1049A" w14:textId="77777777" w:rsidTr="00895CB0">
        <w:tc>
          <w:tcPr>
            <w:tcW w:w="3261" w:type="dxa"/>
            <w:tcBorders>
              <w:top w:val="single" w:sz="6" w:space="0" w:color="auto"/>
              <w:left w:val="single" w:sz="18" w:space="0" w:color="auto"/>
              <w:bottom w:val="single" w:sz="6" w:space="0" w:color="auto"/>
              <w:right w:val="single" w:sz="18" w:space="0" w:color="auto"/>
            </w:tcBorders>
          </w:tcPr>
          <w:p w14:paraId="58D84CCD" w14:textId="77777777" w:rsidR="004558FE" w:rsidRPr="002439BC" w:rsidRDefault="004558FE" w:rsidP="00895CB0">
            <w:pPr>
              <w:rPr>
                <w:sz w:val="24"/>
              </w:rPr>
            </w:pPr>
            <w:r w:rsidRPr="002439BC">
              <w:rPr>
                <w:sz w:val="24"/>
              </w:rPr>
              <w:t>Okrajová část vnitřního města</w:t>
            </w:r>
          </w:p>
        </w:tc>
        <w:tc>
          <w:tcPr>
            <w:tcW w:w="1134" w:type="dxa"/>
            <w:tcBorders>
              <w:top w:val="single" w:sz="6" w:space="0" w:color="auto"/>
              <w:left w:val="nil"/>
              <w:bottom w:val="nil"/>
              <w:right w:val="single" w:sz="6" w:space="0" w:color="auto"/>
            </w:tcBorders>
            <w:vAlign w:val="bottom"/>
          </w:tcPr>
          <w:p w14:paraId="7D074144" w14:textId="77777777" w:rsidR="004558FE" w:rsidRPr="002439BC" w:rsidRDefault="004558FE" w:rsidP="00895CB0">
            <w:pPr>
              <w:jc w:val="center"/>
              <w:rPr>
                <w:sz w:val="24"/>
              </w:rPr>
            </w:pPr>
            <w:r w:rsidRPr="002439BC">
              <w:rPr>
                <w:sz w:val="24"/>
              </w:rPr>
              <w:t>735</w:t>
            </w:r>
          </w:p>
        </w:tc>
        <w:tc>
          <w:tcPr>
            <w:tcW w:w="1134" w:type="dxa"/>
            <w:tcBorders>
              <w:top w:val="single" w:sz="6" w:space="0" w:color="auto"/>
              <w:left w:val="single" w:sz="6" w:space="0" w:color="auto"/>
              <w:bottom w:val="nil"/>
              <w:right w:val="single" w:sz="6" w:space="0" w:color="auto"/>
            </w:tcBorders>
            <w:vAlign w:val="bottom"/>
          </w:tcPr>
          <w:p w14:paraId="1A5FC404" w14:textId="77777777" w:rsidR="004558FE" w:rsidRPr="002439BC" w:rsidRDefault="004558FE" w:rsidP="00895CB0">
            <w:pPr>
              <w:jc w:val="center"/>
              <w:rPr>
                <w:sz w:val="24"/>
              </w:rPr>
            </w:pPr>
            <w:r w:rsidRPr="002439BC">
              <w:rPr>
                <w:sz w:val="24"/>
              </w:rPr>
              <w:t>756</w:t>
            </w:r>
          </w:p>
        </w:tc>
        <w:tc>
          <w:tcPr>
            <w:tcW w:w="1134" w:type="dxa"/>
            <w:tcBorders>
              <w:top w:val="single" w:sz="6" w:space="0" w:color="auto"/>
              <w:left w:val="single" w:sz="6" w:space="0" w:color="auto"/>
              <w:bottom w:val="nil"/>
              <w:right w:val="single" w:sz="6" w:space="0" w:color="auto"/>
            </w:tcBorders>
            <w:vAlign w:val="bottom"/>
          </w:tcPr>
          <w:p w14:paraId="66EFA019" w14:textId="77777777" w:rsidR="004558FE" w:rsidRPr="002439BC" w:rsidRDefault="004558FE" w:rsidP="00895CB0">
            <w:pPr>
              <w:jc w:val="center"/>
              <w:rPr>
                <w:sz w:val="24"/>
              </w:rPr>
            </w:pPr>
            <w:r w:rsidRPr="002439BC">
              <w:rPr>
                <w:sz w:val="24"/>
              </w:rPr>
              <w:t>718</w:t>
            </w:r>
          </w:p>
        </w:tc>
        <w:tc>
          <w:tcPr>
            <w:tcW w:w="1134" w:type="dxa"/>
            <w:tcBorders>
              <w:top w:val="single" w:sz="6" w:space="0" w:color="auto"/>
              <w:left w:val="single" w:sz="6" w:space="0" w:color="auto"/>
              <w:bottom w:val="nil"/>
              <w:right w:val="single" w:sz="2" w:space="0" w:color="auto"/>
            </w:tcBorders>
            <w:vAlign w:val="bottom"/>
          </w:tcPr>
          <w:p w14:paraId="11DDC656" w14:textId="77777777" w:rsidR="004558FE" w:rsidRPr="002439BC" w:rsidRDefault="004558FE" w:rsidP="00895CB0">
            <w:pPr>
              <w:jc w:val="center"/>
              <w:rPr>
                <w:sz w:val="24"/>
              </w:rPr>
            </w:pPr>
            <w:r>
              <w:rPr>
                <w:sz w:val="24"/>
              </w:rPr>
              <w:t>917</w:t>
            </w:r>
          </w:p>
        </w:tc>
        <w:tc>
          <w:tcPr>
            <w:tcW w:w="1275" w:type="dxa"/>
            <w:tcBorders>
              <w:top w:val="single" w:sz="6" w:space="0" w:color="auto"/>
              <w:left w:val="single" w:sz="2" w:space="0" w:color="auto"/>
              <w:bottom w:val="nil"/>
              <w:right w:val="single" w:sz="18" w:space="0" w:color="auto"/>
            </w:tcBorders>
            <w:vAlign w:val="bottom"/>
          </w:tcPr>
          <w:p w14:paraId="040E9043" w14:textId="77777777" w:rsidR="004558FE" w:rsidRPr="002439BC" w:rsidRDefault="004558FE" w:rsidP="00895CB0">
            <w:pPr>
              <w:jc w:val="center"/>
              <w:rPr>
                <w:sz w:val="24"/>
              </w:rPr>
            </w:pPr>
            <w:r>
              <w:rPr>
                <w:sz w:val="24"/>
              </w:rPr>
              <w:t xml:space="preserve"> 1 181</w:t>
            </w:r>
          </w:p>
        </w:tc>
      </w:tr>
      <w:tr w:rsidR="004558FE" w:rsidRPr="002439BC" w14:paraId="4F01B902" w14:textId="77777777" w:rsidTr="00895CB0">
        <w:tc>
          <w:tcPr>
            <w:tcW w:w="3261" w:type="dxa"/>
            <w:tcBorders>
              <w:top w:val="single" w:sz="6" w:space="0" w:color="auto"/>
              <w:left w:val="single" w:sz="18" w:space="0" w:color="auto"/>
              <w:bottom w:val="single" w:sz="6" w:space="0" w:color="auto"/>
              <w:right w:val="nil"/>
            </w:tcBorders>
          </w:tcPr>
          <w:p w14:paraId="30DA4C82" w14:textId="77777777" w:rsidR="004558FE" w:rsidRPr="002439BC" w:rsidRDefault="004558FE" w:rsidP="00895CB0">
            <w:pPr>
              <w:rPr>
                <w:sz w:val="24"/>
              </w:rPr>
            </w:pPr>
            <w:r w:rsidRPr="002439BC">
              <w:rPr>
                <w:sz w:val="24"/>
              </w:rPr>
              <w:t>Průmyslové části</w:t>
            </w:r>
          </w:p>
        </w:tc>
        <w:tc>
          <w:tcPr>
            <w:tcW w:w="1134" w:type="dxa"/>
            <w:tcBorders>
              <w:top w:val="single" w:sz="6" w:space="0" w:color="auto"/>
              <w:left w:val="single" w:sz="18" w:space="0" w:color="auto"/>
              <w:bottom w:val="single" w:sz="6" w:space="0" w:color="auto"/>
              <w:right w:val="single" w:sz="6" w:space="0" w:color="auto"/>
            </w:tcBorders>
            <w:vAlign w:val="bottom"/>
          </w:tcPr>
          <w:p w14:paraId="41B5D26C" w14:textId="77777777" w:rsidR="004558FE" w:rsidRPr="002439BC" w:rsidRDefault="004558FE" w:rsidP="00895CB0">
            <w:pPr>
              <w:jc w:val="center"/>
              <w:rPr>
                <w:sz w:val="24"/>
              </w:rPr>
            </w:pPr>
            <w:r w:rsidRPr="002439BC">
              <w:rPr>
                <w:sz w:val="24"/>
              </w:rPr>
              <w:t>700</w:t>
            </w:r>
          </w:p>
        </w:tc>
        <w:tc>
          <w:tcPr>
            <w:tcW w:w="1134" w:type="dxa"/>
            <w:tcBorders>
              <w:top w:val="single" w:sz="6" w:space="0" w:color="auto"/>
              <w:left w:val="single" w:sz="6" w:space="0" w:color="auto"/>
              <w:bottom w:val="single" w:sz="6" w:space="0" w:color="auto"/>
              <w:right w:val="single" w:sz="6" w:space="0" w:color="auto"/>
            </w:tcBorders>
            <w:vAlign w:val="bottom"/>
          </w:tcPr>
          <w:p w14:paraId="77563FBD" w14:textId="77777777" w:rsidR="004558FE" w:rsidRPr="002439BC" w:rsidRDefault="004558FE" w:rsidP="00895CB0">
            <w:pPr>
              <w:jc w:val="center"/>
              <w:rPr>
                <w:sz w:val="24"/>
              </w:rPr>
            </w:pPr>
            <w:r w:rsidRPr="002439BC">
              <w:rPr>
                <w:sz w:val="24"/>
              </w:rPr>
              <w:t>732</w:t>
            </w:r>
          </w:p>
        </w:tc>
        <w:tc>
          <w:tcPr>
            <w:tcW w:w="1134" w:type="dxa"/>
            <w:tcBorders>
              <w:top w:val="single" w:sz="6" w:space="0" w:color="auto"/>
              <w:left w:val="single" w:sz="6" w:space="0" w:color="auto"/>
              <w:bottom w:val="single" w:sz="6" w:space="0" w:color="auto"/>
              <w:right w:val="single" w:sz="6" w:space="0" w:color="auto"/>
            </w:tcBorders>
            <w:vAlign w:val="bottom"/>
          </w:tcPr>
          <w:p w14:paraId="42D832F1" w14:textId="77777777" w:rsidR="004558FE" w:rsidRPr="002439BC" w:rsidRDefault="004558FE" w:rsidP="00895CB0">
            <w:pPr>
              <w:jc w:val="center"/>
              <w:rPr>
                <w:sz w:val="24"/>
              </w:rPr>
            </w:pPr>
            <w:r w:rsidRPr="002439BC">
              <w:rPr>
                <w:sz w:val="24"/>
              </w:rPr>
              <w:t>734</w:t>
            </w:r>
          </w:p>
        </w:tc>
        <w:tc>
          <w:tcPr>
            <w:tcW w:w="1134" w:type="dxa"/>
            <w:tcBorders>
              <w:top w:val="single" w:sz="6" w:space="0" w:color="auto"/>
              <w:left w:val="single" w:sz="6" w:space="0" w:color="auto"/>
              <w:bottom w:val="single" w:sz="6" w:space="0" w:color="auto"/>
              <w:right w:val="single" w:sz="2" w:space="0" w:color="auto"/>
            </w:tcBorders>
            <w:vAlign w:val="bottom"/>
          </w:tcPr>
          <w:p w14:paraId="7B2715FF" w14:textId="77777777" w:rsidR="004558FE" w:rsidRPr="002439BC" w:rsidRDefault="004558FE" w:rsidP="00895CB0">
            <w:pPr>
              <w:jc w:val="center"/>
              <w:rPr>
                <w:sz w:val="24"/>
              </w:rPr>
            </w:pPr>
            <w:r>
              <w:rPr>
                <w:sz w:val="24"/>
              </w:rPr>
              <w:t>576</w:t>
            </w:r>
          </w:p>
        </w:tc>
        <w:tc>
          <w:tcPr>
            <w:tcW w:w="1275" w:type="dxa"/>
            <w:tcBorders>
              <w:top w:val="single" w:sz="6" w:space="0" w:color="auto"/>
              <w:left w:val="single" w:sz="2" w:space="0" w:color="auto"/>
              <w:bottom w:val="single" w:sz="6" w:space="0" w:color="auto"/>
              <w:right w:val="single" w:sz="18" w:space="0" w:color="auto"/>
            </w:tcBorders>
            <w:vAlign w:val="bottom"/>
          </w:tcPr>
          <w:p w14:paraId="2583DEA9" w14:textId="77777777" w:rsidR="004558FE" w:rsidRPr="002439BC" w:rsidRDefault="004558FE" w:rsidP="00895CB0">
            <w:pPr>
              <w:jc w:val="center"/>
              <w:rPr>
                <w:sz w:val="24"/>
              </w:rPr>
            </w:pPr>
            <w:r>
              <w:rPr>
                <w:sz w:val="24"/>
              </w:rPr>
              <w:t>951</w:t>
            </w:r>
          </w:p>
        </w:tc>
      </w:tr>
      <w:tr w:rsidR="004558FE" w:rsidRPr="00231ABC" w14:paraId="7FD79A3D" w14:textId="77777777" w:rsidTr="00895CB0">
        <w:tc>
          <w:tcPr>
            <w:tcW w:w="3261" w:type="dxa"/>
            <w:tcBorders>
              <w:top w:val="single" w:sz="6" w:space="0" w:color="auto"/>
              <w:left w:val="single" w:sz="18" w:space="0" w:color="auto"/>
              <w:bottom w:val="single" w:sz="18" w:space="0" w:color="auto"/>
              <w:right w:val="single" w:sz="18" w:space="0" w:color="auto"/>
            </w:tcBorders>
          </w:tcPr>
          <w:p w14:paraId="102363BC" w14:textId="77777777" w:rsidR="004558FE" w:rsidRPr="002439BC" w:rsidRDefault="004558FE" w:rsidP="00895CB0">
            <w:pPr>
              <w:rPr>
                <w:sz w:val="24"/>
              </w:rPr>
            </w:pPr>
            <w:r w:rsidRPr="002439BC">
              <w:rPr>
                <w:sz w:val="24"/>
              </w:rPr>
              <w:t>Území mimo kompaktní město</w:t>
            </w:r>
          </w:p>
        </w:tc>
        <w:tc>
          <w:tcPr>
            <w:tcW w:w="1134" w:type="dxa"/>
            <w:tcBorders>
              <w:top w:val="single" w:sz="6" w:space="0" w:color="auto"/>
              <w:left w:val="nil"/>
              <w:bottom w:val="single" w:sz="18" w:space="0" w:color="auto"/>
              <w:right w:val="single" w:sz="6" w:space="0" w:color="auto"/>
            </w:tcBorders>
            <w:vAlign w:val="bottom"/>
          </w:tcPr>
          <w:p w14:paraId="38B5ED40" w14:textId="77777777" w:rsidR="004558FE" w:rsidRPr="002439BC" w:rsidRDefault="004558FE" w:rsidP="00895CB0">
            <w:pPr>
              <w:jc w:val="center"/>
              <w:rPr>
                <w:sz w:val="24"/>
              </w:rPr>
            </w:pPr>
            <w:r w:rsidRPr="002439BC">
              <w:rPr>
                <w:sz w:val="24"/>
              </w:rPr>
              <w:t>712</w:t>
            </w:r>
          </w:p>
        </w:tc>
        <w:tc>
          <w:tcPr>
            <w:tcW w:w="1134" w:type="dxa"/>
            <w:tcBorders>
              <w:top w:val="single" w:sz="6" w:space="0" w:color="auto"/>
              <w:left w:val="single" w:sz="6" w:space="0" w:color="auto"/>
              <w:bottom w:val="single" w:sz="18" w:space="0" w:color="auto"/>
              <w:right w:val="single" w:sz="6" w:space="0" w:color="auto"/>
            </w:tcBorders>
            <w:vAlign w:val="bottom"/>
          </w:tcPr>
          <w:p w14:paraId="365B94CE" w14:textId="77777777" w:rsidR="004558FE" w:rsidRPr="002439BC" w:rsidRDefault="004558FE" w:rsidP="00895CB0">
            <w:pPr>
              <w:jc w:val="center"/>
              <w:rPr>
                <w:sz w:val="24"/>
              </w:rPr>
            </w:pPr>
            <w:r w:rsidRPr="002439BC">
              <w:rPr>
                <w:sz w:val="24"/>
              </w:rPr>
              <w:t>703</w:t>
            </w:r>
          </w:p>
        </w:tc>
        <w:tc>
          <w:tcPr>
            <w:tcW w:w="1134" w:type="dxa"/>
            <w:tcBorders>
              <w:top w:val="single" w:sz="6" w:space="0" w:color="auto"/>
              <w:left w:val="single" w:sz="6" w:space="0" w:color="auto"/>
              <w:bottom w:val="single" w:sz="18" w:space="0" w:color="auto"/>
              <w:right w:val="single" w:sz="6" w:space="0" w:color="auto"/>
            </w:tcBorders>
            <w:vAlign w:val="bottom"/>
          </w:tcPr>
          <w:p w14:paraId="72687388" w14:textId="77777777" w:rsidR="004558FE" w:rsidRPr="002439BC" w:rsidRDefault="004558FE" w:rsidP="00895CB0">
            <w:pPr>
              <w:jc w:val="center"/>
              <w:rPr>
                <w:sz w:val="24"/>
              </w:rPr>
            </w:pPr>
            <w:r w:rsidRPr="002439BC">
              <w:rPr>
                <w:sz w:val="24"/>
              </w:rPr>
              <w:t>812</w:t>
            </w:r>
          </w:p>
        </w:tc>
        <w:tc>
          <w:tcPr>
            <w:tcW w:w="1134" w:type="dxa"/>
            <w:tcBorders>
              <w:top w:val="single" w:sz="6" w:space="0" w:color="auto"/>
              <w:left w:val="single" w:sz="6" w:space="0" w:color="auto"/>
              <w:bottom w:val="single" w:sz="18" w:space="0" w:color="auto"/>
              <w:right w:val="single" w:sz="2" w:space="0" w:color="auto"/>
            </w:tcBorders>
            <w:vAlign w:val="bottom"/>
          </w:tcPr>
          <w:p w14:paraId="2C251A4C" w14:textId="77777777" w:rsidR="004558FE" w:rsidRPr="002439BC" w:rsidRDefault="004558FE" w:rsidP="00895CB0">
            <w:pPr>
              <w:jc w:val="center"/>
              <w:rPr>
                <w:sz w:val="24"/>
              </w:rPr>
            </w:pPr>
            <w:r>
              <w:rPr>
                <w:sz w:val="24"/>
              </w:rPr>
              <w:t>688</w:t>
            </w:r>
          </w:p>
        </w:tc>
        <w:tc>
          <w:tcPr>
            <w:tcW w:w="1275" w:type="dxa"/>
            <w:tcBorders>
              <w:top w:val="single" w:sz="6" w:space="0" w:color="auto"/>
              <w:left w:val="single" w:sz="2" w:space="0" w:color="auto"/>
              <w:bottom w:val="single" w:sz="18" w:space="0" w:color="auto"/>
              <w:right w:val="single" w:sz="18" w:space="0" w:color="auto"/>
            </w:tcBorders>
            <w:vAlign w:val="bottom"/>
          </w:tcPr>
          <w:p w14:paraId="266EB30C" w14:textId="77777777" w:rsidR="004558FE" w:rsidRPr="00231ABC" w:rsidRDefault="004558FE" w:rsidP="00895CB0">
            <w:pPr>
              <w:jc w:val="center"/>
              <w:rPr>
                <w:sz w:val="24"/>
              </w:rPr>
            </w:pPr>
            <w:r>
              <w:rPr>
                <w:sz w:val="24"/>
              </w:rPr>
              <w:t>1 003</w:t>
            </w:r>
          </w:p>
        </w:tc>
      </w:tr>
    </w:tbl>
    <w:p w14:paraId="0D450FEC" w14:textId="277F12D6" w:rsidR="004558FE" w:rsidRPr="00231ABC" w:rsidRDefault="004558FE" w:rsidP="004558FE">
      <w:pPr>
        <w:spacing w:before="240" w:after="120"/>
        <w:ind w:firstLine="425"/>
        <w:jc w:val="both"/>
        <w:rPr>
          <w:sz w:val="24"/>
        </w:rPr>
      </w:pPr>
      <w:r>
        <w:rPr>
          <w:sz w:val="24"/>
        </w:rPr>
        <w:t xml:space="preserve">Dalším </w:t>
      </w:r>
      <w:r w:rsidRPr="00231ABC">
        <w:rPr>
          <w:sz w:val="24"/>
        </w:rPr>
        <w:t>významný</w:t>
      </w:r>
      <w:r>
        <w:rPr>
          <w:sz w:val="24"/>
        </w:rPr>
        <w:t>m ukazatelem hodnocení je</w:t>
      </w:r>
      <w:r w:rsidRPr="00231ABC">
        <w:rPr>
          <w:sz w:val="24"/>
        </w:rPr>
        <w:t xml:space="preserve"> údaj o </w:t>
      </w:r>
      <w:r w:rsidRPr="00B27DA6">
        <w:rPr>
          <w:b/>
          <w:sz w:val="24"/>
        </w:rPr>
        <w:t>celkovém</w:t>
      </w:r>
      <w:r w:rsidRPr="00231ABC">
        <w:rPr>
          <w:sz w:val="24"/>
        </w:rPr>
        <w:t xml:space="preserve"> </w:t>
      </w:r>
      <w:r w:rsidRPr="00231ABC">
        <w:rPr>
          <w:b/>
          <w:sz w:val="24"/>
        </w:rPr>
        <w:t>objemu obchodů</w:t>
      </w:r>
      <w:r w:rsidRPr="00231ABC">
        <w:rPr>
          <w:sz w:val="24"/>
        </w:rPr>
        <w:t xml:space="preserve"> se stavebními pozemky na území města (měřený absolutní hodnotou v mil. Kč), kde byl </w:t>
      </w:r>
      <w:r>
        <w:rPr>
          <w:sz w:val="24"/>
        </w:rPr>
        <w:t xml:space="preserve">spolu </w:t>
      </w:r>
      <w:r w:rsidRPr="00697408">
        <w:rPr>
          <w:sz w:val="24"/>
        </w:rPr>
        <w:t>s </w:t>
      </w:r>
      <w:r w:rsidR="006B26D8" w:rsidRPr="00697408">
        <w:rPr>
          <w:sz w:val="24"/>
        </w:rPr>
        <w:t>nárůst</w:t>
      </w:r>
      <w:r w:rsidRPr="00697408">
        <w:rPr>
          <w:sz w:val="24"/>
        </w:rPr>
        <w:t>em průměrných cen sledován skokový nárůst o 136 %, řádově o 791 mil. Kč oproti</w:t>
      </w:r>
      <w:r w:rsidRPr="00F61EA5">
        <w:rPr>
          <w:sz w:val="24"/>
        </w:rPr>
        <w:t xml:space="preserve"> minulému období, kdy byly na území města Ostravy v segmentu stavebních pozemků zobchodovány </w:t>
      </w:r>
      <w:r>
        <w:rPr>
          <w:sz w:val="24"/>
        </w:rPr>
        <w:t>pozemky</w:t>
      </w:r>
      <w:r w:rsidRPr="00F61EA5">
        <w:rPr>
          <w:sz w:val="24"/>
        </w:rPr>
        <w:t xml:space="preserve"> </w:t>
      </w:r>
      <w:r>
        <w:rPr>
          <w:sz w:val="24"/>
        </w:rPr>
        <w:t>za</w:t>
      </w:r>
      <w:r w:rsidRPr="00F61EA5">
        <w:rPr>
          <w:sz w:val="24"/>
        </w:rPr>
        <w:t xml:space="preserve"> </w:t>
      </w:r>
      <w:r>
        <w:rPr>
          <w:sz w:val="24"/>
        </w:rPr>
        <w:t>581 mil.</w:t>
      </w:r>
      <w:r w:rsidRPr="00F61EA5">
        <w:rPr>
          <w:sz w:val="24"/>
        </w:rPr>
        <w:t xml:space="preserve"> Kč. </w:t>
      </w:r>
      <w:r>
        <w:rPr>
          <w:sz w:val="24"/>
        </w:rPr>
        <w:t xml:space="preserve">Nárůst </w:t>
      </w:r>
      <w:r w:rsidRPr="00F61EA5">
        <w:rPr>
          <w:sz w:val="24"/>
        </w:rPr>
        <w:t xml:space="preserve">objemu </w:t>
      </w:r>
      <w:r>
        <w:rPr>
          <w:sz w:val="24"/>
        </w:rPr>
        <w:t xml:space="preserve">převodů </w:t>
      </w:r>
      <w:r w:rsidRPr="00F61EA5">
        <w:rPr>
          <w:sz w:val="24"/>
        </w:rPr>
        <w:t>byl</w:t>
      </w:r>
      <w:r w:rsidRPr="00BE5656">
        <w:rPr>
          <w:sz w:val="24"/>
        </w:rPr>
        <w:t xml:space="preserve"> zaznamenán </w:t>
      </w:r>
      <w:r>
        <w:rPr>
          <w:sz w:val="24"/>
        </w:rPr>
        <w:t xml:space="preserve">ve všech </w:t>
      </w:r>
      <w:r w:rsidRPr="006B26D8">
        <w:rPr>
          <w:sz w:val="24"/>
        </w:rPr>
        <w:t>částech města, ve vnitřním městě (o 311 %, v absolutní hodnotě o 273 mil. Kč), v</w:t>
      </w:r>
      <w:r w:rsidR="006B26D8" w:rsidRPr="006B26D8">
        <w:rPr>
          <w:sz w:val="24"/>
        </w:rPr>
        <w:t> </w:t>
      </w:r>
      <w:r w:rsidRPr="006B26D8">
        <w:rPr>
          <w:sz w:val="24"/>
        </w:rPr>
        <w:t xml:space="preserve"> průmyslových částech města (o 783 %</w:t>
      </w:r>
      <w:r w:rsidR="00033C88">
        <w:rPr>
          <w:sz w:val="24"/>
        </w:rPr>
        <w:t>,</w:t>
      </w:r>
      <w:r w:rsidRPr="006B26D8">
        <w:rPr>
          <w:sz w:val="24"/>
        </w:rPr>
        <w:t xml:space="preserve"> což představuje 185 mil. Kč), v dalších dvou oblastech došlo také k nárůstu objemu transakcí - v okrajových částech vnitřního města</w:t>
      </w:r>
      <w:r>
        <w:rPr>
          <w:sz w:val="24"/>
        </w:rPr>
        <w:t xml:space="preserve"> </w:t>
      </w:r>
      <w:r w:rsidRPr="00BE5656">
        <w:rPr>
          <w:sz w:val="24"/>
        </w:rPr>
        <w:t>o </w:t>
      </w:r>
      <w:r>
        <w:rPr>
          <w:sz w:val="24"/>
        </w:rPr>
        <w:t>84</w:t>
      </w:r>
      <w:r w:rsidRPr="00BE5656">
        <w:rPr>
          <w:sz w:val="24"/>
        </w:rPr>
        <w:t> %</w:t>
      </w:r>
      <w:r>
        <w:rPr>
          <w:sz w:val="24"/>
        </w:rPr>
        <w:t xml:space="preserve"> a</w:t>
      </w:r>
      <w:r w:rsidRPr="00BE5656">
        <w:rPr>
          <w:sz w:val="24"/>
        </w:rPr>
        <w:t xml:space="preserve"> </w:t>
      </w:r>
      <w:r>
        <w:rPr>
          <w:sz w:val="24"/>
        </w:rPr>
        <w:t xml:space="preserve">dále v území mimo kompaktní město </w:t>
      </w:r>
      <w:r w:rsidRPr="00BE5656">
        <w:rPr>
          <w:sz w:val="24"/>
        </w:rPr>
        <w:t>o </w:t>
      </w:r>
      <w:r>
        <w:rPr>
          <w:sz w:val="24"/>
        </w:rPr>
        <w:t>65</w:t>
      </w:r>
      <w:r w:rsidRPr="00BE5656">
        <w:rPr>
          <w:sz w:val="24"/>
        </w:rPr>
        <w:t xml:space="preserve"> %, v absolutní hodnotě </w:t>
      </w:r>
      <w:r w:rsidR="006B26D8">
        <w:rPr>
          <w:sz w:val="24"/>
        </w:rPr>
        <w:t xml:space="preserve">celkem </w:t>
      </w:r>
      <w:r w:rsidRPr="00697408">
        <w:rPr>
          <w:sz w:val="24"/>
        </w:rPr>
        <w:t>o</w:t>
      </w:r>
      <w:r w:rsidR="006B26D8" w:rsidRPr="00697408">
        <w:rPr>
          <w:sz w:val="24"/>
        </w:rPr>
        <w:t> </w:t>
      </w:r>
      <w:r w:rsidRPr="00697408">
        <w:rPr>
          <w:sz w:val="24"/>
        </w:rPr>
        <w:t>332</w:t>
      </w:r>
      <w:r w:rsidR="006B26D8" w:rsidRPr="00697408">
        <w:rPr>
          <w:sz w:val="24"/>
        </w:rPr>
        <w:t> </w:t>
      </w:r>
      <w:r w:rsidRPr="00697408">
        <w:rPr>
          <w:sz w:val="24"/>
        </w:rPr>
        <w:t>mil. Kč</w:t>
      </w:r>
      <w:r w:rsidR="006B26D8" w:rsidRPr="00697408">
        <w:rPr>
          <w:sz w:val="24"/>
        </w:rPr>
        <w:t xml:space="preserve"> za obě tyto kategorie</w:t>
      </w:r>
      <w:r w:rsidRPr="00697408">
        <w:rPr>
          <w:sz w:val="24"/>
        </w:rPr>
        <w:t>.</w:t>
      </w:r>
    </w:p>
    <w:p w14:paraId="2D808AA8" w14:textId="1B730B24" w:rsidR="004558FE" w:rsidRPr="004B0F33" w:rsidRDefault="004558FE" w:rsidP="004558FE">
      <w:pPr>
        <w:pStyle w:val="Nadpis2"/>
        <w:numPr>
          <w:ilvl w:val="0"/>
          <w:numId w:val="0"/>
        </w:numPr>
        <w:tabs>
          <w:tab w:val="clear" w:pos="576"/>
        </w:tabs>
        <w:spacing w:before="120" w:after="120"/>
      </w:pPr>
      <w:r w:rsidRPr="00033C88">
        <w:lastRenderedPageBreak/>
        <w:t xml:space="preserve">Tab. – Vývoj objemů převodů </w:t>
      </w:r>
      <w:r w:rsidR="00033C88" w:rsidRPr="00033C88">
        <w:t xml:space="preserve">v </w:t>
      </w:r>
      <w:r w:rsidRPr="00033C88">
        <w:t>jednotlivých územích města</w:t>
      </w:r>
      <w:r w:rsidR="00033C88" w:rsidRPr="00033C88">
        <w:t xml:space="preserve"> </w:t>
      </w:r>
      <w:r w:rsidR="00033C88" w:rsidRPr="00033C88">
        <w:t>v letech</w:t>
      </w:r>
      <w:r w:rsidRPr="004B0F33">
        <w:t xml:space="preserve">  </w:t>
      </w:r>
    </w:p>
    <w:tbl>
      <w:tblPr>
        <w:tblW w:w="907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61"/>
        <w:gridCol w:w="992"/>
        <w:gridCol w:w="1134"/>
        <w:gridCol w:w="1134"/>
        <w:gridCol w:w="1134"/>
        <w:gridCol w:w="1417"/>
      </w:tblGrid>
      <w:tr w:rsidR="004558FE" w:rsidRPr="004B0F33" w14:paraId="437C7CF3" w14:textId="77777777" w:rsidTr="00895CB0">
        <w:trPr>
          <w:cantSplit/>
        </w:trPr>
        <w:tc>
          <w:tcPr>
            <w:tcW w:w="3261" w:type="dxa"/>
            <w:vMerge w:val="restart"/>
            <w:tcBorders>
              <w:top w:val="single" w:sz="18" w:space="0" w:color="auto"/>
              <w:left w:val="single" w:sz="18" w:space="0" w:color="auto"/>
              <w:right w:val="single" w:sz="18" w:space="0" w:color="auto"/>
            </w:tcBorders>
            <w:vAlign w:val="center"/>
          </w:tcPr>
          <w:p w14:paraId="3754122B" w14:textId="77777777" w:rsidR="004558FE" w:rsidRPr="004B0F33" w:rsidRDefault="004558FE" w:rsidP="00895CB0">
            <w:pPr>
              <w:pStyle w:val="Nadpis1"/>
              <w:jc w:val="center"/>
              <w:rPr>
                <w:b/>
              </w:rPr>
            </w:pPr>
            <w:r w:rsidRPr="004B0F33">
              <w:rPr>
                <w:b/>
              </w:rPr>
              <w:t>Poloha</w:t>
            </w:r>
          </w:p>
        </w:tc>
        <w:tc>
          <w:tcPr>
            <w:tcW w:w="4394" w:type="dxa"/>
            <w:gridSpan w:val="4"/>
            <w:tcBorders>
              <w:top w:val="single" w:sz="18" w:space="0" w:color="auto"/>
              <w:left w:val="nil"/>
              <w:bottom w:val="nil"/>
              <w:right w:val="single" w:sz="18" w:space="0" w:color="auto"/>
            </w:tcBorders>
          </w:tcPr>
          <w:p w14:paraId="2F49CBDF" w14:textId="77777777" w:rsidR="004558FE" w:rsidRPr="004B0F33" w:rsidRDefault="004558FE" w:rsidP="00895CB0">
            <w:pPr>
              <w:jc w:val="center"/>
              <w:rPr>
                <w:b/>
                <w:sz w:val="24"/>
              </w:rPr>
            </w:pPr>
            <w:r w:rsidRPr="004B0F33">
              <w:rPr>
                <w:b/>
                <w:sz w:val="24"/>
              </w:rPr>
              <w:t>Objemy převodů v mil. Kč</w:t>
            </w:r>
          </w:p>
        </w:tc>
        <w:tc>
          <w:tcPr>
            <w:tcW w:w="1417" w:type="dxa"/>
            <w:vMerge w:val="restart"/>
            <w:tcBorders>
              <w:top w:val="single" w:sz="18" w:space="0" w:color="auto"/>
              <w:left w:val="nil"/>
              <w:right w:val="single" w:sz="18" w:space="0" w:color="auto"/>
            </w:tcBorders>
          </w:tcPr>
          <w:p w14:paraId="3D1EF218" w14:textId="77777777" w:rsidR="004558FE" w:rsidRPr="004B0F33" w:rsidRDefault="004558FE" w:rsidP="00895CB0">
            <w:pPr>
              <w:jc w:val="center"/>
              <w:rPr>
                <w:b/>
                <w:sz w:val="24"/>
              </w:rPr>
            </w:pPr>
            <w:r w:rsidRPr="004B0F33">
              <w:rPr>
                <w:b/>
                <w:sz w:val="24"/>
              </w:rPr>
              <w:t>Meziroční změna v %</w:t>
            </w:r>
          </w:p>
          <w:p w14:paraId="673A5284" w14:textId="77777777" w:rsidR="004558FE" w:rsidRPr="004B0F33" w:rsidRDefault="004558FE" w:rsidP="00895CB0">
            <w:pPr>
              <w:jc w:val="center"/>
              <w:rPr>
                <w:b/>
                <w:sz w:val="24"/>
              </w:rPr>
            </w:pPr>
            <w:r w:rsidRPr="004B0F33">
              <w:rPr>
                <w:b/>
                <w:sz w:val="24"/>
              </w:rPr>
              <w:t>20</w:t>
            </w:r>
            <w:r>
              <w:rPr>
                <w:b/>
                <w:sz w:val="24"/>
              </w:rPr>
              <w:t>21</w:t>
            </w:r>
            <w:r w:rsidRPr="004B0F33">
              <w:rPr>
                <w:b/>
                <w:sz w:val="24"/>
              </w:rPr>
              <w:t>-20</w:t>
            </w:r>
            <w:r>
              <w:rPr>
                <w:b/>
                <w:sz w:val="24"/>
              </w:rPr>
              <w:t>22</w:t>
            </w:r>
          </w:p>
        </w:tc>
      </w:tr>
      <w:tr w:rsidR="004558FE" w:rsidRPr="004B0F33" w14:paraId="55EE5973" w14:textId="77777777" w:rsidTr="00895CB0">
        <w:tc>
          <w:tcPr>
            <w:tcW w:w="3261" w:type="dxa"/>
            <w:vMerge/>
            <w:tcBorders>
              <w:left w:val="single" w:sz="18" w:space="0" w:color="auto"/>
              <w:bottom w:val="single" w:sz="18" w:space="0" w:color="auto"/>
              <w:right w:val="single" w:sz="18" w:space="0" w:color="auto"/>
            </w:tcBorders>
          </w:tcPr>
          <w:p w14:paraId="19D25ECE" w14:textId="77777777" w:rsidR="004558FE" w:rsidRPr="004B0F33" w:rsidRDefault="004558FE" w:rsidP="00895CB0">
            <w:pPr>
              <w:pStyle w:val="Nadpis1"/>
              <w:rPr>
                <w:b/>
              </w:rPr>
            </w:pPr>
          </w:p>
        </w:tc>
        <w:tc>
          <w:tcPr>
            <w:tcW w:w="992" w:type="dxa"/>
            <w:tcBorders>
              <w:top w:val="single" w:sz="12" w:space="0" w:color="auto"/>
              <w:left w:val="nil"/>
              <w:bottom w:val="single" w:sz="18" w:space="0" w:color="auto"/>
              <w:right w:val="single" w:sz="18" w:space="0" w:color="auto"/>
            </w:tcBorders>
            <w:vAlign w:val="center"/>
          </w:tcPr>
          <w:p w14:paraId="368BC739" w14:textId="77777777" w:rsidR="004558FE" w:rsidRPr="004B0F33" w:rsidRDefault="004558FE" w:rsidP="00895CB0">
            <w:pPr>
              <w:jc w:val="center"/>
              <w:rPr>
                <w:b/>
                <w:sz w:val="24"/>
              </w:rPr>
            </w:pPr>
            <w:r w:rsidRPr="004B0F33">
              <w:rPr>
                <w:b/>
                <w:sz w:val="24"/>
              </w:rPr>
              <w:t>2019</w:t>
            </w:r>
          </w:p>
        </w:tc>
        <w:tc>
          <w:tcPr>
            <w:tcW w:w="1134" w:type="dxa"/>
            <w:tcBorders>
              <w:top w:val="single" w:sz="12" w:space="0" w:color="auto"/>
              <w:left w:val="single" w:sz="18" w:space="0" w:color="auto"/>
              <w:bottom w:val="single" w:sz="18" w:space="0" w:color="auto"/>
              <w:right w:val="single" w:sz="18" w:space="0" w:color="auto"/>
            </w:tcBorders>
            <w:vAlign w:val="center"/>
          </w:tcPr>
          <w:p w14:paraId="2B66AD00" w14:textId="77777777" w:rsidR="004558FE" w:rsidRPr="004B0F33" w:rsidRDefault="004558FE" w:rsidP="00895CB0">
            <w:pPr>
              <w:jc w:val="center"/>
              <w:rPr>
                <w:b/>
                <w:sz w:val="24"/>
              </w:rPr>
            </w:pPr>
            <w:r w:rsidRPr="004B0F33">
              <w:rPr>
                <w:b/>
                <w:sz w:val="24"/>
              </w:rPr>
              <w:t>2020</w:t>
            </w:r>
          </w:p>
        </w:tc>
        <w:tc>
          <w:tcPr>
            <w:tcW w:w="1134" w:type="dxa"/>
            <w:tcBorders>
              <w:top w:val="single" w:sz="12" w:space="0" w:color="auto"/>
              <w:left w:val="single" w:sz="18" w:space="0" w:color="auto"/>
              <w:bottom w:val="single" w:sz="18" w:space="0" w:color="auto"/>
              <w:right w:val="single" w:sz="18" w:space="0" w:color="auto"/>
            </w:tcBorders>
            <w:vAlign w:val="center"/>
          </w:tcPr>
          <w:p w14:paraId="1D07A3EE" w14:textId="77777777" w:rsidR="004558FE" w:rsidRPr="004B0F33" w:rsidRDefault="004558FE" w:rsidP="00895CB0">
            <w:pPr>
              <w:jc w:val="center"/>
              <w:rPr>
                <w:b/>
                <w:sz w:val="24"/>
              </w:rPr>
            </w:pPr>
            <w:r w:rsidRPr="004B0F33">
              <w:rPr>
                <w:b/>
                <w:sz w:val="24"/>
              </w:rPr>
              <w:t>202</w:t>
            </w:r>
            <w:r>
              <w:rPr>
                <w:b/>
                <w:sz w:val="24"/>
              </w:rPr>
              <w:t>1</w:t>
            </w:r>
          </w:p>
        </w:tc>
        <w:tc>
          <w:tcPr>
            <w:tcW w:w="1134" w:type="dxa"/>
            <w:tcBorders>
              <w:top w:val="single" w:sz="12" w:space="0" w:color="auto"/>
              <w:left w:val="single" w:sz="18" w:space="0" w:color="auto"/>
              <w:bottom w:val="single" w:sz="18" w:space="0" w:color="auto"/>
              <w:right w:val="single" w:sz="18" w:space="0" w:color="auto"/>
            </w:tcBorders>
            <w:vAlign w:val="center"/>
          </w:tcPr>
          <w:p w14:paraId="4928AD83" w14:textId="77777777" w:rsidR="004558FE" w:rsidRPr="004B0F33" w:rsidRDefault="004558FE" w:rsidP="00895CB0">
            <w:pPr>
              <w:jc w:val="center"/>
              <w:rPr>
                <w:b/>
                <w:sz w:val="24"/>
              </w:rPr>
            </w:pPr>
            <w:r w:rsidRPr="004B0F33">
              <w:rPr>
                <w:b/>
                <w:sz w:val="24"/>
              </w:rPr>
              <w:t>20</w:t>
            </w:r>
            <w:r>
              <w:rPr>
                <w:b/>
                <w:sz w:val="24"/>
              </w:rPr>
              <w:t>22</w:t>
            </w:r>
          </w:p>
        </w:tc>
        <w:tc>
          <w:tcPr>
            <w:tcW w:w="1417" w:type="dxa"/>
            <w:vMerge/>
            <w:tcBorders>
              <w:left w:val="single" w:sz="18" w:space="0" w:color="auto"/>
              <w:bottom w:val="single" w:sz="18" w:space="0" w:color="auto"/>
              <w:right w:val="single" w:sz="18" w:space="0" w:color="auto"/>
            </w:tcBorders>
          </w:tcPr>
          <w:p w14:paraId="38956271" w14:textId="77777777" w:rsidR="004558FE" w:rsidRPr="004B0F33" w:rsidRDefault="004558FE" w:rsidP="00895CB0">
            <w:pPr>
              <w:jc w:val="center"/>
              <w:rPr>
                <w:b/>
                <w:sz w:val="24"/>
              </w:rPr>
            </w:pPr>
          </w:p>
        </w:tc>
      </w:tr>
      <w:tr w:rsidR="004558FE" w:rsidRPr="004B0F33" w14:paraId="7B4B89DF" w14:textId="77777777" w:rsidTr="00895CB0">
        <w:tc>
          <w:tcPr>
            <w:tcW w:w="3261" w:type="dxa"/>
            <w:tcBorders>
              <w:top w:val="nil"/>
              <w:left w:val="single" w:sz="18" w:space="0" w:color="auto"/>
              <w:bottom w:val="single" w:sz="6" w:space="0" w:color="auto"/>
              <w:right w:val="single" w:sz="18" w:space="0" w:color="auto"/>
            </w:tcBorders>
          </w:tcPr>
          <w:p w14:paraId="33EA66CC" w14:textId="77777777" w:rsidR="004558FE" w:rsidRPr="004B0F33" w:rsidRDefault="004558FE" w:rsidP="00895CB0">
            <w:pPr>
              <w:rPr>
                <w:sz w:val="24"/>
              </w:rPr>
            </w:pPr>
            <w:r w:rsidRPr="004B0F33">
              <w:rPr>
                <w:sz w:val="24"/>
              </w:rPr>
              <w:t>Vnitřní město</w:t>
            </w:r>
          </w:p>
        </w:tc>
        <w:tc>
          <w:tcPr>
            <w:tcW w:w="992" w:type="dxa"/>
            <w:tcBorders>
              <w:top w:val="single" w:sz="18" w:space="0" w:color="auto"/>
              <w:left w:val="nil"/>
              <w:bottom w:val="single" w:sz="6" w:space="0" w:color="auto"/>
              <w:right w:val="single" w:sz="6" w:space="0" w:color="auto"/>
            </w:tcBorders>
            <w:vAlign w:val="bottom"/>
          </w:tcPr>
          <w:p w14:paraId="427667AB" w14:textId="77777777" w:rsidR="004558FE" w:rsidRPr="004B0F33" w:rsidRDefault="004558FE" w:rsidP="00895CB0">
            <w:pPr>
              <w:jc w:val="center"/>
              <w:rPr>
                <w:sz w:val="24"/>
              </w:rPr>
            </w:pPr>
            <w:r w:rsidRPr="004B0F33">
              <w:rPr>
                <w:sz w:val="24"/>
              </w:rPr>
              <w:t>173</w:t>
            </w:r>
          </w:p>
        </w:tc>
        <w:tc>
          <w:tcPr>
            <w:tcW w:w="1134" w:type="dxa"/>
            <w:tcBorders>
              <w:top w:val="nil"/>
              <w:left w:val="single" w:sz="6" w:space="0" w:color="auto"/>
              <w:bottom w:val="single" w:sz="6" w:space="0" w:color="auto"/>
              <w:right w:val="single" w:sz="6" w:space="0" w:color="auto"/>
            </w:tcBorders>
            <w:vAlign w:val="bottom"/>
          </w:tcPr>
          <w:p w14:paraId="5373D081" w14:textId="77777777" w:rsidR="004558FE" w:rsidRPr="004B0F33" w:rsidRDefault="004558FE" w:rsidP="00895CB0">
            <w:pPr>
              <w:jc w:val="center"/>
              <w:rPr>
                <w:sz w:val="24"/>
              </w:rPr>
            </w:pPr>
            <w:r w:rsidRPr="004B0F33">
              <w:rPr>
                <w:sz w:val="24"/>
              </w:rPr>
              <w:t>234</w:t>
            </w:r>
          </w:p>
        </w:tc>
        <w:tc>
          <w:tcPr>
            <w:tcW w:w="1134" w:type="dxa"/>
            <w:tcBorders>
              <w:top w:val="nil"/>
              <w:left w:val="single" w:sz="6" w:space="0" w:color="auto"/>
              <w:bottom w:val="single" w:sz="6" w:space="0" w:color="auto"/>
              <w:right w:val="single" w:sz="2" w:space="0" w:color="auto"/>
            </w:tcBorders>
            <w:vAlign w:val="bottom"/>
          </w:tcPr>
          <w:p w14:paraId="1D12C659" w14:textId="77777777" w:rsidR="004558FE" w:rsidRPr="004B0F33" w:rsidRDefault="004558FE" w:rsidP="00895CB0">
            <w:pPr>
              <w:jc w:val="center"/>
              <w:rPr>
                <w:sz w:val="24"/>
              </w:rPr>
            </w:pPr>
            <w:r>
              <w:rPr>
                <w:sz w:val="24"/>
              </w:rPr>
              <w:t>88</w:t>
            </w:r>
          </w:p>
        </w:tc>
        <w:tc>
          <w:tcPr>
            <w:tcW w:w="1134" w:type="dxa"/>
            <w:tcBorders>
              <w:top w:val="nil"/>
              <w:left w:val="single" w:sz="2" w:space="0" w:color="auto"/>
              <w:bottom w:val="single" w:sz="6" w:space="0" w:color="auto"/>
              <w:right w:val="single" w:sz="6" w:space="0" w:color="auto"/>
            </w:tcBorders>
            <w:vAlign w:val="bottom"/>
          </w:tcPr>
          <w:p w14:paraId="745003DE" w14:textId="77777777" w:rsidR="004558FE" w:rsidRPr="004B0F33" w:rsidRDefault="004558FE" w:rsidP="00895CB0">
            <w:pPr>
              <w:jc w:val="center"/>
              <w:rPr>
                <w:sz w:val="24"/>
              </w:rPr>
            </w:pPr>
            <w:r>
              <w:rPr>
                <w:sz w:val="24"/>
              </w:rPr>
              <w:t>361</w:t>
            </w:r>
          </w:p>
        </w:tc>
        <w:tc>
          <w:tcPr>
            <w:tcW w:w="1417" w:type="dxa"/>
            <w:tcBorders>
              <w:top w:val="nil"/>
              <w:left w:val="single" w:sz="6" w:space="0" w:color="auto"/>
              <w:bottom w:val="single" w:sz="6" w:space="0" w:color="auto"/>
              <w:right w:val="single" w:sz="18" w:space="0" w:color="auto"/>
            </w:tcBorders>
            <w:vAlign w:val="bottom"/>
          </w:tcPr>
          <w:p w14:paraId="3CB15D0D" w14:textId="77777777" w:rsidR="004558FE" w:rsidRPr="004B0F33" w:rsidRDefault="004558FE" w:rsidP="00895CB0">
            <w:pPr>
              <w:jc w:val="center"/>
              <w:rPr>
                <w:sz w:val="24"/>
              </w:rPr>
            </w:pPr>
            <w:r>
              <w:rPr>
                <w:sz w:val="24"/>
              </w:rPr>
              <w:t>311</w:t>
            </w:r>
          </w:p>
        </w:tc>
      </w:tr>
      <w:tr w:rsidR="004558FE" w:rsidRPr="004B0F33" w14:paraId="64BD8236" w14:textId="77777777" w:rsidTr="00895CB0">
        <w:tc>
          <w:tcPr>
            <w:tcW w:w="3261" w:type="dxa"/>
            <w:tcBorders>
              <w:top w:val="single" w:sz="6" w:space="0" w:color="auto"/>
              <w:left w:val="single" w:sz="18" w:space="0" w:color="auto"/>
              <w:bottom w:val="single" w:sz="6" w:space="0" w:color="auto"/>
              <w:right w:val="single" w:sz="18" w:space="0" w:color="auto"/>
            </w:tcBorders>
          </w:tcPr>
          <w:p w14:paraId="1BF51B29" w14:textId="77777777" w:rsidR="004558FE" w:rsidRPr="004B0F33" w:rsidRDefault="004558FE" w:rsidP="00895CB0">
            <w:pPr>
              <w:rPr>
                <w:sz w:val="24"/>
              </w:rPr>
            </w:pPr>
            <w:r w:rsidRPr="004B0F33">
              <w:rPr>
                <w:sz w:val="24"/>
              </w:rPr>
              <w:t>Okrajová část vnitřního města</w:t>
            </w:r>
          </w:p>
        </w:tc>
        <w:tc>
          <w:tcPr>
            <w:tcW w:w="992" w:type="dxa"/>
            <w:tcBorders>
              <w:top w:val="single" w:sz="6" w:space="0" w:color="auto"/>
              <w:left w:val="nil"/>
              <w:bottom w:val="nil"/>
              <w:right w:val="single" w:sz="6" w:space="0" w:color="auto"/>
            </w:tcBorders>
            <w:vAlign w:val="bottom"/>
          </w:tcPr>
          <w:p w14:paraId="251FC3FF" w14:textId="77777777" w:rsidR="004558FE" w:rsidRPr="004B0F33" w:rsidRDefault="004558FE" w:rsidP="00895CB0">
            <w:pPr>
              <w:jc w:val="center"/>
              <w:rPr>
                <w:sz w:val="24"/>
              </w:rPr>
            </w:pPr>
            <w:r w:rsidRPr="004B0F33">
              <w:rPr>
                <w:sz w:val="24"/>
              </w:rPr>
              <w:t>160</w:t>
            </w:r>
          </w:p>
        </w:tc>
        <w:tc>
          <w:tcPr>
            <w:tcW w:w="1134" w:type="dxa"/>
            <w:tcBorders>
              <w:top w:val="single" w:sz="6" w:space="0" w:color="auto"/>
              <w:left w:val="single" w:sz="6" w:space="0" w:color="auto"/>
              <w:bottom w:val="nil"/>
              <w:right w:val="single" w:sz="6" w:space="0" w:color="auto"/>
            </w:tcBorders>
            <w:vAlign w:val="bottom"/>
          </w:tcPr>
          <w:p w14:paraId="4EAEC7C8" w14:textId="77777777" w:rsidR="004558FE" w:rsidRPr="004B0F33" w:rsidRDefault="004558FE" w:rsidP="00895CB0">
            <w:pPr>
              <w:jc w:val="center"/>
              <w:rPr>
                <w:sz w:val="24"/>
              </w:rPr>
            </w:pPr>
            <w:r w:rsidRPr="004B0F33">
              <w:rPr>
                <w:sz w:val="24"/>
              </w:rPr>
              <w:t>134</w:t>
            </w:r>
          </w:p>
        </w:tc>
        <w:tc>
          <w:tcPr>
            <w:tcW w:w="1134" w:type="dxa"/>
            <w:tcBorders>
              <w:top w:val="single" w:sz="6" w:space="0" w:color="auto"/>
              <w:left w:val="single" w:sz="6" w:space="0" w:color="auto"/>
              <w:bottom w:val="nil"/>
              <w:right w:val="single" w:sz="2" w:space="0" w:color="auto"/>
            </w:tcBorders>
            <w:vAlign w:val="bottom"/>
          </w:tcPr>
          <w:p w14:paraId="22331BB3" w14:textId="77777777" w:rsidR="004558FE" w:rsidRPr="004B0F33" w:rsidRDefault="004558FE" w:rsidP="00895CB0">
            <w:pPr>
              <w:jc w:val="center"/>
              <w:rPr>
                <w:sz w:val="24"/>
              </w:rPr>
            </w:pPr>
            <w:r>
              <w:rPr>
                <w:sz w:val="24"/>
              </w:rPr>
              <w:t>145</w:t>
            </w:r>
          </w:p>
        </w:tc>
        <w:tc>
          <w:tcPr>
            <w:tcW w:w="1134" w:type="dxa"/>
            <w:tcBorders>
              <w:top w:val="single" w:sz="6" w:space="0" w:color="auto"/>
              <w:left w:val="single" w:sz="2" w:space="0" w:color="auto"/>
              <w:bottom w:val="nil"/>
              <w:right w:val="single" w:sz="6" w:space="0" w:color="auto"/>
            </w:tcBorders>
            <w:vAlign w:val="bottom"/>
          </w:tcPr>
          <w:p w14:paraId="1DBA65EA" w14:textId="77777777" w:rsidR="004558FE" w:rsidRPr="004B0F33" w:rsidRDefault="004558FE" w:rsidP="00895CB0">
            <w:pPr>
              <w:jc w:val="center"/>
              <w:rPr>
                <w:sz w:val="24"/>
              </w:rPr>
            </w:pPr>
            <w:r>
              <w:rPr>
                <w:sz w:val="24"/>
              </w:rPr>
              <w:t>267</w:t>
            </w:r>
          </w:p>
        </w:tc>
        <w:tc>
          <w:tcPr>
            <w:tcW w:w="1417" w:type="dxa"/>
            <w:tcBorders>
              <w:top w:val="single" w:sz="6" w:space="0" w:color="auto"/>
              <w:left w:val="single" w:sz="6" w:space="0" w:color="auto"/>
              <w:bottom w:val="nil"/>
              <w:right w:val="single" w:sz="18" w:space="0" w:color="auto"/>
            </w:tcBorders>
            <w:vAlign w:val="bottom"/>
          </w:tcPr>
          <w:p w14:paraId="12E48B37" w14:textId="77777777" w:rsidR="004558FE" w:rsidRPr="004B0F33" w:rsidRDefault="004558FE" w:rsidP="00895CB0">
            <w:pPr>
              <w:jc w:val="center"/>
              <w:rPr>
                <w:sz w:val="24"/>
              </w:rPr>
            </w:pPr>
            <w:r>
              <w:rPr>
                <w:sz w:val="24"/>
              </w:rPr>
              <w:t>84</w:t>
            </w:r>
          </w:p>
        </w:tc>
      </w:tr>
      <w:tr w:rsidR="004558FE" w:rsidRPr="004B0F33" w14:paraId="083478A7" w14:textId="77777777" w:rsidTr="00895CB0">
        <w:tc>
          <w:tcPr>
            <w:tcW w:w="3261" w:type="dxa"/>
            <w:tcBorders>
              <w:top w:val="single" w:sz="6" w:space="0" w:color="auto"/>
              <w:left w:val="single" w:sz="18" w:space="0" w:color="auto"/>
              <w:bottom w:val="single" w:sz="6" w:space="0" w:color="auto"/>
              <w:right w:val="nil"/>
            </w:tcBorders>
          </w:tcPr>
          <w:p w14:paraId="55394B86" w14:textId="77777777" w:rsidR="004558FE" w:rsidRPr="004B0F33" w:rsidRDefault="004558FE" w:rsidP="00895CB0">
            <w:pPr>
              <w:rPr>
                <w:sz w:val="24"/>
              </w:rPr>
            </w:pPr>
            <w:r w:rsidRPr="004B0F33">
              <w:rPr>
                <w:sz w:val="24"/>
              </w:rPr>
              <w:t>Průmyslové části</w:t>
            </w:r>
          </w:p>
        </w:tc>
        <w:tc>
          <w:tcPr>
            <w:tcW w:w="992" w:type="dxa"/>
            <w:tcBorders>
              <w:top w:val="single" w:sz="6" w:space="0" w:color="auto"/>
              <w:left w:val="single" w:sz="18" w:space="0" w:color="auto"/>
              <w:bottom w:val="single" w:sz="6" w:space="0" w:color="auto"/>
              <w:right w:val="single" w:sz="6" w:space="0" w:color="auto"/>
            </w:tcBorders>
            <w:vAlign w:val="bottom"/>
          </w:tcPr>
          <w:p w14:paraId="121341D4" w14:textId="77777777" w:rsidR="004558FE" w:rsidRPr="004B0F33" w:rsidRDefault="004558FE" w:rsidP="00895CB0">
            <w:pPr>
              <w:jc w:val="center"/>
              <w:rPr>
                <w:sz w:val="24"/>
              </w:rPr>
            </w:pPr>
            <w:r w:rsidRPr="004B0F33">
              <w:rPr>
                <w:sz w:val="24"/>
              </w:rPr>
              <w:t>47</w:t>
            </w:r>
          </w:p>
        </w:tc>
        <w:tc>
          <w:tcPr>
            <w:tcW w:w="1134" w:type="dxa"/>
            <w:tcBorders>
              <w:top w:val="single" w:sz="6" w:space="0" w:color="auto"/>
              <w:left w:val="single" w:sz="6" w:space="0" w:color="auto"/>
              <w:bottom w:val="single" w:sz="6" w:space="0" w:color="auto"/>
              <w:right w:val="single" w:sz="6" w:space="0" w:color="auto"/>
            </w:tcBorders>
            <w:vAlign w:val="bottom"/>
          </w:tcPr>
          <w:p w14:paraId="07D115F2" w14:textId="77777777" w:rsidR="004558FE" w:rsidRPr="004B0F33" w:rsidRDefault="004558FE" w:rsidP="00895CB0">
            <w:pPr>
              <w:jc w:val="center"/>
              <w:rPr>
                <w:sz w:val="24"/>
              </w:rPr>
            </w:pPr>
            <w:r w:rsidRPr="004B0F33">
              <w:rPr>
                <w:sz w:val="24"/>
              </w:rPr>
              <w:t>340</w:t>
            </w:r>
          </w:p>
        </w:tc>
        <w:tc>
          <w:tcPr>
            <w:tcW w:w="1134" w:type="dxa"/>
            <w:tcBorders>
              <w:top w:val="single" w:sz="6" w:space="0" w:color="auto"/>
              <w:left w:val="single" w:sz="6" w:space="0" w:color="auto"/>
              <w:bottom w:val="single" w:sz="6" w:space="0" w:color="auto"/>
              <w:right w:val="single" w:sz="2" w:space="0" w:color="auto"/>
            </w:tcBorders>
            <w:vAlign w:val="bottom"/>
          </w:tcPr>
          <w:p w14:paraId="7B4393AB" w14:textId="77777777" w:rsidR="004558FE" w:rsidRPr="004B0F33" w:rsidRDefault="004558FE" w:rsidP="00895CB0">
            <w:pPr>
              <w:jc w:val="center"/>
              <w:rPr>
                <w:sz w:val="24"/>
              </w:rPr>
            </w:pPr>
            <w:r>
              <w:rPr>
                <w:sz w:val="24"/>
              </w:rPr>
              <w:t>24</w:t>
            </w:r>
          </w:p>
        </w:tc>
        <w:tc>
          <w:tcPr>
            <w:tcW w:w="1134" w:type="dxa"/>
            <w:tcBorders>
              <w:top w:val="single" w:sz="6" w:space="0" w:color="auto"/>
              <w:left w:val="single" w:sz="2" w:space="0" w:color="auto"/>
              <w:bottom w:val="single" w:sz="6" w:space="0" w:color="auto"/>
              <w:right w:val="single" w:sz="6" w:space="0" w:color="auto"/>
            </w:tcBorders>
            <w:vAlign w:val="bottom"/>
          </w:tcPr>
          <w:p w14:paraId="6A84EE25" w14:textId="77777777" w:rsidR="004558FE" w:rsidRPr="004B0F33" w:rsidRDefault="004558FE" w:rsidP="00895CB0">
            <w:pPr>
              <w:jc w:val="center"/>
              <w:rPr>
                <w:sz w:val="24"/>
              </w:rPr>
            </w:pPr>
            <w:r>
              <w:rPr>
                <w:sz w:val="24"/>
              </w:rPr>
              <w:t>209</w:t>
            </w:r>
          </w:p>
        </w:tc>
        <w:tc>
          <w:tcPr>
            <w:tcW w:w="1417" w:type="dxa"/>
            <w:tcBorders>
              <w:top w:val="single" w:sz="6" w:space="0" w:color="auto"/>
              <w:left w:val="single" w:sz="6" w:space="0" w:color="auto"/>
              <w:bottom w:val="single" w:sz="6" w:space="0" w:color="auto"/>
              <w:right w:val="single" w:sz="18" w:space="0" w:color="auto"/>
            </w:tcBorders>
            <w:vAlign w:val="bottom"/>
          </w:tcPr>
          <w:p w14:paraId="08B0F85B" w14:textId="77777777" w:rsidR="004558FE" w:rsidRPr="004B0F33" w:rsidRDefault="004558FE" w:rsidP="00895CB0">
            <w:pPr>
              <w:jc w:val="center"/>
              <w:rPr>
                <w:sz w:val="24"/>
              </w:rPr>
            </w:pPr>
            <w:r>
              <w:rPr>
                <w:sz w:val="24"/>
              </w:rPr>
              <w:t>783</w:t>
            </w:r>
          </w:p>
        </w:tc>
      </w:tr>
      <w:tr w:rsidR="004558FE" w:rsidRPr="004B0F33" w14:paraId="7F1DB642" w14:textId="77777777" w:rsidTr="00895CB0">
        <w:tc>
          <w:tcPr>
            <w:tcW w:w="3261" w:type="dxa"/>
            <w:tcBorders>
              <w:top w:val="single" w:sz="6" w:space="0" w:color="auto"/>
              <w:left w:val="single" w:sz="18" w:space="0" w:color="auto"/>
              <w:bottom w:val="single" w:sz="6" w:space="0" w:color="auto"/>
              <w:right w:val="single" w:sz="18" w:space="0" w:color="auto"/>
            </w:tcBorders>
          </w:tcPr>
          <w:p w14:paraId="60055DFB" w14:textId="77777777" w:rsidR="004558FE" w:rsidRPr="004B0F33" w:rsidRDefault="004558FE" w:rsidP="00895CB0">
            <w:pPr>
              <w:rPr>
                <w:sz w:val="24"/>
              </w:rPr>
            </w:pPr>
            <w:r w:rsidRPr="004B0F33">
              <w:rPr>
                <w:sz w:val="24"/>
              </w:rPr>
              <w:t>Území mimo kompaktní město</w:t>
            </w:r>
          </w:p>
        </w:tc>
        <w:tc>
          <w:tcPr>
            <w:tcW w:w="992" w:type="dxa"/>
            <w:tcBorders>
              <w:top w:val="single" w:sz="6" w:space="0" w:color="auto"/>
              <w:left w:val="nil"/>
              <w:bottom w:val="single" w:sz="6" w:space="0" w:color="auto"/>
              <w:right w:val="single" w:sz="6" w:space="0" w:color="auto"/>
            </w:tcBorders>
            <w:vAlign w:val="bottom"/>
          </w:tcPr>
          <w:p w14:paraId="48F352AE" w14:textId="77777777" w:rsidR="004558FE" w:rsidRPr="004B0F33" w:rsidRDefault="004558FE" w:rsidP="00895CB0">
            <w:pPr>
              <w:jc w:val="center"/>
              <w:rPr>
                <w:sz w:val="24"/>
              </w:rPr>
            </w:pPr>
            <w:r w:rsidRPr="004B0F33">
              <w:rPr>
                <w:sz w:val="24"/>
              </w:rPr>
              <w:t>208</w:t>
            </w:r>
          </w:p>
        </w:tc>
        <w:tc>
          <w:tcPr>
            <w:tcW w:w="1134" w:type="dxa"/>
            <w:tcBorders>
              <w:top w:val="single" w:sz="6" w:space="0" w:color="auto"/>
              <w:left w:val="single" w:sz="6" w:space="0" w:color="auto"/>
              <w:bottom w:val="single" w:sz="6" w:space="0" w:color="auto"/>
              <w:right w:val="single" w:sz="6" w:space="0" w:color="auto"/>
            </w:tcBorders>
            <w:vAlign w:val="bottom"/>
          </w:tcPr>
          <w:p w14:paraId="39B7B7A6" w14:textId="77777777" w:rsidR="004558FE" w:rsidRPr="004B0F33" w:rsidRDefault="004558FE" w:rsidP="00895CB0">
            <w:pPr>
              <w:jc w:val="center"/>
              <w:rPr>
                <w:sz w:val="24"/>
              </w:rPr>
            </w:pPr>
            <w:r w:rsidRPr="004B0F33">
              <w:rPr>
                <w:sz w:val="24"/>
              </w:rPr>
              <w:t>274</w:t>
            </w:r>
          </w:p>
        </w:tc>
        <w:tc>
          <w:tcPr>
            <w:tcW w:w="1134" w:type="dxa"/>
            <w:tcBorders>
              <w:top w:val="single" w:sz="6" w:space="0" w:color="auto"/>
              <w:left w:val="single" w:sz="6" w:space="0" w:color="auto"/>
              <w:bottom w:val="single" w:sz="6" w:space="0" w:color="auto"/>
              <w:right w:val="single" w:sz="2" w:space="0" w:color="auto"/>
            </w:tcBorders>
            <w:vAlign w:val="bottom"/>
          </w:tcPr>
          <w:p w14:paraId="580D3E5C" w14:textId="77777777" w:rsidR="004558FE" w:rsidRPr="004B0F33" w:rsidRDefault="004558FE" w:rsidP="00895CB0">
            <w:pPr>
              <w:jc w:val="center"/>
              <w:rPr>
                <w:sz w:val="24"/>
              </w:rPr>
            </w:pPr>
            <w:r>
              <w:rPr>
                <w:sz w:val="24"/>
              </w:rPr>
              <w:t>324</w:t>
            </w:r>
          </w:p>
        </w:tc>
        <w:tc>
          <w:tcPr>
            <w:tcW w:w="1134" w:type="dxa"/>
            <w:tcBorders>
              <w:top w:val="single" w:sz="6" w:space="0" w:color="auto"/>
              <w:left w:val="single" w:sz="2" w:space="0" w:color="auto"/>
              <w:bottom w:val="single" w:sz="6" w:space="0" w:color="auto"/>
              <w:right w:val="single" w:sz="6" w:space="0" w:color="auto"/>
            </w:tcBorders>
            <w:vAlign w:val="bottom"/>
          </w:tcPr>
          <w:p w14:paraId="0F1E2E36" w14:textId="77777777" w:rsidR="004558FE" w:rsidRPr="004B0F33" w:rsidRDefault="004558FE" w:rsidP="00895CB0">
            <w:pPr>
              <w:jc w:val="center"/>
              <w:rPr>
                <w:sz w:val="24"/>
              </w:rPr>
            </w:pPr>
            <w:r>
              <w:rPr>
                <w:sz w:val="24"/>
              </w:rPr>
              <w:t>535</w:t>
            </w:r>
          </w:p>
        </w:tc>
        <w:tc>
          <w:tcPr>
            <w:tcW w:w="1417" w:type="dxa"/>
            <w:tcBorders>
              <w:top w:val="single" w:sz="6" w:space="0" w:color="auto"/>
              <w:left w:val="single" w:sz="6" w:space="0" w:color="auto"/>
              <w:bottom w:val="single" w:sz="6" w:space="0" w:color="auto"/>
              <w:right w:val="single" w:sz="18" w:space="0" w:color="auto"/>
            </w:tcBorders>
            <w:vAlign w:val="bottom"/>
          </w:tcPr>
          <w:p w14:paraId="13DF787B" w14:textId="77777777" w:rsidR="004558FE" w:rsidRPr="004B0F33" w:rsidRDefault="004558FE" w:rsidP="00895CB0">
            <w:pPr>
              <w:jc w:val="center"/>
              <w:rPr>
                <w:sz w:val="24"/>
              </w:rPr>
            </w:pPr>
            <w:r>
              <w:rPr>
                <w:sz w:val="24"/>
              </w:rPr>
              <w:t>65</w:t>
            </w:r>
          </w:p>
        </w:tc>
      </w:tr>
      <w:tr w:rsidR="004558FE" w:rsidRPr="00231ABC" w14:paraId="5A23F9C4" w14:textId="77777777" w:rsidTr="00895CB0">
        <w:tc>
          <w:tcPr>
            <w:tcW w:w="3261" w:type="dxa"/>
            <w:tcBorders>
              <w:top w:val="single" w:sz="6" w:space="0" w:color="auto"/>
              <w:left w:val="single" w:sz="18" w:space="0" w:color="auto"/>
              <w:bottom w:val="single" w:sz="18" w:space="0" w:color="auto"/>
              <w:right w:val="single" w:sz="18" w:space="0" w:color="auto"/>
            </w:tcBorders>
          </w:tcPr>
          <w:p w14:paraId="31E60F4B" w14:textId="77777777" w:rsidR="004558FE" w:rsidRPr="004B0F33" w:rsidRDefault="004558FE" w:rsidP="00895CB0">
            <w:pPr>
              <w:rPr>
                <w:b/>
                <w:sz w:val="24"/>
              </w:rPr>
            </w:pPr>
            <w:r w:rsidRPr="004B0F33">
              <w:rPr>
                <w:b/>
                <w:sz w:val="24"/>
              </w:rPr>
              <w:t>Celkem</w:t>
            </w:r>
          </w:p>
        </w:tc>
        <w:tc>
          <w:tcPr>
            <w:tcW w:w="992" w:type="dxa"/>
            <w:tcBorders>
              <w:top w:val="single" w:sz="6" w:space="0" w:color="auto"/>
              <w:left w:val="nil"/>
              <w:bottom w:val="single" w:sz="18" w:space="0" w:color="auto"/>
              <w:right w:val="single" w:sz="6" w:space="0" w:color="auto"/>
            </w:tcBorders>
            <w:vAlign w:val="bottom"/>
          </w:tcPr>
          <w:p w14:paraId="61E579C0" w14:textId="77777777" w:rsidR="004558FE" w:rsidRPr="004B0F33" w:rsidRDefault="004558FE" w:rsidP="00895CB0">
            <w:pPr>
              <w:jc w:val="center"/>
              <w:rPr>
                <w:b/>
                <w:sz w:val="24"/>
              </w:rPr>
            </w:pPr>
            <w:r w:rsidRPr="004B0F33">
              <w:rPr>
                <w:b/>
                <w:sz w:val="24"/>
              </w:rPr>
              <w:t>588</w:t>
            </w:r>
          </w:p>
        </w:tc>
        <w:tc>
          <w:tcPr>
            <w:tcW w:w="1134" w:type="dxa"/>
            <w:tcBorders>
              <w:top w:val="single" w:sz="6" w:space="0" w:color="auto"/>
              <w:left w:val="single" w:sz="6" w:space="0" w:color="auto"/>
              <w:bottom w:val="single" w:sz="18" w:space="0" w:color="auto"/>
              <w:right w:val="single" w:sz="6" w:space="0" w:color="auto"/>
            </w:tcBorders>
            <w:vAlign w:val="bottom"/>
          </w:tcPr>
          <w:p w14:paraId="3B7C9BDC" w14:textId="77777777" w:rsidR="004558FE" w:rsidRPr="004B0F33" w:rsidRDefault="004558FE" w:rsidP="00895CB0">
            <w:pPr>
              <w:jc w:val="center"/>
              <w:rPr>
                <w:b/>
                <w:sz w:val="24"/>
              </w:rPr>
            </w:pPr>
            <w:r w:rsidRPr="004B0F33">
              <w:rPr>
                <w:b/>
                <w:sz w:val="24"/>
              </w:rPr>
              <w:t>983</w:t>
            </w:r>
          </w:p>
        </w:tc>
        <w:tc>
          <w:tcPr>
            <w:tcW w:w="1134" w:type="dxa"/>
            <w:tcBorders>
              <w:top w:val="single" w:sz="6" w:space="0" w:color="auto"/>
              <w:left w:val="single" w:sz="6" w:space="0" w:color="auto"/>
              <w:bottom w:val="single" w:sz="18" w:space="0" w:color="auto"/>
              <w:right w:val="single" w:sz="2" w:space="0" w:color="auto"/>
            </w:tcBorders>
            <w:vAlign w:val="bottom"/>
          </w:tcPr>
          <w:p w14:paraId="367409FC" w14:textId="77777777" w:rsidR="004558FE" w:rsidRPr="004B0F33" w:rsidRDefault="004558FE" w:rsidP="00895CB0">
            <w:pPr>
              <w:jc w:val="center"/>
              <w:rPr>
                <w:b/>
                <w:sz w:val="24"/>
              </w:rPr>
            </w:pPr>
            <w:r>
              <w:rPr>
                <w:b/>
                <w:sz w:val="24"/>
              </w:rPr>
              <w:t>581</w:t>
            </w:r>
          </w:p>
        </w:tc>
        <w:tc>
          <w:tcPr>
            <w:tcW w:w="1134" w:type="dxa"/>
            <w:tcBorders>
              <w:top w:val="single" w:sz="6" w:space="0" w:color="auto"/>
              <w:left w:val="single" w:sz="2" w:space="0" w:color="auto"/>
              <w:bottom w:val="single" w:sz="18" w:space="0" w:color="auto"/>
              <w:right w:val="single" w:sz="6" w:space="0" w:color="auto"/>
            </w:tcBorders>
            <w:shd w:val="clear" w:color="auto" w:fill="FFFFFF" w:themeFill="background1"/>
            <w:vAlign w:val="bottom"/>
          </w:tcPr>
          <w:p w14:paraId="1CAFD1D4" w14:textId="77777777" w:rsidR="004558FE" w:rsidRPr="004B0F33" w:rsidRDefault="004558FE" w:rsidP="00895CB0">
            <w:pPr>
              <w:jc w:val="center"/>
              <w:rPr>
                <w:b/>
                <w:sz w:val="24"/>
              </w:rPr>
            </w:pPr>
            <w:r>
              <w:rPr>
                <w:b/>
                <w:sz w:val="24"/>
              </w:rPr>
              <w:t>1372</w:t>
            </w:r>
          </w:p>
        </w:tc>
        <w:tc>
          <w:tcPr>
            <w:tcW w:w="1417" w:type="dxa"/>
            <w:tcBorders>
              <w:top w:val="single" w:sz="6" w:space="0" w:color="auto"/>
              <w:left w:val="single" w:sz="6" w:space="0" w:color="auto"/>
              <w:bottom w:val="single" w:sz="18" w:space="0" w:color="auto"/>
              <w:right w:val="single" w:sz="18" w:space="0" w:color="auto"/>
            </w:tcBorders>
            <w:shd w:val="clear" w:color="auto" w:fill="FFFFFF" w:themeFill="background1"/>
            <w:vAlign w:val="bottom"/>
          </w:tcPr>
          <w:p w14:paraId="20117E38" w14:textId="77777777" w:rsidR="004558FE" w:rsidRPr="00231ABC" w:rsidRDefault="004558FE" w:rsidP="00895CB0">
            <w:pPr>
              <w:jc w:val="center"/>
              <w:rPr>
                <w:b/>
                <w:sz w:val="24"/>
              </w:rPr>
            </w:pPr>
            <w:r>
              <w:rPr>
                <w:b/>
                <w:sz w:val="24"/>
              </w:rPr>
              <w:t>136</w:t>
            </w:r>
          </w:p>
        </w:tc>
      </w:tr>
    </w:tbl>
    <w:p w14:paraId="3131C2B9" w14:textId="77777777" w:rsidR="004558FE" w:rsidRDefault="004558FE" w:rsidP="004558FE"/>
    <w:p w14:paraId="407B0963" w14:textId="07CEEA5D" w:rsidR="004067C5" w:rsidRDefault="0064661D" w:rsidP="00564A5C">
      <w:r>
        <w:rPr>
          <w:noProof/>
        </w:rPr>
        <w:drawing>
          <wp:inline distT="0" distB="0" distL="0" distR="0" wp14:anchorId="2801B273" wp14:editId="39172791">
            <wp:extent cx="5760085" cy="2635250"/>
            <wp:effectExtent l="0" t="0" r="5715" b="635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0085" cy="2635250"/>
                    </a:xfrm>
                    <a:prstGeom prst="rect">
                      <a:avLst/>
                    </a:prstGeom>
                  </pic:spPr>
                </pic:pic>
              </a:graphicData>
            </a:graphic>
          </wp:inline>
        </w:drawing>
      </w:r>
    </w:p>
    <w:p w14:paraId="18737C56" w14:textId="70554A80" w:rsidR="004558FE" w:rsidRDefault="004558FE" w:rsidP="004558FE">
      <w:pPr>
        <w:pStyle w:val="Zkladntextodsazen21"/>
        <w:spacing w:before="240"/>
        <w:ind w:firstLine="425"/>
      </w:pPr>
      <w:r w:rsidRPr="00231ABC">
        <w:t xml:space="preserve">Pokud jde o </w:t>
      </w:r>
      <w:r w:rsidRPr="00231ABC">
        <w:rPr>
          <w:b/>
        </w:rPr>
        <w:t>strukturu prodejů za sledované období</w:t>
      </w:r>
      <w:r w:rsidRPr="00231ABC">
        <w:t xml:space="preserve">, nejvýznamnější skupinou obchodovaných pozemků byly </w:t>
      </w:r>
      <w:r w:rsidR="00697408">
        <w:t>stejně</w:t>
      </w:r>
      <w:r>
        <w:t xml:space="preserve"> </w:t>
      </w:r>
      <w:r w:rsidR="00697408">
        <w:t>jako v </w:t>
      </w:r>
      <w:r>
        <w:t>minulém období pozemk</w:t>
      </w:r>
      <w:r w:rsidRPr="00231ABC">
        <w:t xml:space="preserve">y pro </w:t>
      </w:r>
      <w:r>
        <w:t xml:space="preserve">individuální bydlení </w:t>
      </w:r>
      <w:r w:rsidRPr="00231ABC">
        <w:t>s</w:t>
      </w:r>
      <w:r>
        <w:t> </w:t>
      </w:r>
      <w:r w:rsidRPr="009A7A1C">
        <w:t xml:space="preserve">podílem </w:t>
      </w:r>
      <w:r>
        <w:t>36</w:t>
      </w:r>
      <w:r w:rsidRPr="009A7A1C">
        <w:t> % z</w:t>
      </w:r>
      <w:r w:rsidRPr="00231ABC">
        <w:t> celkového objemu prodejů (</w:t>
      </w:r>
      <w:r>
        <w:t xml:space="preserve">s </w:t>
      </w:r>
      <w:r w:rsidRPr="00231ABC">
        <w:t>meziroční</w:t>
      </w:r>
      <w:r>
        <w:t>m nárůstem obje</w:t>
      </w:r>
      <w:r w:rsidRPr="00231ABC">
        <w:t xml:space="preserve">mu o </w:t>
      </w:r>
      <w:r>
        <w:t>37</w:t>
      </w:r>
      <w:r w:rsidRPr="00231ABC">
        <w:t> %</w:t>
      </w:r>
      <w:r>
        <w:t>, tj. celkově o 129 mil. Kč</w:t>
      </w:r>
      <w:r w:rsidRPr="00231ABC">
        <w:t xml:space="preserve">). </w:t>
      </w:r>
      <w:r>
        <w:t>O</w:t>
      </w:r>
      <w:r w:rsidRPr="00D32876">
        <w:t xml:space="preserve">bjem obchodů s pozemky </w:t>
      </w:r>
      <w:r>
        <w:t>pro rodinné bydlení dosáhl nejvy</w:t>
      </w:r>
      <w:r w:rsidR="00BD3B18">
        <w:t>šší úrovně za posledních 10 let</w:t>
      </w:r>
      <w:r>
        <w:t xml:space="preserve">.  </w:t>
      </w:r>
    </w:p>
    <w:p w14:paraId="0B768687" w14:textId="43B37C6B" w:rsidR="00A57B44" w:rsidRDefault="00B72929" w:rsidP="000D31D4">
      <w:pPr>
        <w:spacing w:before="120"/>
        <w:ind w:firstLine="425"/>
        <w:jc w:val="both"/>
        <w:rPr>
          <w:sz w:val="24"/>
        </w:rPr>
      </w:pPr>
      <w:r w:rsidRPr="006B26D8">
        <w:rPr>
          <w:sz w:val="24"/>
        </w:rPr>
        <w:t>Druhou nej</w:t>
      </w:r>
      <w:r w:rsidR="001F7A39" w:rsidRPr="006B26D8">
        <w:rPr>
          <w:sz w:val="24"/>
        </w:rPr>
        <w:t>více obchodovanou skupinou byly</w:t>
      </w:r>
      <w:r w:rsidRPr="006B26D8">
        <w:rPr>
          <w:sz w:val="24"/>
        </w:rPr>
        <w:t xml:space="preserve"> plochy </w:t>
      </w:r>
      <w:r w:rsidR="001F7A39" w:rsidRPr="006B26D8">
        <w:rPr>
          <w:sz w:val="24"/>
        </w:rPr>
        <w:t xml:space="preserve">pro </w:t>
      </w:r>
      <w:r w:rsidR="0092530E" w:rsidRPr="006B26D8">
        <w:rPr>
          <w:sz w:val="24"/>
        </w:rPr>
        <w:t xml:space="preserve">průmysl </w:t>
      </w:r>
      <w:r w:rsidR="00DF61FC" w:rsidRPr="006B26D8">
        <w:rPr>
          <w:sz w:val="24"/>
        </w:rPr>
        <w:t>s</w:t>
      </w:r>
      <w:r w:rsidR="00BD3B18" w:rsidRPr="006B26D8">
        <w:rPr>
          <w:sz w:val="24"/>
        </w:rPr>
        <w:t> 28,5</w:t>
      </w:r>
      <w:r w:rsidR="00CE180C" w:rsidRPr="006B26D8">
        <w:rPr>
          <w:sz w:val="24"/>
        </w:rPr>
        <w:t> </w:t>
      </w:r>
      <w:r w:rsidR="000B2DD0" w:rsidRPr="006B26D8">
        <w:rPr>
          <w:sz w:val="24"/>
        </w:rPr>
        <w:t xml:space="preserve">% </w:t>
      </w:r>
      <w:r w:rsidRPr="006B26D8">
        <w:rPr>
          <w:sz w:val="24"/>
        </w:rPr>
        <w:t>podílem na trhu</w:t>
      </w:r>
      <w:r w:rsidR="00FD2A53" w:rsidRPr="006B26D8">
        <w:rPr>
          <w:sz w:val="24"/>
        </w:rPr>
        <w:t xml:space="preserve"> a</w:t>
      </w:r>
      <w:r w:rsidR="002072FA" w:rsidRPr="006B26D8">
        <w:rPr>
          <w:sz w:val="24"/>
        </w:rPr>
        <w:t> </w:t>
      </w:r>
      <w:r w:rsidR="002B44AD" w:rsidRPr="006B26D8">
        <w:rPr>
          <w:sz w:val="24"/>
        </w:rPr>
        <w:t>meziročn</w:t>
      </w:r>
      <w:r w:rsidR="001F7A39" w:rsidRPr="006B26D8">
        <w:rPr>
          <w:sz w:val="24"/>
        </w:rPr>
        <w:t>í</w:t>
      </w:r>
      <w:r w:rsidR="00CE180C" w:rsidRPr="006B26D8">
        <w:rPr>
          <w:sz w:val="24"/>
        </w:rPr>
        <w:t>m</w:t>
      </w:r>
      <w:r w:rsidR="001F7A39" w:rsidRPr="006B26D8">
        <w:rPr>
          <w:sz w:val="24"/>
        </w:rPr>
        <w:t xml:space="preserve"> </w:t>
      </w:r>
      <w:r w:rsidR="00BD3B18" w:rsidRPr="006B26D8">
        <w:rPr>
          <w:sz w:val="24"/>
        </w:rPr>
        <w:t xml:space="preserve">skokovým nárůstem </w:t>
      </w:r>
      <w:r w:rsidR="00462376" w:rsidRPr="006B26D8">
        <w:rPr>
          <w:sz w:val="24"/>
        </w:rPr>
        <w:t>objemu o</w:t>
      </w:r>
      <w:r w:rsidR="00332FAF" w:rsidRPr="006B26D8">
        <w:rPr>
          <w:sz w:val="24"/>
        </w:rPr>
        <w:t xml:space="preserve"> </w:t>
      </w:r>
      <w:r w:rsidR="00BD3B18" w:rsidRPr="006B26D8">
        <w:rPr>
          <w:sz w:val="24"/>
        </w:rPr>
        <w:t>317</w:t>
      </w:r>
      <w:r w:rsidR="007F517B" w:rsidRPr="006B26D8">
        <w:rPr>
          <w:sz w:val="24"/>
        </w:rPr>
        <w:t> </w:t>
      </w:r>
      <w:r w:rsidR="00332FAF" w:rsidRPr="006B26D8">
        <w:rPr>
          <w:sz w:val="24"/>
        </w:rPr>
        <w:t>%</w:t>
      </w:r>
      <w:r w:rsidR="00CE180C" w:rsidRPr="006B26D8">
        <w:rPr>
          <w:sz w:val="24"/>
        </w:rPr>
        <w:t xml:space="preserve"> (tj.</w:t>
      </w:r>
      <w:r w:rsidR="00FD2A53" w:rsidRPr="006B26D8">
        <w:rPr>
          <w:sz w:val="24"/>
        </w:rPr>
        <w:t> </w:t>
      </w:r>
      <w:r w:rsidR="00F6486D" w:rsidRPr="006B26D8">
        <w:rPr>
          <w:sz w:val="24"/>
        </w:rPr>
        <w:t xml:space="preserve">o </w:t>
      </w:r>
      <w:r w:rsidR="00BD3B18" w:rsidRPr="006B26D8">
        <w:rPr>
          <w:sz w:val="24"/>
        </w:rPr>
        <w:t>287</w:t>
      </w:r>
      <w:r w:rsidR="00FD2A53" w:rsidRPr="006B26D8">
        <w:rPr>
          <w:sz w:val="24"/>
        </w:rPr>
        <w:t> </w:t>
      </w:r>
      <w:r w:rsidR="00CE180C" w:rsidRPr="006B26D8">
        <w:rPr>
          <w:sz w:val="24"/>
        </w:rPr>
        <w:t>mil.</w:t>
      </w:r>
      <w:r w:rsidR="00FD2A53" w:rsidRPr="006B26D8">
        <w:rPr>
          <w:sz w:val="24"/>
        </w:rPr>
        <w:t> </w:t>
      </w:r>
      <w:r w:rsidR="00CE180C" w:rsidRPr="006B26D8">
        <w:rPr>
          <w:sz w:val="24"/>
        </w:rPr>
        <w:t>Kč)</w:t>
      </w:r>
      <w:r w:rsidR="00386418" w:rsidRPr="006B26D8">
        <w:rPr>
          <w:sz w:val="24"/>
        </w:rPr>
        <w:t xml:space="preserve">. </w:t>
      </w:r>
      <w:r w:rsidR="00441286" w:rsidRPr="006B26D8">
        <w:rPr>
          <w:sz w:val="24"/>
        </w:rPr>
        <w:t>V pořadí třetí nejobchodovanější skupinou pozemků byly</w:t>
      </w:r>
      <w:r w:rsidR="00572A3F" w:rsidRPr="006B26D8">
        <w:rPr>
          <w:sz w:val="24"/>
        </w:rPr>
        <w:t xml:space="preserve"> </w:t>
      </w:r>
      <w:r w:rsidRPr="006B26D8">
        <w:rPr>
          <w:sz w:val="24"/>
        </w:rPr>
        <w:t xml:space="preserve">prodeje s využitím pro </w:t>
      </w:r>
      <w:r w:rsidR="00E23897" w:rsidRPr="006B26D8">
        <w:rPr>
          <w:sz w:val="24"/>
        </w:rPr>
        <w:t xml:space="preserve">hromadné bydlení </w:t>
      </w:r>
      <w:r w:rsidR="001F7A39" w:rsidRPr="006B26D8">
        <w:rPr>
          <w:sz w:val="24"/>
        </w:rPr>
        <w:t xml:space="preserve">s podílem </w:t>
      </w:r>
      <w:r w:rsidR="00806FD7" w:rsidRPr="006B26D8">
        <w:rPr>
          <w:sz w:val="24"/>
        </w:rPr>
        <w:t xml:space="preserve">cca </w:t>
      </w:r>
      <w:r w:rsidR="00E23897" w:rsidRPr="006B26D8">
        <w:rPr>
          <w:sz w:val="24"/>
        </w:rPr>
        <w:t>1</w:t>
      </w:r>
      <w:r w:rsidR="00BD3B18" w:rsidRPr="006B26D8">
        <w:rPr>
          <w:sz w:val="24"/>
        </w:rPr>
        <w:t>6</w:t>
      </w:r>
      <w:r w:rsidR="00CB343F" w:rsidRPr="006B26D8">
        <w:rPr>
          <w:sz w:val="24"/>
        </w:rPr>
        <w:t> </w:t>
      </w:r>
      <w:r w:rsidR="001F7A39" w:rsidRPr="006B26D8">
        <w:rPr>
          <w:sz w:val="24"/>
        </w:rPr>
        <w:t>%</w:t>
      </w:r>
      <w:r w:rsidRPr="006B26D8">
        <w:rPr>
          <w:sz w:val="24"/>
        </w:rPr>
        <w:t xml:space="preserve">, </w:t>
      </w:r>
      <w:r w:rsidR="001F7A39" w:rsidRPr="006B26D8">
        <w:rPr>
          <w:sz w:val="24"/>
        </w:rPr>
        <w:t xml:space="preserve">kde jejich objem </w:t>
      </w:r>
      <w:r w:rsidR="00BD3B18" w:rsidRPr="006B26D8">
        <w:rPr>
          <w:sz w:val="24"/>
        </w:rPr>
        <w:t>meziročně také výrazně vzrostl</w:t>
      </w:r>
      <w:r w:rsidR="00806FD7" w:rsidRPr="006B26D8">
        <w:rPr>
          <w:sz w:val="24"/>
        </w:rPr>
        <w:t xml:space="preserve"> </w:t>
      </w:r>
      <w:r w:rsidR="006B26D8">
        <w:rPr>
          <w:sz w:val="24"/>
        </w:rPr>
        <w:t>-</w:t>
      </w:r>
      <w:r w:rsidR="0092530E" w:rsidRPr="006B26D8">
        <w:rPr>
          <w:sz w:val="24"/>
        </w:rPr>
        <w:t xml:space="preserve"> </w:t>
      </w:r>
      <w:r w:rsidR="001F7A39" w:rsidRPr="006B26D8">
        <w:rPr>
          <w:sz w:val="24"/>
        </w:rPr>
        <w:t>o</w:t>
      </w:r>
      <w:r w:rsidR="00CE180C" w:rsidRPr="006B26D8">
        <w:rPr>
          <w:sz w:val="24"/>
        </w:rPr>
        <w:t> </w:t>
      </w:r>
      <w:r w:rsidR="00BD3B18" w:rsidRPr="006B26D8">
        <w:rPr>
          <w:sz w:val="24"/>
        </w:rPr>
        <w:t>140</w:t>
      </w:r>
      <w:r w:rsidR="00FD2A53" w:rsidRPr="006B26D8">
        <w:rPr>
          <w:sz w:val="24"/>
        </w:rPr>
        <w:t> </w:t>
      </w:r>
      <w:r w:rsidR="00CE180C" w:rsidRPr="006B26D8">
        <w:rPr>
          <w:sz w:val="24"/>
        </w:rPr>
        <w:t>mil.</w:t>
      </w:r>
      <w:r w:rsidR="00FD2A53" w:rsidRPr="006B26D8">
        <w:rPr>
          <w:sz w:val="24"/>
        </w:rPr>
        <w:t> </w:t>
      </w:r>
      <w:r w:rsidR="001B6B08" w:rsidRPr="006B26D8">
        <w:rPr>
          <w:sz w:val="24"/>
        </w:rPr>
        <w:t>Kč</w:t>
      </w:r>
      <w:r w:rsidR="006B26D8">
        <w:rPr>
          <w:sz w:val="24"/>
        </w:rPr>
        <w:t>,</w:t>
      </w:r>
      <w:r w:rsidR="0092530E" w:rsidRPr="006B26D8">
        <w:rPr>
          <w:sz w:val="24"/>
        </w:rPr>
        <w:t xml:space="preserve"> tj.</w:t>
      </w:r>
      <w:r w:rsidR="006B26D8">
        <w:rPr>
          <w:sz w:val="24"/>
        </w:rPr>
        <w:t> </w:t>
      </w:r>
      <w:r w:rsidR="0092530E" w:rsidRPr="006B26D8">
        <w:rPr>
          <w:sz w:val="24"/>
        </w:rPr>
        <w:t>o</w:t>
      </w:r>
      <w:r w:rsidR="006B26D8">
        <w:rPr>
          <w:sz w:val="24"/>
        </w:rPr>
        <w:t> </w:t>
      </w:r>
      <w:r w:rsidR="00BD3B18" w:rsidRPr="006B26D8">
        <w:rPr>
          <w:sz w:val="24"/>
        </w:rPr>
        <w:t xml:space="preserve">182 </w:t>
      </w:r>
      <w:r w:rsidR="0092530E" w:rsidRPr="006B26D8">
        <w:rPr>
          <w:sz w:val="24"/>
        </w:rPr>
        <w:t>%</w:t>
      </w:r>
      <w:r w:rsidR="00E741A7" w:rsidRPr="006B26D8">
        <w:rPr>
          <w:sz w:val="24"/>
        </w:rPr>
        <w:t xml:space="preserve">. </w:t>
      </w:r>
      <w:r w:rsidR="00BD3B18" w:rsidRPr="006B26D8">
        <w:rPr>
          <w:sz w:val="24"/>
        </w:rPr>
        <w:t xml:space="preserve">Nejvyšší meziroční </w:t>
      </w:r>
      <w:r w:rsidR="0092530E" w:rsidRPr="006B26D8">
        <w:rPr>
          <w:sz w:val="24"/>
        </w:rPr>
        <w:t>nárůst objemu</w:t>
      </w:r>
      <w:r w:rsidR="001B6D2C" w:rsidRPr="006B26D8">
        <w:rPr>
          <w:sz w:val="24"/>
        </w:rPr>
        <w:t xml:space="preserve"> obchodů s </w:t>
      </w:r>
      <w:r w:rsidR="00806FD7" w:rsidRPr="006B26D8">
        <w:rPr>
          <w:sz w:val="24"/>
        </w:rPr>
        <w:t>pozemk</w:t>
      </w:r>
      <w:r w:rsidR="001B6D2C" w:rsidRPr="006B26D8">
        <w:rPr>
          <w:sz w:val="24"/>
        </w:rPr>
        <w:t>y</w:t>
      </w:r>
      <w:r w:rsidR="00806FD7" w:rsidRPr="006B26D8">
        <w:rPr>
          <w:sz w:val="24"/>
        </w:rPr>
        <w:t xml:space="preserve"> </w:t>
      </w:r>
      <w:r w:rsidR="00BD3B18" w:rsidRPr="006B26D8">
        <w:rPr>
          <w:sz w:val="24"/>
        </w:rPr>
        <w:t xml:space="preserve">dosáhl segment pozemků </w:t>
      </w:r>
      <w:r w:rsidR="00806FD7" w:rsidRPr="006B26D8">
        <w:rPr>
          <w:sz w:val="24"/>
        </w:rPr>
        <w:t xml:space="preserve">pro </w:t>
      </w:r>
      <w:r w:rsidR="00BD3B18" w:rsidRPr="006B26D8">
        <w:rPr>
          <w:sz w:val="24"/>
        </w:rPr>
        <w:t>občanskou vybavenost s komerčním využitím</w:t>
      </w:r>
      <w:r w:rsidR="00486122" w:rsidRPr="006B26D8">
        <w:rPr>
          <w:sz w:val="24"/>
        </w:rPr>
        <w:t>,</w:t>
      </w:r>
      <w:r w:rsidR="00806FD7" w:rsidRPr="006B26D8">
        <w:rPr>
          <w:sz w:val="24"/>
        </w:rPr>
        <w:t xml:space="preserve"> kde objem </w:t>
      </w:r>
      <w:r w:rsidR="001B6D2C" w:rsidRPr="006B26D8">
        <w:rPr>
          <w:sz w:val="24"/>
        </w:rPr>
        <w:t xml:space="preserve">obchodů </w:t>
      </w:r>
      <w:r w:rsidR="0092530E" w:rsidRPr="006B26D8">
        <w:rPr>
          <w:sz w:val="24"/>
        </w:rPr>
        <w:t xml:space="preserve">narostl </w:t>
      </w:r>
      <w:r w:rsidR="00486122" w:rsidRPr="006B26D8">
        <w:rPr>
          <w:sz w:val="24"/>
        </w:rPr>
        <w:t xml:space="preserve">na </w:t>
      </w:r>
      <w:r w:rsidR="00BD3B18" w:rsidRPr="006B26D8">
        <w:rPr>
          <w:sz w:val="24"/>
        </w:rPr>
        <w:t>171</w:t>
      </w:r>
      <w:r w:rsidR="002A4114" w:rsidRPr="006B26D8">
        <w:rPr>
          <w:sz w:val="24"/>
        </w:rPr>
        <w:t> </w:t>
      </w:r>
      <w:r w:rsidR="001B6D2C" w:rsidRPr="006B26D8">
        <w:rPr>
          <w:sz w:val="24"/>
        </w:rPr>
        <w:t>mil.</w:t>
      </w:r>
      <w:r w:rsidR="002A4114" w:rsidRPr="006B26D8">
        <w:rPr>
          <w:sz w:val="24"/>
        </w:rPr>
        <w:t> </w:t>
      </w:r>
      <w:r w:rsidR="001B6D2C" w:rsidRPr="006B26D8">
        <w:rPr>
          <w:sz w:val="24"/>
        </w:rPr>
        <w:t xml:space="preserve">Kč, s meziročním </w:t>
      </w:r>
      <w:r w:rsidR="0092530E" w:rsidRPr="006B26D8">
        <w:rPr>
          <w:sz w:val="24"/>
        </w:rPr>
        <w:t xml:space="preserve">nárůstem </w:t>
      </w:r>
      <w:r w:rsidR="00BE081E" w:rsidRPr="006B26D8">
        <w:rPr>
          <w:sz w:val="24"/>
        </w:rPr>
        <w:t>o </w:t>
      </w:r>
      <w:r w:rsidR="0092530E" w:rsidRPr="006B26D8">
        <w:rPr>
          <w:sz w:val="24"/>
        </w:rPr>
        <w:t xml:space="preserve">téměř </w:t>
      </w:r>
      <w:r w:rsidR="00BD3B18" w:rsidRPr="006B26D8">
        <w:rPr>
          <w:sz w:val="24"/>
        </w:rPr>
        <w:t>495</w:t>
      </w:r>
      <w:r w:rsidR="00BD41C3" w:rsidRPr="006B26D8">
        <w:rPr>
          <w:sz w:val="24"/>
        </w:rPr>
        <w:t> </w:t>
      </w:r>
      <w:r w:rsidR="001B6D2C" w:rsidRPr="006B26D8">
        <w:rPr>
          <w:sz w:val="24"/>
        </w:rPr>
        <w:t>%</w:t>
      </w:r>
      <w:r w:rsidR="00806FD7" w:rsidRPr="006B26D8">
        <w:rPr>
          <w:sz w:val="24"/>
        </w:rPr>
        <w:t xml:space="preserve">. </w:t>
      </w:r>
      <w:r w:rsidR="00050FC9" w:rsidRPr="006B26D8">
        <w:rPr>
          <w:sz w:val="24"/>
        </w:rPr>
        <w:t>Meziroční porovnání objemů uskutečněných obchodů je znázorněno v následujících grafech, které vyjadřují podíly jednotlivých kategorií zobchodovaných pozemků na celku</w:t>
      </w:r>
      <w:r w:rsidR="001B6B08" w:rsidRPr="006B26D8">
        <w:rPr>
          <w:sz w:val="24"/>
        </w:rPr>
        <w:t xml:space="preserve"> v posledních </w:t>
      </w:r>
      <w:r w:rsidR="00846CDC" w:rsidRPr="006B26D8">
        <w:rPr>
          <w:sz w:val="24"/>
        </w:rPr>
        <w:t>3</w:t>
      </w:r>
      <w:r w:rsidR="001B6B08" w:rsidRPr="006B26D8">
        <w:rPr>
          <w:sz w:val="24"/>
        </w:rPr>
        <w:t xml:space="preserve"> letech</w:t>
      </w:r>
      <w:r w:rsidR="00050FC9" w:rsidRPr="006B26D8">
        <w:rPr>
          <w:sz w:val="24"/>
        </w:rPr>
        <w:t>.</w:t>
      </w:r>
    </w:p>
    <w:p w14:paraId="02AA945D" w14:textId="073A8A1A" w:rsidR="00033C88" w:rsidRDefault="00033C88" w:rsidP="00033C88">
      <w:pPr>
        <w:pStyle w:val="Zkladntext"/>
        <w:spacing w:before="120"/>
        <w:ind w:firstLine="425"/>
      </w:pPr>
      <w:r>
        <w:t xml:space="preserve">Výrazné nárůsty objemu i výše dosažených cen ve všech oblastech města byly </w:t>
      </w:r>
      <w:r w:rsidR="000D31D4">
        <w:t xml:space="preserve">v roce 2021 </w:t>
      </w:r>
      <w:r>
        <w:t>způsobeny především nadprůměrnou aktivitou na trhu nemovitostí obecně</w:t>
      </w:r>
      <w:r w:rsidR="000D31D4">
        <w:t xml:space="preserve">, související mj. s oživením poptávky po investicích do nemovitého majetku </w:t>
      </w:r>
      <w:r>
        <w:t>a dále absencí významných transakcí na území města v</w:t>
      </w:r>
      <w:r w:rsidR="000D31D4">
        <w:t> předchozím sledovaném období (s výjimkou kategorie individuálního bydlení)</w:t>
      </w:r>
      <w:r>
        <w:t>.</w:t>
      </w:r>
    </w:p>
    <w:p w14:paraId="15AAA946" w14:textId="77777777" w:rsidR="001B6D2C" w:rsidRDefault="001B6D2C" w:rsidP="001B6D2C">
      <w:pPr>
        <w:spacing w:before="120"/>
        <w:jc w:val="both"/>
        <w:rPr>
          <w:sz w:val="24"/>
        </w:rPr>
      </w:pPr>
    </w:p>
    <w:p w14:paraId="7D574D40" w14:textId="4C1AECC1" w:rsidR="001B6D2C" w:rsidRDefault="001B6D2C" w:rsidP="00FE2BCD">
      <w:pPr>
        <w:spacing w:before="120"/>
        <w:ind w:left="-1418"/>
        <w:jc w:val="both"/>
        <w:rPr>
          <w:sz w:val="24"/>
        </w:rPr>
      </w:pPr>
    </w:p>
    <w:p w14:paraId="7D518413" w14:textId="21A7F15D" w:rsidR="00570932" w:rsidRDefault="00DF2A91" w:rsidP="00DF2A91">
      <w:pPr>
        <w:spacing w:before="120"/>
        <w:ind w:left="-1418"/>
        <w:jc w:val="both"/>
        <w:rPr>
          <w:sz w:val="24"/>
        </w:rPr>
      </w:pPr>
      <w:r>
        <w:rPr>
          <w:noProof/>
        </w:rPr>
        <w:lastRenderedPageBreak/>
        <w:drawing>
          <wp:inline distT="0" distB="0" distL="0" distR="0" wp14:anchorId="2AC83200" wp14:editId="7C6C8AD3">
            <wp:extent cx="7200000" cy="4320000"/>
            <wp:effectExtent l="0" t="0" r="1270" b="4445"/>
            <wp:docPr id="5" name="Graf 5">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E571BE7-A570-4428-AFB8-08682124B2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4FBF970" w14:textId="3FF982DA" w:rsidR="00FE2BCD" w:rsidRDefault="00FE2BCD" w:rsidP="00FE2BCD">
      <w:pPr>
        <w:spacing w:before="600"/>
        <w:ind w:left="-1701" w:firstLine="283"/>
        <w:jc w:val="both"/>
        <w:rPr>
          <w:sz w:val="24"/>
        </w:rPr>
      </w:pPr>
      <w:r>
        <w:rPr>
          <w:noProof/>
        </w:rPr>
        <w:drawing>
          <wp:inline distT="0" distB="0" distL="0" distR="0" wp14:anchorId="38904173" wp14:editId="64164372">
            <wp:extent cx="7200000" cy="4320000"/>
            <wp:effectExtent l="0" t="0" r="1270" b="4445"/>
            <wp:docPr id="1" name="Graf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F1AF1C7-B6BC-7844-9E55-8C783424CF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21DBDC2" w14:textId="327BEE32" w:rsidR="001F6825" w:rsidRDefault="001F6825" w:rsidP="00FE2BCD">
      <w:pPr>
        <w:spacing w:before="600"/>
        <w:ind w:left="-1701" w:firstLine="283"/>
        <w:jc w:val="both"/>
        <w:rPr>
          <w:sz w:val="24"/>
        </w:rPr>
      </w:pPr>
      <w:r>
        <w:rPr>
          <w:noProof/>
        </w:rPr>
        <w:lastRenderedPageBreak/>
        <w:drawing>
          <wp:inline distT="0" distB="0" distL="0" distR="0" wp14:anchorId="576DC370" wp14:editId="05DA7960">
            <wp:extent cx="7200000" cy="4320000"/>
            <wp:effectExtent l="0" t="0" r="1270" b="4445"/>
            <wp:docPr id="8" name="Graf 8">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6BE8DC3-0A3D-494A-AEC4-6BF6B9F5F0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6887BF4" w14:textId="3A0266CA" w:rsidR="009041FD" w:rsidRDefault="00CC238C" w:rsidP="00871CD7">
      <w:pPr>
        <w:spacing w:before="600"/>
        <w:ind w:firstLine="425"/>
        <w:jc w:val="both"/>
        <w:rPr>
          <w:sz w:val="24"/>
        </w:rPr>
      </w:pPr>
      <w:r w:rsidRPr="00231ABC">
        <w:rPr>
          <w:sz w:val="24"/>
        </w:rPr>
        <w:t xml:space="preserve">Při </w:t>
      </w:r>
      <w:r w:rsidRPr="00231ABC">
        <w:rPr>
          <w:b/>
          <w:sz w:val="24"/>
        </w:rPr>
        <w:t xml:space="preserve">vyhodnocení </w:t>
      </w:r>
      <w:r w:rsidR="00FD736F" w:rsidRPr="00231ABC">
        <w:rPr>
          <w:b/>
          <w:sz w:val="24"/>
        </w:rPr>
        <w:t>vývoje</w:t>
      </w:r>
      <w:r w:rsidRPr="00231ABC">
        <w:rPr>
          <w:b/>
          <w:sz w:val="24"/>
        </w:rPr>
        <w:t xml:space="preserve"> průměrných cen v</w:t>
      </w:r>
      <w:r w:rsidR="00B72929" w:rsidRPr="00231ABC">
        <w:rPr>
          <w:b/>
          <w:sz w:val="24"/>
        </w:rPr>
        <w:t> jednotlivých kategoriích</w:t>
      </w:r>
      <w:r w:rsidR="00B72929" w:rsidRPr="00231ABC">
        <w:rPr>
          <w:sz w:val="24"/>
        </w:rPr>
        <w:t xml:space="preserve"> </w:t>
      </w:r>
      <w:r w:rsidR="00050FC9">
        <w:rPr>
          <w:sz w:val="24"/>
        </w:rPr>
        <w:t xml:space="preserve">(viz graf vývoje průměrných cen pozemků dle jednotlivých </w:t>
      </w:r>
      <w:r w:rsidR="00846CDC">
        <w:rPr>
          <w:sz w:val="24"/>
        </w:rPr>
        <w:t>druhů</w:t>
      </w:r>
      <w:r w:rsidR="00050FC9">
        <w:rPr>
          <w:sz w:val="24"/>
        </w:rPr>
        <w:t xml:space="preserve"> využití v rámci celého města) </w:t>
      </w:r>
      <w:r w:rsidR="007A127E">
        <w:rPr>
          <w:sz w:val="24"/>
        </w:rPr>
        <w:t xml:space="preserve">byl </w:t>
      </w:r>
      <w:r w:rsidR="00B72929" w:rsidRPr="00231ABC">
        <w:rPr>
          <w:sz w:val="24"/>
        </w:rPr>
        <w:t>sledován</w:t>
      </w:r>
      <w:r w:rsidR="007A127E">
        <w:rPr>
          <w:sz w:val="24"/>
        </w:rPr>
        <w:t xml:space="preserve"> </w:t>
      </w:r>
      <w:r w:rsidR="00860237">
        <w:rPr>
          <w:sz w:val="24"/>
        </w:rPr>
        <w:t>nárůst cen ve všech kategoriích s podstatným významem na celkovém objemu obchodů v rámci města</w:t>
      </w:r>
      <w:r w:rsidR="007E0429">
        <w:rPr>
          <w:sz w:val="24"/>
        </w:rPr>
        <w:t xml:space="preserve">. </w:t>
      </w:r>
      <w:r w:rsidR="00860237">
        <w:rPr>
          <w:sz w:val="24"/>
        </w:rPr>
        <w:t>Nárůst průměrných cen korespondoval se zvýšenými objemy transakcí, k</w:t>
      </w:r>
      <w:r w:rsidR="00D75E85">
        <w:rPr>
          <w:sz w:val="24"/>
        </w:rPr>
        <w:t> </w:t>
      </w:r>
      <w:r w:rsidR="00860237">
        <w:rPr>
          <w:sz w:val="24"/>
        </w:rPr>
        <w:t>nejvyššímu růst</w:t>
      </w:r>
      <w:r w:rsidR="00945314">
        <w:rPr>
          <w:sz w:val="24"/>
        </w:rPr>
        <w:t>u</w:t>
      </w:r>
      <w:r w:rsidR="00860237">
        <w:rPr>
          <w:sz w:val="24"/>
        </w:rPr>
        <w:t xml:space="preserve"> průměrné ceny došlo u pozemků pro průmysl</w:t>
      </w:r>
      <w:r w:rsidR="00945314">
        <w:rPr>
          <w:sz w:val="24"/>
        </w:rPr>
        <w:t>, u kterých se průměrná cena zvedla o 118</w:t>
      </w:r>
      <w:r w:rsidR="00D75E85">
        <w:rPr>
          <w:sz w:val="24"/>
        </w:rPr>
        <w:t> </w:t>
      </w:r>
      <w:r w:rsidR="00945314">
        <w:rPr>
          <w:sz w:val="24"/>
        </w:rPr>
        <w:t>% na 1 240 Kč za m</w:t>
      </w:r>
      <w:r w:rsidR="00945314">
        <w:rPr>
          <w:sz w:val="24"/>
          <w:vertAlign w:val="superscript"/>
        </w:rPr>
        <w:t>2</w:t>
      </w:r>
      <w:r w:rsidR="00945314">
        <w:rPr>
          <w:sz w:val="24"/>
        </w:rPr>
        <w:t xml:space="preserve"> (navýšení o 670 Kč za m</w:t>
      </w:r>
      <w:r w:rsidR="00945314">
        <w:rPr>
          <w:sz w:val="24"/>
          <w:vertAlign w:val="superscript"/>
        </w:rPr>
        <w:t>2</w:t>
      </w:r>
      <w:r w:rsidR="00945314">
        <w:rPr>
          <w:sz w:val="24"/>
        </w:rPr>
        <w:t xml:space="preserve">). Výrazně také vzrostla průměrná cena v kategorii pozemků </w:t>
      </w:r>
      <w:r w:rsidR="00D75E85">
        <w:rPr>
          <w:sz w:val="24"/>
        </w:rPr>
        <w:t xml:space="preserve">pro </w:t>
      </w:r>
      <w:r w:rsidR="00945314">
        <w:rPr>
          <w:sz w:val="24"/>
        </w:rPr>
        <w:t>občanskou vybavenost</w:t>
      </w:r>
      <w:r w:rsidR="00D75E85">
        <w:rPr>
          <w:sz w:val="24"/>
        </w:rPr>
        <w:t>, a to</w:t>
      </w:r>
      <w:r w:rsidR="00945314">
        <w:rPr>
          <w:sz w:val="24"/>
        </w:rPr>
        <w:t xml:space="preserve"> </w:t>
      </w:r>
      <w:r w:rsidR="007E0429">
        <w:rPr>
          <w:sz w:val="24"/>
        </w:rPr>
        <w:t>o 59</w:t>
      </w:r>
      <w:r w:rsidR="00D75E85">
        <w:rPr>
          <w:sz w:val="24"/>
        </w:rPr>
        <w:t> </w:t>
      </w:r>
      <w:r w:rsidR="007E0429">
        <w:rPr>
          <w:sz w:val="24"/>
        </w:rPr>
        <w:t xml:space="preserve">% na 3 046 Kč za </w:t>
      </w:r>
      <w:r w:rsidR="007E0429" w:rsidRPr="00981143">
        <w:rPr>
          <w:sz w:val="24"/>
        </w:rPr>
        <w:t>m</w:t>
      </w:r>
      <w:r w:rsidR="007E0429" w:rsidRPr="00981143">
        <w:rPr>
          <w:sz w:val="24"/>
          <w:vertAlign w:val="superscript"/>
        </w:rPr>
        <w:t>2</w:t>
      </w:r>
      <w:r w:rsidR="007E0429" w:rsidRPr="00981143">
        <w:rPr>
          <w:sz w:val="24"/>
        </w:rPr>
        <w:t xml:space="preserve"> (navýšení o 1 126 Kč za m</w:t>
      </w:r>
      <w:r w:rsidR="007E0429" w:rsidRPr="00981143">
        <w:rPr>
          <w:sz w:val="24"/>
          <w:vertAlign w:val="superscript"/>
        </w:rPr>
        <w:t>2</w:t>
      </w:r>
      <w:r w:rsidR="007E0429" w:rsidRPr="00981143">
        <w:rPr>
          <w:sz w:val="24"/>
        </w:rPr>
        <w:t>). V dalších kategoriích pozemků</w:t>
      </w:r>
      <w:r w:rsidR="00871CD7" w:rsidRPr="00981143">
        <w:rPr>
          <w:sz w:val="24"/>
        </w:rPr>
        <w:t>, u</w:t>
      </w:r>
      <w:r w:rsidR="007E0429" w:rsidRPr="00981143">
        <w:rPr>
          <w:sz w:val="24"/>
        </w:rPr>
        <w:t xml:space="preserve"> kterých došlo ke zvýšen</w:t>
      </w:r>
      <w:r w:rsidR="00871CD7" w:rsidRPr="00981143">
        <w:rPr>
          <w:sz w:val="24"/>
        </w:rPr>
        <w:t>í</w:t>
      </w:r>
      <w:r w:rsidR="007E0429" w:rsidRPr="00981143">
        <w:rPr>
          <w:sz w:val="24"/>
        </w:rPr>
        <w:t xml:space="preserve"> průměrné</w:t>
      </w:r>
      <w:r w:rsidR="00D75E85" w:rsidRPr="00981143">
        <w:rPr>
          <w:sz w:val="24"/>
        </w:rPr>
        <w:t xml:space="preserve"> ceny, kdy</w:t>
      </w:r>
      <w:r w:rsidR="007E0429" w:rsidRPr="00981143">
        <w:rPr>
          <w:sz w:val="24"/>
        </w:rPr>
        <w:t xml:space="preserve"> </w:t>
      </w:r>
      <w:r w:rsidR="00D75E85" w:rsidRPr="00981143">
        <w:rPr>
          <w:sz w:val="24"/>
        </w:rPr>
        <w:t>bylo dosaženo</w:t>
      </w:r>
      <w:r w:rsidR="00871CD7" w:rsidRPr="00981143">
        <w:rPr>
          <w:sz w:val="24"/>
        </w:rPr>
        <w:t xml:space="preserve"> úrov</w:t>
      </w:r>
      <w:r w:rsidR="00D75E85" w:rsidRPr="00981143">
        <w:rPr>
          <w:sz w:val="24"/>
        </w:rPr>
        <w:t>ně</w:t>
      </w:r>
      <w:r w:rsidR="00871CD7" w:rsidRPr="00981143">
        <w:rPr>
          <w:sz w:val="24"/>
        </w:rPr>
        <w:t xml:space="preserve"> 1 439 Kč za m</w:t>
      </w:r>
      <w:r w:rsidR="00871CD7" w:rsidRPr="00981143">
        <w:rPr>
          <w:sz w:val="24"/>
          <w:vertAlign w:val="superscript"/>
        </w:rPr>
        <w:t>2</w:t>
      </w:r>
      <w:r w:rsidR="00871CD7" w:rsidRPr="00981143">
        <w:rPr>
          <w:sz w:val="24"/>
        </w:rPr>
        <w:t xml:space="preserve"> (navýšení o 20</w:t>
      </w:r>
      <w:r w:rsidR="00D75E85" w:rsidRPr="00981143">
        <w:rPr>
          <w:sz w:val="24"/>
        </w:rPr>
        <w:t> </w:t>
      </w:r>
      <w:r w:rsidR="00871CD7" w:rsidRPr="00981143">
        <w:rPr>
          <w:sz w:val="24"/>
        </w:rPr>
        <w:t>%) u pozemků pro</w:t>
      </w:r>
      <w:r w:rsidR="00871CD7">
        <w:rPr>
          <w:sz w:val="24"/>
        </w:rPr>
        <w:t xml:space="preserve"> hromadné bydlení, v kategorii rekreačního bydlení </w:t>
      </w:r>
      <w:r w:rsidR="002821FB">
        <w:rPr>
          <w:sz w:val="24"/>
        </w:rPr>
        <w:t>činil průměr</w:t>
      </w:r>
      <w:r w:rsidR="00871CD7">
        <w:rPr>
          <w:sz w:val="24"/>
        </w:rPr>
        <w:t xml:space="preserve"> 830 Kč za m</w:t>
      </w:r>
      <w:r w:rsidR="00871CD7">
        <w:rPr>
          <w:sz w:val="24"/>
          <w:vertAlign w:val="superscript"/>
        </w:rPr>
        <w:t>2</w:t>
      </w:r>
      <w:r w:rsidR="00871CD7">
        <w:rPr>
          <w:sz w:val="24"/>
        </w:rPr>
        <w:t xml:space="preserve"> (navýšení o</w:t>
      </w:r>
      <w:r w:rsidR="00D75E85">
        <w:rPr>
          <w:sz w:val="24"/>
        </w:rPr>
        <w:t> </w:t>
      </w:r>
      <w:r w:rsidR="00871CD7">
        <w:rPr>
          <w:sz w:val="24"/>
        </w:rPr>
        <w:t>49</w:t>
      </w:r>
      <w:r w:rsidR="00D75E85">
        <w:rPr>
          <w:sz w:val="24"/>
        </w:rPr>
        <w:t> </w:t>
      </w:r>
      <w:r w:rsidR="00871CD7">
        <w:rPr>
          <w:sz w:val="24"/>
        </w:rPr>
        <w:t>%), v kategorii individuálního bydlení 1</w:t>
      </w:r>
      <w:r w:rsidR="002821FB">
        <w:rPr>
          <w:sz w:val="24"/>
        </w:rPr>
        <w:t> </w:t>
      </w:r>
      <w:r w:rsidR="00871CD7">
        <w:rPr>
          <w:sz w:val="24"/>
        </w:rPr>
        <w:t>023 Kč za m</w:t>
      </w:r>
      <w:r w:rsidR="00871CD7">
        <w:rPr>
          <w:sz w:val="24"/>
          <w:vertAlign w:val="superscript"/>
        </w:rPr>
        <w:t>2</w:t>
      </w:r>
      <w:r w:rsidR="00871CD7">
        <w:rPr>
          <w:sz w:val="24"/>
        </w:rPr>
        <w:t xml:space="preserve"> (navýšení o 29</w:t>
      </w:r>
      <w:r w:rsidR="00D75E85">
        <w:rPr>
          <w:sz w:val="24"/>
        </w:rPr>
        <w:t> </w:t>
      </w:r>
      <w:r w:rsidR="00871CD7">
        <w:rPr>
          <w:sz w:val="24"/>
        </w:rPr>
        <w:t>%). V ostatních kategoriích pozemků pro garáže, občanskou vybavenost neziskového charakteru a</w:t>
      </w:r>
      <w:r w:rsidR="00D75E85">
        <w:rPr>
          <w:sz w:val="24"/>
        </w:rPr>
        <w:t> </w:t>
      </w:r>
      <w:r w:rsidR="00871CD7">
        <w:rPr>
          <w:sz w:val="24"/>
        </w:rPr>
        <w:t xml:space="preserve">technickou vybavenost průměrná cena klesla, </w:t>
      </w:r>
      <w:r w:rsidR="009041FD">
        <w:rPr>
          <w:sz w:val="24"/>
        </w:rPr>
        <w:t>což nastalo především v důsledku nižší aktivity na trhu ve sledovaném období roku 202</w:t>
      </w:r>
      <w:r w:rsidR="00871CD7">
        <w:rPr>
          <w:sz w:val="24"/>
        </w:rPr>
        <w:t>1</w:t>
      </w:r>
      <w:r w:rsidR="009041FD">
        <w:rPr>
          <w:sz w:val="24"/>
        </w:rPr>
        <w:t>.</w:t>
      </w:r>
    </w:p>
    <w:p w14:paraId="1CBCE857" w14:textId="1252814F" w:rsidR="00AA4EC8" w:rsidRDefault="00AA4EC8" w:rsidP="00885705">
      <w:pPr>
        <w:pStyle w:val="Zkladntextodsazen31"/>
      </w:pPr>
      <w:r w:rsidRPr="003744B2">
        <w:t xml:space="preserve">V následujícím grafu je uveden vývoj </w:t>
      </w:r>
      <w:r>
        <w:t xml:space="preserve">průměrných cen </w:t>
      </w:r>
      <w:r w:rsidRPr="003744B2">
        <w:t>pozemků dle kategorií za celé město.</w:t>
      </w:r>
    </w:p>
    <w:p w14:paraId="7196777C" w14:textId="3A43E4EE" w:rsidR="0073349A" w:rsidRPr="00EE363F" w:rsidRDefault="001F6825" w:rsidP="00846CDC">
      <w:pPr>
        <w:pStyle w:val="Zkladntextodsazen31"/>
        <w:ind w:firstLine="0"/>
        <w:rPr>
          <w:color w:val="000000" w:themeColor="text1"/>
        </w:rPr>
      </w:pPr>
      <w:r>
        <w:rPr>
          <w:noProof/>
        </w:rPr>
        <w:lastRenderedPageBreak/>
        <w:drawing>
          <wp:inline distT="0" distB="0" distL="0" distR="0" wp14:anchorId="0174EF93" wp14:editId="61BB3E29">
            <wp:extent cx="5760085" cy="3960000"/>
            <wp:effectExtent l="0" t="0" r="5715" b="2540"/>
            <wp:docPr id="12" name="Graf 1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846CDC">
        <w:t xml:space="preserve">       </w:t>
      </w:r>
      <w:r w:rsidR="00F61EA5">
        <w:t xml:space="preserve">Dále je níže </w:t>
      </w:r>
      <w:r w:rsidR="00F505EE">
        <w:t xml:space="preserve">graficky znázorněn </w:t>
      </w:r>
      <w:r w:rsidR="00050FC9" w:rsidRPr="003744B2">
        <w:t>vývoj objemu převod</w:t>
      </w:r>
      <w:r w:rsidR="00CB2128">
        <w:t>ů</w:t>
      </w:r>
      <w:r w:rsidR="00050FC9" w:rsidRPr="003744B2">
        <w:t xml:space="preserve"> pozemků dle kategorií využití</w:t>
      </w:r>
      <w:r w:rsidR="007540C4" w:rsidRPr="003744B2">
        <w:t xml:space="preserve"> za celé město.</w:t>
      </w:r>
      <w:r w:rsidR="003E2A82" w:rsidRPr="003E2A82">
        <w:rPr>
          <w:noProof/>
        </w:rPr>
        <w:t xml:space="preserve"> </w:t>
      </w:r>
      <w:r w:rsidR="00EE363F" w:rsidRPr="00EE363F">
        <w:rPr>
          <w:noProof/>
          <w:color w:val="000000" w:themeColor="text1"/>
        </w:rPr>
        <w:drawing>
          <wp:inline distT="0" distB="0" distL="0" distR="0" wp14:anchorId="59B25766" wp14:editId="1972BCA1">
            <wp:extent cx="5760085" cy="3960000"/>
            <wp:effectExtent l="0" t="0" r="5715" b="2540"/>
            <wp:docPr id="15" name="Graf 15">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2F8EBA2" w14:textId="77777777" w:rsidR="00F97C91" w:rsidRDefault="00F97C91" w:rsidP="004C0BA7">
      <w:pPr>
        <w:pStyle w:val="Zkladntextodsazen31"/>
      </w:pPr>
    </w:p>
    <w:p w14:paraId="727460AB" w14:textId="77777777" w:rsidR="00F97C91" w:rsidRDefault="00F97C91" w:rsidP="004C0BA7">
      <w:pPr>
        <w:pStyle w:val="Zkladntextodsazen31"/>
      </w:pPr>
    </w:p>
    <w:p w14:paraId="7D860D05" w14:textId="65D01B8A" w:rsidR="009041FD" w:rsidRDefault="00F505EE" w:rsidP="004C0BA7">
      <w:pPr>
        <w:pStyle w:val="Zkladntextodsazen31"/>
      </w:pPr>
      <w:r>
        <w:lastRenderedPageBreak/>
        <w:t>Podrobnou a</w:t>
      </w:r>
      <w:r w:rsidR="00D34870" w:rsidRPr="00231ABC">
        <w:t>nalýzou</w:t>
      </w:r>
      <w:r w:rsidR="00ED3B58" w:rsidRPr="00231ABC">
        <w:t xml:space="preserve"> uskutečněných prodejů</w:t>
      </w:r>
      <w:r w:rsidR="00B72929" w:rsidRPr="00231ABC">
        <w:t xml:space="preserve"> byl</w:t>
      </w:r>
      <w:r w:rsidR="00D34870" w:rsidRPr="00231ABC">
        <w:t>o</w:t>
      </w:r>
      <w:r w:rsidR="003E39AE" w:rsidRPr="00231ABC">
        <w:t xml:space="preserve"> </w:t>
      </w:r>
      <w:r w:rsidR="00D34870" w:rsidRPr="00231ABC">
        <w:t>zjištěno</w:t>
      </w:r>
      <w:r w:rsidR="00B72929" w:rsidRPr="00231ABC">
        <w:t xml:space="preserve">, </w:t>
      </w:r>
      <w:r w:rsidR="00D34870" w:rsidRPr="00231ABC">
        <w:t xml:space="preserve">že </w:t>
      </w:r>
      <w:r w:rsidR="00F73609">
        <w:t>oproti minul</w:t>
      </w:r>
      <w:r w:rsidR="009041FD">
        <w:t>ým</w:t>
      </w:r>
      <w:r w:rsidR="00F73609">
        <w:t xml:space="preserve"> období</w:t>
      </w:r>
      <w:r w:rsidR="007A0164">
        <w:t>m</w:t>
      </w:r>
      <w:r w:rsidR="009041FD">
        <w:t xml:space="preserve"> výrazně</w:t>
      </w:r>
      <w:r w:rsidR="00A97122" w:rsidRPr="00A97122">
        <w:t xml:space="preserve"> </w:t>
      </w:r>
      <w:r w:rsidR="00B52AF7">
        <w:t>vz</w:t>
      </w:r>
      <w:r w:rsidR="009041FD">
        <w:t xml:space="preserve">rostly </w:t>
      </w:r>
      <w:r w:rsidR="00F97C91">
        <w:t xml:space="preserve">objemy </w:t>
      </w:r>
      <w:r w:rsidR="00F73609" w:rsidRPr="00A97122">
        <w:t>převod</w:t>
      </w:r>
      <w:r w:rsidR="00F97C91">
        <w:t>ů</w:t>
      </w:r>
      <w:r w:rsidR="00A97122" w:rsidRPr="00A97122">
        <w:t xml:space="preserve"> v</w:t>
      </w:r>
      <w:r w:rsidR="00F97C91">
        <w:t xml:space="preserve">e všech nejdůležitějších </w:t>
      </w:r>
      <w:r w:rsidR="009041FD">
        <w:t>segmentech trhu</w:t>
      </w:r>
      <w:r w:rsidR="00F97C91">
        <w:t xml:space="preserve"> s pozemky, a to</w:t>
      </w:r>
      <w:r w:rsidR="009041FD">
        <w:t xml:space="preserve"> </w:t>
      </w:r>
      <w:r w:rsidR="00F97C91">
        <w:t>u</w:t>
      </w:r>
      <w:r w:rsidR="002821FB">
        <w:t> </w:t>
      </w:r>
      <w:r w:rsidR="00F97C91">
        <w:t>pozemků pro hromadné, rekreační i rodinné bydlení</w:t>
      </w:r>
      <w:r w:rsidR="000D4921">
        <w:t>,</w:t>
      </w:r>
      <w:r w:rsidR="00F97C91">
        <w:t xml:space="preserve"> občanskou vybavenost a v oblasti</w:t>
      </w:r>
      <w:r w:rsidR="000D4921">
        <w:t xml:space="preserve"> </w:t>
      </w:r>
      <w:r w:rsidR="00F97C91">
        <w:t xml:space="preserve">průmyslu. </w:t>
      </w:r>
      <w:r w:rsidR="000D4921">
        <w:t xml:space="preserve"> </w:t>
      </w:r>
    </w:p>
    <w:p w14:paraId="5ABB5026" w14:textId="0E7ADE36" w:rsidR="007A2F7F" w:rsidRDefault="002E3B91" w:rsidP="007A2F7F">
      <w:pPr>
        <w:pStyle w:val="Zkladntextodsazen31"/>
      </w:pPr>
      <w:r w:rsidRPr="00A97122">
        <w:t xml:space="preserve">Koncentrace zájmu </w:t>
      </w:r>
      <w:r w:rsidR="00441286">
        <w:t xml:space="preserve">o pozemky pro </w:t>
      </w:r>
      <w:r w:rsidR="00441286" w:rsidRPr="000D4921">
        <w:rPr>
          <w:b/>
        </w:rPr>
        <w:t>rodinné bydlení</w:t>
      </w:r>
      <w:r w:rsidR="00441286">
        <w:t xml:space="preserve"> </w:t>
      </w:r>
      <w:r w:rsidR="000D4921">
        <w:t xml:space="preserve">stále </w:t>
      </w:r>
      <w:r w:rsidRPr="00A97122">
        <w:t xml:space="preserve">přetrvává u rezidenčních částí na západní a jižní straně města, zejména z důvodu </w:t>
      </w:r>
      <w:r w:rsidR="002B65A6">
        <w:t xml:space="preserve">vyšší </w:t>
      </w:r>
      <w:r w:rsidRPr="00A97122">
        <w:t>kvality životního prostředí. Zájem o</w:t>
      </w:r>
      <w:r w:rsidR="00487810">
        <w:t> </w:t>
      </w:r>
      <w:r w:rsidRPr="00A97122">
        <w:t xml:space="preserve">bydlení je sledován také v severních </w:t>
      </w:r>
      <w:r w:rsidR="00A97122" w:rsidRPr="00A97122">
        <w:t>a</w:t>
      </w:r>
      <w:r w:rsidR="00F96550">
        <w:t> </w:t>
      </w:r>
      <w:r w:rsidR="00A97122" w:rsidRPr="00A97122">
        <w:t xml:space="preserve">východních </w:t>
      </w:r>
      <w:r w:rsidRPr="00A97122">
        <w:t>okrajových částech Ostravy, kde je výhodou zejména dobrá dostupnost centra města a městské infrastruktury.</w:t>
      </w:r>
      <w:r w:rsidRPr="00231ABC">
        <w:t xml:space="preserve"> </w:t>
      </w:r>
      <w:r w:rsidR="00726550">
        <w:t>Trvalý z</w:t>
      </w:r>
      <w:r w:rsidR="004C0BA7" w:rsidRPr="001D334E">
        <w:t xml:space="preserve">ájem </w:t>
      </w:r>
      <w:r w:rsidR="00726550">
        <w:t>o</w:t>
      </w:r>
      <w:r w:rsidR="00487810">
        <w:t> </w:t>
      </w:r>
      <w:r w:rsidR="00255D13">
        <w:t xml:space="preserve">residenční </w:t>
      </w:r>
      <w:r w:rsidR="00726550">
        <w:t xml:space="preserve">bydlení </w:t>
      </w:r>
      <w:r w:rsidR="00255D13">
        <w:t xml:space="preserve">se projevuje </w:t>
      </w:r>
      <w:r w:rsidR="00A44023">
        <w:t xml:space="preserve">v </w:t>
      </w:r>
      <w:r w:rsidR="004C0BA7" w:rsidRPr="001D334E">
        <w:t>okrajov</w:t>
      </w:r>
      <w:r w:rsidR="004C0BA7">
        <w:t xml:space="preserve">ých </w:t>
      </w:r>
      <w:r w:rsidR="004C0BA7" w:rsidRPr="001D334E">
        <w:t>část</w:t>
      </w:r>
      <w:r w:rsidR="004C0BA7">
        <w:t>ech</w:t>
      </w:r>
      <w:r w:rsidR="004C0BA7" w:rsidRPr="001D334E">
        <w:t xml:space="preserve"> vnitřního</w:t>
      </w:r>
      <w:r w:rsidR="004C0BA7" w:rsidRPr="00EE1C65">
        <w:t xml:space="preserve"> města, zejména </w:t>
      </w:r>
      <w:r w:rsidR="004C0BA7">
        <w:t>v</w:t>
      </w:r>
      <w:r w:rsidR="00255D13">
        <w:t> </w:t>
      </w:r>
      <w:r w:rsidR="004C0BA7" w:rsidRPr="00EE1C65">
        <w:t>Muglinov</w:t>
      </w:r>
      <w:r w:rsidR="004C0BA7">
        <w:t>ě</w:t>
      </w:r>
      <w:r w:rsidR="00255D13">
        <w:t>,</w:t>
      </w:r>
      <w:r w:rsidR="004C0BA7">
        <w:t xml:space="preserve"> </w:t>
      </w:r>
      <w:r w:rsidR="004C0BA7" w:rsidRPr="00EE1C65">
        <w:t>Slezsk</w:t>
      </w:r>
      <w:r w:rsidR="004C0BA7">
        <w:t>é</w:t>
      </w:r>
      <w:r w:rsidR="004C0BA7" w:rsidRPr="00EE1C65">
        <w:t xml:space="preserve"> Ostrav</w:t>
      </w:r>
      <w:r w:rsidR="004C0BA7">
        <w:t>ě</w:t>
      </w:r>
      <w:r w:rsidR="004C0BA7" w:rsidRPr="00EE1C65">
        <w:t xml:space="preserve">, </w:t>
      </w:r>
      <w:r w:rsidR="004C0BA7">
        <w:t xml:space="preserve">Svinově, Martinově, Třebovicích, Pustkovci a </w:t>
      </w:r>
      <w:r w:rsidR="004C0BA7" w:rsidRPr="00EE1C65">
        <w:t>Porub</w:t>
      </w:r>
      <w:r w:rsidR="004C0BA7">
        <w:t>ě</w:t>
      </w:r>
      <w:r w:rsidR="00A44023">
        <w:t>,</w:t>
      </w:r>
      <w:r w:rsidR="004C0BA7" w:rsidRPr="00EE1C65">
        <w:t xml:space="preserve"> s dobrou dopravní dostupností a dosahem infrastruktury</w:t>
      </w:r>
      <w:r w:rsidR="00255D13">
        <w:t xml:space="preserve">, kde plochy pro další rozvoj výstavby jsou velmi omezené. </w:t>
      </w:r>
      <w:r w:rsidR="004C0BA7" w:rsidRPr="00EE1C65">
        <w:t>Největší rozvoj v</w:t>
      </w:r>
      <w:r w:rsidR="00255D13">
        <w:t xml:space="preserve"> této </w:t>
      </w:r>
      <w:r w:rsidR="004C0BA7" w:rsidRPr="00EE1C65">
        <w:t>kategorii je stále sledován na periferii města, tj.</w:t>
      </w:r>
      <w:r w:rsidR="002821FB">
        <w:t> </w:t>
      </w:r>
      <w:r w:rsidR="004C0BA7" w:rsidRPr="00EE1C65">
        <w:t>v</w:t>
      </w:r>
      <w:r w:rsidR="002821FB">
        <w:t> </w:t>
      </w:r>
      <w:r w:rsidR="004C0BA7" w:rsidRPr="00EE1C65">
        <w:t>území mimo kompaktní město</w:t>
      </w:r>
      <w:r w:rsidR="004C0BA7">
        <w:t xml:space="preserve">, </w:t>
      </w:r>
      <w:r w:rsidR="004C0BA7" w:rsidRPr="00EE1C65">
        <w:t>v</w:t>
      </w:r>
      <w:r w:rsidR="00F96550">
        <w:t> </w:t>
      </w:r>
      <w:r w:rsidR="004C0BA7" w:rsidRPr="00EE1C65">
        <w:t>městských obvodech Stará Bělá, Nová Bělá, Polanka</w:t>
      </w:r>
      <w:r w:rsidR="00AD45B2">
        <w:t>, Krásné Pole, Plesná</w:t>
      </w:r>
      <w:r w:rsidR="00255D13">
        <w:t>,</w:t>
      </w:r>
      <w:r w:rsidR="004B57CA">
        <w:t xml:space="preserve"> Hrabová</w:t>
      </w:r>
      <w:r w:rsidR="00255D13">
        <w:t>, ale i severních a východních částech města, v městských částech Michálkovice, Hošťálkovice, Lhotka, Heřmanice, Radvanice a Bartovice</w:t>
      </w:r>
      <w:r w:rsidR="004B57CA">
        <w:t>. V</w:t>
      </w:r>
      <w:r w:rsidR="004C0BA7">
        <w:t>ýznamná</w:t>
      </w:r>
      <w:r w:rsidR="004C0BA7" w:rsidRPr="00EE1C65">
        <w:t xml:space="preserve"> aktivita byla</w:t>
      </w:r>
      <w:r w:rsidR="00AE0EBB">
        <w:t xml:space="preserve"> ve sledovaném období roku 202</w:t>
      </w:r>
      <w:r w:rsidR="00255D13">
        <w:t>1</w:t>
      </w:r>
      <w:r w:rsidR="004C0BA7" w:rsidRPr="00EE1C65">
        <w:t xml:space="preserve"> zaznamenána </w:t>
      </w:r>
      <w:r w:rsidR="004C0BA7">
        <w:t xml:space="preserve">např. </w:t>
      </w:r>
      <w:r w:rsidR="004C0BA7" w:rsidRPr="00EE1C65">
        <w:t>v</w:t>
      </w:r>
      <w:r w:rsidR="00FF7598">
        <w:t xml:space="preserve"> Krásném Poli, </w:t>
      </w:r>
      <w:r w:rsidR="00A97122" w:rsidRPr="002A60F7">
        <w:t>Hrabové</w:t>
      </w:r>
      <w:r w:rsidR="004C0BA7" w:rsidRPr="002A60F7">
        <w:t>,</w:t>
      </w:r>
      <w:r w:rsidR="00FF7598">
        <w:t xml:space="preserve"> Staré Bělé, Plesné, Lhotce, Hošťálkovicích, Radvanicích a </w:t>
      </w:r>
      <w:proofErr w:type="gramStart"/>
      <w:r w:rsidR="00FF7598">
        <w:t>Bartovicích</w:t>
      </w:r>
      <w:proofErr w:type="gramEnd"/>
      <w:r w:rsidR="00FF7598">
        <w:t>,</w:t>
      </w:r>
      <w:r w:rsidR="004C0BA7" w:rsidRPr="002A60F7">
        <w:t xml:space="preserve"> kde </w:t>
      </w:r>
      <w:r w:rsidR="00AD45B2" w:rsidRPr="002A60F7">
        <w:t xml:space="preserve">je </w:t>
      </w:r>
      <w:r w:rsidR="008E5FC4">
        <w:t>buď</w:t>
      </w:r>
      <w:r w:rsidR="00AD45B2" w:rsidRPr="002A60F7">
        <w:t xml:space="preserve"> připravována </w:t>
      </w:r>
      <w:r w:rsidR="004C0BA7" w:rsidRPr="002A60F7">
        <w:t>developersk</w:t>
      </w:r>
      <w:r w:rsidR="00AD45B2" w:rsidRPr="002A60F7">
        <w:t>á</w:t>
      </w:r>
      <w:r w:rsidR="004C0BA7" w:rsidRPr="002A60F7">
        <w:t xml:space="preserve"> výstavb</w:t>
      </w:r>
      <w:r w:rsidR="00AD45B2" w:rsidRPr="002A60F7">
        <w:t>a rodinných domů</w:t>
      </w:r>
      <w:r w:rsidR="007A0164">
        <w:t>,</w:t>
      </w:r>
      <w:r w:rsidR="008E5FC4">
        <w:t xml:space="preserve"> nebo se jedná o samostatné projekty</w:t>
      </w:r>
      <w:r w:rsidR="004C0BA7" w:rsidRPr="002A60F7">
        <w:t>.</w:t>
      </w:r>
      <w:r w:rsidR="00F96550" w:rsidRPr="008E5FC4">
        <w:t xml:space="preserve"> </w:t>
      </w:r>
      <w:r w:rsidR="002B65A6" w:rsidRPr="008E5FC4">
        <w:t>Aktuálně se re</w:t>
      </w:r>
      <w:r w:rsidR="004C0BA7" w:rsidRPr="008E5FC4">
        <w:t>alizují</w:t>
      </w:r>
      <w:r w:rsidR="007A2F7F" w:rsidRPr="008E5FC4">
        <w:t xml:space="preserve"> </w:t>
      </w:r>
      <w:r w:rsidR="004C0BA7" w:rsidRPr="008E5FC4">
        <w:t xml:space="preserve">projekty </w:t>
      </w:r>
      <w:r w:rsidR="002B65A6" w:rsidRPr="008E5FC4">
        <w:t xml:space="preserve">developerské výstavby </w:t>
      </w:r>
      <w:r w:rsidR="004C0BA7" w:rsidRPr="008E5FC4">
        <w:t>v</w:t>
      </w:r>
      <w:r w:rsidR="008E5FC4" w:rsidRPr="008E5FC4">
        <w:t xml:space="preserve"> Hošťálkovicích, </w:t>
      </w:r>
      <w:r w:rsidR="004C0BA7" w:rsidRPr="008E5FC4">
        <w:t xml:space="preserve">Lhotce, </w:t>
      </w:r>
      <w:r w:rsidR="00FF7598">
        <w:t xml:space="preserve">Pustkovci, </w:t>
      </w:r>
      <w:r w:rsidR="004C0BA7" w:rsidRPr="008E5FC4">
        <w:t>Hrabové</w:t>
      </w:r>
      <w:r w:rsidR="008E5FC4" w:rsidRPr="008E5FC4">
        <w:t>,</w:t>
      </w:r>
      <w:r w:rsidR="00F96550" w:rsidRPr="008E5FC4">
        <w:t xml:space="preserve"> </w:t>
      </w:r>
      <w:r w:rsidR="006A6378" w:rsidRPr="008E5FC4">
        <w:t>Plesné</w:t>
      </w:r>
      <w:r w:rsidR="00FF7598">
        <w:t xml:space="preserve"> a Slezské Ostravě.</w:t>
      </w:r>
    </w:p>
    <w:p w14:paraId="30701E3E" w14:textId="4A1DA4D5" w:rsidR="00EA1C8C" w:rsidRPr="006C309B" w:rsidRDefault="00AD45B2" w:rsidP="007A2F7F">
      <w:pPr>
        <w:pStyle w:val="Zkladntextodsazen31"/>
      </w:pPr>
      <w:r>
        <w:t xml:space="preserve">Pokud se týče </w:t>
      </w:r>
      <w:r w:rsidRPr="008E5FC4">
        <w:rPr>
          <w:b/>
        </w:rPr>
        <w:t>bydlení hromadného</w:t>
      </w:r>
      <w:r>
        <w:t xml:space="preserve">, zájem </w:t>
      </w:r>
      <w:r w:rsidR="00A44023">
        <w:t xml:space="preserve">se </w:t>
      </w:r>
      <w:r>
        <w:t xml:space="preserve">koncentruje do čtvrtí na okraji </w:t>
      </w:r>
      <w:r w:rsidRPr="009A650A">
        <w:t>vnitřního města</w:t>
      </w:r>
      <w:r w:rsidR="002B65A6">
        <w:t xml:space="preserve"> -</w:t>
      </w:r>
      <w:r w:rsidRPr="009A650A">
        <w:t xml:space="preserve"> </w:t>
      </w:r>
      <w:r w:rsidR="00AE0EBB">
        <w:t>do</w:t>
      </w:r>
      <w:r w:rsidRPr="009A650A">
        <w:t xml:space="preserve"> Slezské Ostrav</w:t>
      </w:r>
      <w:r w:rsidR="00AE0EBB">
        <w:t>y</w:t>
      </w:r>
      <w:r w:rsidRPr="009A650A">
        <w:t xml:space="preserve"> a</w:t>
      </w:r>
      <w:r w:rsidR="00726550" w:rsidRPr="009A650A">
        <w:t> </w:t>
      </w:r>
      <w:r w:rsidRPr="009A650A">
        <w:t>Porub</w:t>
      </w:r>
      <w:r w:rsidR="00AE0EBB">
        <w:t>y</w:t>
      </w:r>
      <w:r w:rsidRPr="009A650A">
        <w:t xml:space="preserve">, </w:t>
      </w:r>
      <w:r w:rsidR="007A2F7F" w:rsidRPr="009A650A">
        <w:t xml:space="preserve">aktivita ve výstavbě je </w:t>
      </w:r>
      <w:r w:rsidR="00AE0EBB">
        <w:t xml:space="preserve">také </w:t>
      </w:r>
      <w:r w:rsidR="007A2F7F" w:rsidRPr="009A650A">
        <w:t>sledována i v samotném</w:t>
      </w:r>
      <w:r w:rsidR="007A2F7F">
        <w:t xml:space="preserve"> ce</w:t>
      </w:r>
      <w:r>
        <w:t>ntru města</w:t>
      </w:r>
      <w:r w:rsidR="00DD3836">
        <w:t xml:space="preserve"> v Moravské Ostravě</w:t>
      </w:r>
      <w:r w:rsidR="00A44023">
        <w:t>,</w:t>
      </w:r>
      <w:r w:rsidR="00DD3836">
        <w:t xml:space="preserve"> kde je </w:t>
      </w:r>
      <w:r w:rsidR="002821FB">
        <w:t>na volných plochách nebo v prolukách zástavby</w:t>
      </w:r>
      <w:r w:rsidR="002821FB">
        <w:t xml:space="preserve"> </w:t>
      </w:r>
      <w:r w:rsidR="00DD3836">
        <w:t>připravován</w:t>
      </w:r>
      <w:r w:rsidR="00CA4EFA">
        <w:t>o</w:t>
      </w:r>
      <w:r w:rsidR="00DD3836">
        <w:t xml:space="preserve"> několik bytových projektů pro pronájem</w:t>
      </w:r>
      <w:r w:rsidR="00487810">
        <w:t xml:space="preserve"> či prodej</w:t>
      </w:r>
      <w:r w:rsidR="00AE0EBB">
        <w:t xml:space="preserve">. </w:t>
      </w:r>
      <w:proofErr w:type="gramStart"/>
      <w:r w:rsidR="007A2F7F">
        <w:t>V těchto</w:t>
      </w:r>
      <w:proofErr w:type="gramEnd"/>
      <w:r w:rsidR="007A2F7F">
        <w:t xml:space="preserve"> částech města</w:t>
      </w:r>
      <w:r w:rsidR="00726550" w:rsidRPr="006C309B">
        <w:t xml:space="preserve"> jsou dosahovány nejvyšší ceny pozemků, a</w:t>
      </w:r>
      <w:r w:rsidR="00726550">
        <w:t> </w:t>
      </w:r>
      <w:r w:rsidR="00726550" w:rsidRPr="006C309B">
        <w:t xml:space="preserve">to zejména z důvodu omezeného počtu volných ploch pro zástavbu. </w:t>
      </w:r>
      <w:r w:rsidR="00EA1C8C" w:rsidRPr="001B7169">
        <w:t>V kategorii pozemků pro hromadné bydlení byl</w:t>
      </w:r>
      <w:r w:rsidR="00EA1C8C">
        <w:t xml:space="preserve"> v</w:t>
      </w:r>
      <w:r w:rsidR="00726550">
        <w:t> </w:t>
      </w:r>
      <w:r w:rsidR="00EA1C8C">
        <w:t>hodnoceném</w:t>
      </w:r>
      <w:r w:rsidR="00EA1C8C" w:rsidRPr="001B7169">
        <w:t xml:space="preserve"> období </w:t>
      </w:r>
      <w:r w:rsidR="00EA1C8C" w:rsidRPr="009A650A">
        <w:t xml:space="preserve">uskutečněn </w:t>
      </w:r>
      <w:r w:rsidR="009A650A" w:rsidRPr="009A650A">
        <w:t>nej</w:t>
      </w:r>
      <w:r w:rsidR="00726550" w:rsidRPr="009A650A">
        <w:t>významn</w:t>
      </w:r>
      <w:r w:rsidR="009A650A" w:rsidRPr="009A650A">
        <w:t>ější</w:t>
      </w:r>
      <w:r w:rsidR="00726550" w:rsidRPr="009A650A">
        <w:t xml:space="preserve"> </w:t>
      </w:r>
      <w:r w:rsidR="00EA1C8C" w:rsidRPr="009A650A">
        <w:t xml:space="preserve">převod </w:t>
      </w:r>
      <w:r w:rsidR="00726550" w:rsidRPr="009A650A">
        <w:t xml:space="preserve">pro </w:t>
      </w:r>
      <w:r w:rsidR="00316047">
        <w:t xml:space="preserve">rozsáhlou </w:t>
      </w:r>
      <w:r w:rsidR="00726550" w:rsidRPr="009A650A">
        <w:t>budoucí</w:t>
      </w:r>
      <w:r w:rsidR="00EA1C8C" w:rsidRPr="009A650A">
        <w:t xml:space="preserve"> výstavb</w:t>
      </w:r>
      <w:r w:rsidR="00726550" w:rsidRPr="009A650A">
        <w:t>u</w:t>
      </w:r>
      <w:r w:rsidR="00EA1C8C" w:rsidRPr="009A650A">
        <w:t xml:space="preserve"> v</w:t>
      </w:r>
      <w:r w:rsidR="00316047">
        <w:t>e</w:t>
      </w:r>
      <w:r w:rsidR="0096288F">
        <w:t xml:space="preserve"> </w:t>
      </w:r>
      <w:r w:rsidR="008E5FC4">
        <w:t xml:space="preserve">Slezské </w:t>
      </w:r>
      <w:r w:rsidR="009A650A" w:rsidRPr="009A650A">
        <w:t xml:space="preserve">Ostravě </w:t>
      </w:r>
      <w:r w:rsidR="008E5FC4">
        <w:t xml:space="preserve">v lokalitě </w:t>
      </w:r>
      <w:r w:rsidR="00316047">
        <w:t xml:space="preserve">a </w:t>
      </w:r>
      <w:proofErr w:type="gramStart"/>
      <w:r w:rsidR="00316047">
        <w:t>k.ú.</w:t>
      </w:r>
      <w:proofErr w:type="gramEnd"/>
      <w:r w:rsidR="00316047">
        <w:t xml:space="preserve"> Muglinov na </w:t>
      </w:r>
      <w:r w:rsidR="009A650A" w:rsidRPr="009A650A">
        <w:t>ul. </w:t>
      </w:r>
      <w:r w:rsidR="00316047">
        <w:t>Hladnovská</w:t>
      </w:r>
      <w:r w:rsidR="008E5FC4">
        <w:t xml:space="preserve">. </w:t>
      </w:r>
      <w:r w:rsidR="002B65A6">
        <w:t>Z </w:t>
      </w:r>
      <w:r w:rsidR="00EA1C8C" w:rsidRPr="009A650A">
        <w:t>dokončen</w:t>
      </w:r>
      <w:r w:rsidR="002B65A6">
        <w:t xml:space="preserve">ých </w:t>
      </w:r>
      <w:r w:rsidR="002B65A6" w:rsidRPr="009A650A">
        <w:t xml:space="preserve">či aktuálně realizovaných </w:t>
      </w:r>
      <w:r w:rsidR="00EA1C8C" w:rsidRPr="009A650A">
        <w:t>projektů lze zmínit výstavbu by</w:t>
      </w:r>
      <w:r w:rsidR="00812A86">
        <w:t>tových domů v Moravské Ostravě v lokalitě Nové</w:t>
      </w:r>
      <w:r w:rsidR="00EA1C8C" w:rsidRPr="009A650A">
        <w:t xml:space="preserve"> Karol</w:t>
      </w:r>
      <w:r w:rsidR="00812A86">
        <w:t>iny</w:t>
      </w:r>
      <w:r w:rsidR="00316047">
        <w:t>,</w:t>
      </w:r>
      <w:r w:rsidR="00812A86">
        <w:t xml:space="preserve"> </w:t>
      </w:r>
      <w:r w:rsidR="002821FB" w:rsidRPr="00981143">
        <w:t xml:space="preserve">na </w:t>
      </w:r>
      <w:r w:rsidR="00037C18" w:rsidRPr="00981143">
        <w:t>ul. Preslova</w:t>
      </w:r>
      <w:r w:rsidR="00316047" w:rsidRPr="00981143">
        <w:t xml:space="preserve"> a ul. Pi</w:t>
      </w:r>
      <w:r w:rsidR="00505104" w:rsidRPr="00981143">
        <w:t>v</w:t>
      </w:r>
      <w:r w:rsidR="00316047" w:rsidRPr="00981143">
        <w:t>ovarská</w:t>
      </w:r>
      <w:r w:rsidR="002821FB" w:rsidRPr="00981143">
        <w:t>, dále</w:t>
      </w:r>
      <w:r w:rsidR="00505104" w:rsidRPr="00981143">
        <w:t xml:space="preserve"> </w:t>
      </w:r>
      <w:r w:rsidR="00812A86" w:rsidRPr="00981143">
        <w:t>ve</w:t>
      </w:r>
      <w:r w:rsidR="009A650A" w:rsidRPr="00981143">
        <w:t xml:space="preserve"> Slezské Ostravě</w:t>
      </w:r>
      <w:r w:rsidR="00505104" w:rsidRPr="00981143">
        <w:t xml:space="preserve"> na Františkově</w:t>
      </w:r>
      <w:r w:rsidR="002821FB" w:rsidRPr="00981143">
        <w:t xml:space="preserve"> a v </w:t>
      </w:r>
      <w:r w:rsidR="008E5FC4" w:rsidRPr="00981143">
        <w:t>Hrab</w:t>
      </w:r>
      <w:r w:rsidR="00505104" w:rsidRPr="00981143">
        <w:t>ové</w:t>
      </w:r>
      <w:r w:rsidR="00EA1C8C" w:rsidRPr="00981143">
        <w:t xml:space="preserve">. </w:t>
      </w:r>
      <w:r w:rsidR="008E5FC4" w:rsidRPr="00981143">
        <w:t>Další</w:t>
      </w:r>
      <w:r w:rsidR="008E5FC4">
        <w:t xml:space="preserve"> významné projekty v oblasti bytové výstavby se připravují na pomezí Poruby a Svinova </w:t>
      </w:r>
      <w:r w:rsidR="00DA7FDB">
        <w:t>v lokalitě na východ od ul. Polská</w:t>
      </w:r>
      <w:r w:rsidR="002821FB">
        <w:t>,</w:t>
      </w:r>
      <w:r w:rsidR="00812A86">
        <w:t xml:space="preserve"> a </w:t>
      </w:r>
      <w:r w:rsidR="002821FB">
        <w:t xml:space="preserve">také </w:t>
      </w:r>
      <w:r w:rsidR="00812A86">
        <w:t>v</w:t>
      </w:r>
      <w:r w:rsidR="00DA7FDB">
        <w:t xml:space="preserve"> </w:t>
      </w:r>
      <w:r w:rsidR="00812A86">
        <w:t xml:space="preserve">Muglinově </w:t>
      </w:r>
      <w:r w:rsidR="00DA7FDB">
        <w:t xml:space="preserve">v nezastavěném prostoru na sever od ulice </w:t>
      </w:r>
      <w:r w:rsidR="008E5FC4">
        <w:t xml:space="preserve"> </w:t>
      </w:r>
      <w:r w:rsidR="00DA7FDB">
        <w:t xml:space="preserve">Hladnovská. </w:t>
      </w:r>
      <w:r w:rsidR="00EA1C8C" w:rsidRPr="009A650A">
        <w:t>Výraznou část obchodů v této kategorii tvoří převody podílů na pozemcích pod bytovými domy související s prodeji bytových jednotek.</w:t>
      </w:r>
      <w:r w:rsidR="00EA1C8C" w:rsidRPr="006C309B">
        <w:t xml:space="preserve"> </w:t>
      </w:r>
    </w:p>
    <w:p w14:paraId="58450E7B" w14:textId="3CA0E0F6" w:rsidR="00D04FED" w:rsidRDefault="00AD45B2" w:rsidP="00D34870">
      <w:pPr>
        <w:pStyle w:val="Zkladntextodsazen31"/>
      </w:pPr>
      <w:r>
        <w:t xml:space="preserve"> </w:t>
      </w:r>
      <w:r w:rsidR="00540D5B" w:rsidRPr="00231ABC">
        <w:t>V segmentu trhu s</w:t>
      </w:r>
      <w:r w:rsidR="00540D5B">
        <w:t> </w:t>
      </w:r>
      <w:r w:rsidR="00540D5B" w:rsidRPr="00231ABC">
        <w:t>pozemky</w:t>
      </w:r>
      <w:r w:rsidR="00540D5B">
        <w:t xml:space="preserve"> pro</w:t>
      </w:r>
      <w:r w:rsidR="00540D5B" w:rsidRPr="00231ABC">
        <w:t> </w:t>
      </w:r>
      <w:r w:rsidR="00540D5B" w:rsidRPr="00981143">
        <w:rPr>
          <w:b/>
        </w:rPr>
        <w:t>průmysl</w:t>
      </w:r>
      <w:r w:rsidR="00540D5B">
        <w:t xml:space="preserve"> se </w:t>
      </w:r>
      <w:r w:rsidR="00540D5B" w:rsidRPr="00231ABC">
        <w:t xml:space="preserve">v daném období </w:t>
      </w:r>
      <w:r w:rsidR="00540D5B">
        <w:t>zájem dále koncentroval v oblastech v</w:t>
      </w:r>
      <w:r w:rsidR="00540D5B" w:rsidRPr="00231ABC">
        <w:t> okolí páteřních komunikací města (např.</w:t>
      </w:r>
      <w:r w:rsidR="00540D5B">
        <w:t> </w:t>
      </w:r>
      <w:r w:rsidR="00505104">
        <w:t>M</w:t>
      </w:r>
      <w:r w:rsidR="00981143">
        <w:t>ístecká</w:t>
      </w:r>
      <w:r w:rsidR="00505104">
        <w:t>, Ru</w:t>
      </w:r>
      <w:r w:rsidR="00981143">
        <w:t>dn</w:t>
      </w:r>
      <w:r w:rsidR="00505104">
        <w:t xml:space="preserve">á, </w:t>
      </w:r>
      <w:r w:rsidR="00981143">
        <w:t>Bohumínská a </w:t>
      </w:r>
      <w:r w:rsidR="00505104">
        <w:t>Orlovská</w:t>
      </w:r>
      <w:r w:rsidR="00540D5B" w:rsidRPr="00231ABC">
        <w:t xml:space="preserve">), </w:t>
      </w:r>
      <w:r w:rsidR="00505104">
        <w:t>a to např. v rámci průmyslových areál</w:t>
      </w:r>
      <w:r w:rsidR="002821FB">
        <w:t>ů</w:t>
      </w:r>
      <w:r w:rsidR="00505104">
        <w:t xml:space="preserve"> ve Vítkovicích, Zábřehu a</w:t>
      </w:r>
      <w:r w:rsidR="002821FB">
        <w:t> </w:t>
      </w:r>
      <w:r w:rsidR="00505104">
        <w:t>pak také na volných, nezastavěných plochách v</w:t>
      </w:r>
      <w:r w:rsidR="00981143">
        <w:t> Porubě, Hrušově a</w:t>
      </w:r>
      <w:r w:rsidR="00505104">
        <w:t> Heřmanicích</w:t>
      </w:r>
      <w:r w:rsidR="00981143">
        <w:t>,</w:t>
      </w:r>
      <w:r w:rsidR="00505104">
        <w:t xml:space="preserve"> nebo na pomezí Nové Vsi a</w:t>
      </w:r>
      <w:r w:rsidR="002821FB">
        <w:t> M</w:t>
      </w:r>
      <w:r w:rsidR="00505104">
        <w:t>ariánských Hor</w:t>
      </w:r>
      <w:r w:rsidR="00540D5B" w:rsidRPr="00231ABC">
        <w:t>.</w:t>
      </w:r>
      <w:r w:rsidR="00DB1093">
        <w:t xml:space="preserve"> </w:t>
      </w:r>
    </w:p>
    <w:p w14:paraId="6C497C57" w14:textId="67636FB5" w:rsidR="00DD3836" w:rsidRDefault="00D04FED" w:rsidP="00D04FED">
      <w:pPr>
        <w:pStyle w:val="Zkladntextodsazen31"/>
      </w:pPr>
      <w:r>
        <w:t>Z</w:t>
      </w:r>
      <w:r w:rsidRPr="00CD1F48">
        <w:t>áj</w:t>
      </w:r>
      <w:r>
        <w:t>e</w:t>
      </w:r>
      <w:r w:rsidRPr="00CD1F48">
        <w:t xml:space="preserve">m </w:t>
      </w:r>
      <w:r>
        <w:t>přetrvává o</w:t>
      </w:r>
      <w:r w:rsidRPr="00CD1F48">
        <w:t xml:space="preserve"> nevyužitá území dotčená bývalou průmyslovou činností tzv. brownfields, </w:t>
      </w:r>
      <w:r w:rsidR="00A31D96">
        <w:t>kde byla dokončena sanace a příprava staveb</w:t>
      </w:r>
      <w:r w:rsidR="009860D0">
        <w:t>,</w:t>
      </w:r>
      <w:r w:rsidR="00A31D96">
        <w:t xml:space="preserve"> a je realizována </w:t>
      </w:r>
      <w:r w:rsidR="00874843" w:rsidRPr="00CD1F48">
        <w:t xml:space="preserve">postupně </w:t>
      </w:r>
      <w:proofErr w:type="gramStart"/>
      <w:r w:rsidR="00A31D96">
        <w:t>výstavba</w:t>
      </w:r>
      <w:r w:rsidR="009860D0">
        <w:t>,</w:t>
      </w:r>
      <w:r w:rsidR="00033C88">
        <w:t xml:space="preserve"> </w:t>
      </w:r>
      <w:r w:rsidR="00A31D96">
        <w:t>a</w:t>
      </w:r>
      <w:r w:rsidR="009860D0">
        <w:t> </w:t>
      </w:r>
      <w:r w:rsidR="00A31D96">
        <w:t>nebo</w:t>
      </w:r>
      <w:r w:rsidR="009860D0">
        <w:t xml:space="preserve"> v územích</w:t>
      </w:r>
      <w:proofErr w:type="gramEnd"/>
      <w:r w:rsidR="00A31D96">
        <w:t xml:space="preserve">, </w:t>
      </w:r>
      <w:r w:rsidRPr="00CD1F48">
        <w:t xml:space="preserve">která jsou revitalizována a připravována pro nové projekty. </w:t>
      </w:r>
      <w:r w:rsidR="008B345D">
        <w:t>Tyto plochy tvoří významnou část segmentu rozvojových ploch v oblasti průmyslu s celkovou rozlohou cca 9</w:t>
      </w:r>
      <w:r w:rsidR="00A44023">
        <w:t> </w:t>
      </w:r>
      <w:r w:rsidR="008B345D">
        <w:t xml:space="preserve">% území města, což odpovídá </w:t>
      </w:r>
      <w:r w:rsidR="00812A86">
        <w:t xml:space="preserve">ploše o velikosti </w:t>
      </w:r>
      <w:r w:rsidR="008B345D">
        <w:t>19 km</w:t>
      </w:r>
      <w:r w:rsidR="008B345D">
        <w:rPr>
          <w:vertAlign w:val="superscript"/>
        </w:rPr>
        <w:t>2</w:t>
      </w:r>
      <w:r w:rsidR="008B345D">
        <w:t xml:space="preserve">. </w:t>
      </w:r>
      <w:r w:rsidRPr="00CD1F48">
        <w:t xml:space="preserve">Nejvýznamnějším územím je plocha bývalé koksovny Karolina v centrální části města, která zaujímá plochu 32 ha a jejíž dokončená část s objekty pro obchod, administrativu, bydlení i volnočasové aktivity byla začleněna jako funkční plocha do centrální části města. Na tuto lokalitu navazuje původní industriální zóna </w:t>
      </w:r>
      <w:r w:rsidR="009860D0" w:rsidRPr="00CD1F48">
        <w:t>v městské části Vítkovice</w:t>
      </w:r>
      <w:r w:rsidR="009860D0">
        <w:t>,</w:t>
      </w:r>
      <w:r w:rsidR="009860D0" w:rsidRPr="00CD1F48">
        <w:t xml:space="preserve"> </w:t>
      </w:r>
      <w:r w:rsidRPr="00CD1F48">
        <w:t>rozkládající se na ploše 253</w:t>
      </w:r>
      <w:r w:rsidR="00462F52">
        <w:t> </w:t>
      </w:r>
      <w:r w:rsidRPr="00CD1F48">
        <w:t>ha, tzv.</w:t>
      </w:r>
      <w:r w:rsidR="009860D0">
        <w:t> </w:t>
      </w:r>
      <w:r w:rsidRPr="00CD1F48">
        <w:t xml:space="preserve">Dolní oblast Vítkovic. Zde v rámci revitalizace průmyslové zóny pokračuje projekt „Nové </w:t>
      </w:r>
      <w:r w:rsidRPr="00392657">
        <w:t>Vítkovice“,</w:t>
      </w:r>
      <w:r w:rsidR="00726550" w:rsidRPr="00392657">
        <w:t xml:space="preserve"> kde se aktuálně</w:t>
      </w:r>
      <w:r w:rsidRPr="00392657">
        <w:t xml:space="preserve"> pro celou oblast </w:t>
      </w:r>
      <w:r w:rsidR="00D07CB8" w:rsidRPr="00392657">
        <w:t>řeší</w:t>
      </w:r>
      <w:r w:rsidRPr="00392657">
        <w:t xml:space="preserve"> komplexní dopravní </w:t>
      </w:r>
      <w:r w:rsidR="00392657" w:rsidRPr="00392657">
        <w:t>na</w:t>
      </w:r>
      <w:r w:rsidRPr="00392657">
        <w:t xml:space="preserve">pojení </w:t>
      </w:r>
      <w:r w:rsidR="00392657" w:rsidRPr="00392657">
        <w:t xml:space="preserve">na </w:t>
      </w:r>
      <w:r w:rsidR="00392657" w:rsidRPr="00392657">
        <w:lastRenderedPageBreak/>
        <w:t xml:space="preserve">páteřní síť </w:t>
      </w:r>
      <w:r w:rsidRPr="00392657">
        <w:t xml:space="preserve">komunikací </w:t>
      </w:r>
      <w:r w:rsidR="00392657" w:rsidRPr="00392657">
        <w:t>města</w:t>
      </w:r>
      <w:r w:rsidR="00392657">
        <w:t xml:space="preserve">, ale </w:t>
      </w:r>
      <w:r w:rsidR="00392657" w:rsidRPr="00392657">
        <w:t xml:space="preserve">i </w:t>
      </w:r>
      <w:r w:rsidR="00392657">
        <w:t xml:space="preserve">propojení lokality s centrem </w:t>
      </w:r>
      <w:r w:rsidR="00487810">
        <w:t xml:space="preserve">města </w:t>
      </w:r>
      <w:r w:rsidR="00392657">
        <w:t xml:space="preserve">pro pěší </w:t>
      </w:r>
      <w:r w:rsidR="00487810">
        <w:t>a</w:t>
      </w:r>
      <w:r w:rsidR="00392657">
        <w:t xml:space="preserve"> </w:t>
      </w:r>
      <w:r w:rsidR="00394D68" w:rsidRPr="00392657">
        <w:t>cykl</w:t>
      </w:r>
      <w:r w:rsidR="00392657">
        <w:t>i</w:t>
      </w:r>
      <w:r w:rsidR="00394D68" w:rsidRPr="00392657">
        <w:t>st</w:t>
      </w:r>
      <w:r w:rsidR="00392657">
        <w:t>y</w:t>
      </w:r>
      <w:r w:rsidRPr="00392657">
        <w:t>. Další rekultivovanou plochou na území města je lokalita</w:t>
      </w:r>
      <w:r w:rsidRPr="001F031F">
        <w:t xml:space="preserve"> v místě původní obytné zástavby </w:t>
      </w:r>
      <w:r w:rsidR="00392657">
        <w:t>a</w:t>
      </w:r>
      <w:r w:rsidR="00487810">
        <w:t> </w:t>
      </w:r>
      <w:r w:rsidR="00392657">
        <w:t xml:space="preserve">průmyslového areálu </w:t>
      </w:r>
      <w:r w:rsidRPr="001F031F">
        <w:t>v</w:t>
      </w:r>
      <w:r w:rsidR="00394D68">
        <w:t> </w:t>
      </w:r>
      <w:r w:rsidRPr="001F031F">
        <w:t xml:space="preserve">Hrušově, kde </w:t>
      </w:r>
      <w:r w:rsidR="002C257B">
        <w:t xml:space="preserve">se realizují </w:t>
      </w:r>
      <w:r w:rsidR="00392657">
        <w:t>dvě nové průmyslové zóny</w:t>
      </w:r>
      <w:r w:rsidRPr="00853A07">
        <w:t>. V rámci území brownfield</w:t>
      </w:r>
      <w:r w:rsidR="00C65BF8">
        <w:t>s</w:t>
      </w:r>
      <w:r w:rsidRPr="00853A07">
        <w:t xml:space="preserve"> se dále zaplňuje areál původní cementárny při ulici Lihovarská ve Slezské Ostravě, části Kunčičky, s</w:t>
      </w:r>
      <w:r w:rsidR="00A44023">
        <w:t> </w:t>
      </w:r>
      <w:r w:rsidRPr="00853A07">
        <w:t>plochou 1</w:t>
      </w:r>
      <w:r w:rsidR="00726550">
        <w:t>3,5</w:t>
      </w:r>
      <w:r w:rsidRPr="00853A07">
        <w:t> ha a využitím pro lehký průmysl.</w:t>
      </w:r>
      <w:r w:rsidR="00DD3836">
        <w:t xml:space="preserve"> Nově j</w:t>
      </w:r>
      <w:r w:rsidR="00812A86">
        <w:t>e</w:t>
      </w:r>
      <w:r w:rsidR="00DD3836">
        <w:t xml:space="preserve"> </w:t>
      </w:r>
      <w:r w:rsidR="00C477DF">
        <w:t>v rámci území brownfield</w:t>
      </w:r>
      <w:r w:rsidR="00C65BF8">
        <w:t>s</w:t>
      </w:r>
      <w:r w:rsidR="00C477DF">
        <w:t xml:space="preserve"> </w:t>
      </w:r>
      <w:r w:rsidR="00A31D96">
        <w:t xml:space="preserve">realizována </w:t>
      </w:r>
      <w:r w:rsidR="00C65BF8">
        <w:t>zá</w:t>
      </w:r>
      <w:r w:rsidR="00C477DF">
        <w:t>stavb</w:t>
      </w:r>
      <w:r w:rsidR="00A31D96">
        <w:t>a</w:t>
      </w:r>
      <w:r w:rsidR="00C477DF">
        <w:t xml:space="preserve"> </w:t>
      </w:r>
      <w:r w:rsidR="00A31D96">
        <w:t xml:space="preserve">v </w:t>
      </w:r>
      <w:r w:rsidR="00DD3836">
        <w:t>průmyslov</w:t>
      </w:r>
      <w:r w:rsidR="00A31D96">
        <w:t>é</w:t>
      </w:r>
      <w:r w:rsidR="00DD3836">
        <w:t xml:space="preserve"> zón</w:t>
      </w:r>
      <w:r w:rsidR="00A31D96">
        <w:t>ě</w:t>
      </w:r>
      <w:r w:rsidR="00DD3836">
        <w:t xml:space="preserve"> </w:t>
      </w:r>
      <w:r w:rsidR="00C477DF">
        <w:t>ve Vítkovicích, v </w:t>
      </w:r>
      <w:r w:rsidR="00C65BF8">
        <w:t>lokalitě</w:t>
      </w:r>
      <w:r w:rsidR="00C477DF">
        <w:t xml:space="preserve"> mezi páteřními komunikacemi Místeckou a Rudnou</w:t>
      </w:r>
      <w:r w:rsidR="002E141A">
        <w:t>,</w:t>
      </w:r>
      <w:r w:rsidR="00C477DF">
        <w:t xml:space="preserve"> a řekou Ostravicí, </w:t>
      </w:r>
      <w:r w:rsidR="00A31D96">
        <w:t>dále se do popředí zájmu dostává také plocha</w:t>
      </w:r>
      <w:r w:rsidR="00CE5305">
        <w:t xml:space="preserve"> brownfield</w:t>
      </w:r>
      <w:r w:rsidR="004E1D8F">
        <w:t>u</w:t>
      </w:r>
      <w:r w:rsidR="00A31D96">
        <w:t xml:space="preserve"> s</w:t>
      </w:r>
      <w:r w:rsidR="009860D0">
        <w:t> </w:t>
      </w:r>
      <w:r w:rsidR="00A31D96">
        <w:t>názvem „Pod Žofinkou“</w:t>
      </w:r>
      <w:r w:rsidR="004E1D8F">
        <w:t>,</w:t>
      </w:r>
      <w:r w:rsidR="00156250">
        <w:t xml:space="preserve"> v prostoru </w:t>
      </w:r>
      <w:r w:rsidR="00A31D96">
        <w:t>mezi Novou Karolinou v </w:t>
      </w:r>
      <w:r w:rsidR="00156250">
        <w:t>M</w:t>
      </w:r>
      <w:r w:rsidR="00A31D96">
        <w:t>ora</w:t>
      </w:r>
      <w:r w:rsidR="00156250">
        <w:t>v</w:t>
      </w:r>
      <w:r w:rsidR="00A31D96">
        <w:t>ské Ostravě a Dolní oblastí ve V</w:t>
      </w:r>
      <w:r w:rsidR="00156250">
        <w:t>ítkovicích.</w:t>
      </w:r>
    </w:p>
    <w:p w14:paraId="5A3418E1" w14:textId="03C09661" w:rsidR="002E3B91" w:rsidRDefault="00DB1093" w:rsidP="00D34870">
      <w:pPr>
        <w:pStyle w:val="Zkladntextodsazen31"/>
      </w:pPr>
      <w:r>
        <w:t>U</w:t>
      </w:r>
      <w:r w:rsidR="00EF2640">
        <w:t> </w:t>
      </w:r>
      <w:r>
        <w:t xml:space="preserve">kategorie pozemků pro </w:t>
      </w:r>
      <w:r w:rsidRPr="00874843">
        <w:rPr>
          <w:b/>
        </w:rPr>
        <w:t>občanskou vybavenost</w:t>
      </w:r>
      <w:r>
        <w:t xml:space="preserve"> </w:t>
      </w:r>
      <w:r w:rsidRPr="00874843">
        <w:rPr>
          <w:b/>
        </w:rPr>
        <w:t>s komerčním zaměřením</w:t>
      </w:r>
      <w:r>
        <w:t xml:space="preserve"> pro obchod a</w:t>
      </w:r>
      <w:r w:rsidR="00D07CB8">
        <w:t> </w:t>
      </w:r>
      <w:r>
        <w:t>služby</w:t>
      </w:r>
      <w:r w:rsidR="00EF2640">
        <w:t xml:space="preserve"> </w:t>
      </w:r>
      <w:r w:rsidR="004E1D8F">
        <w:t xml:space="preserve">bylo </w:t>
      </w:r>
      <w:r w:rsidR="002E3B91">
        <w:t xml:space="preserve">ve sledovaném období </w:t>
      </w:r>
      <w:r w:rsidR="00EF2640">
        <w:t>realizov</w:t>
      </w:r>
      <w:r w:rsidR="002E3B91">
        <w:t>án</w:t>
      </w:r>
      <w:r w:rsidR="00D93483">
        <w:t>o několik</w:t>
      </w:r>
      <w:r w:rsidR="002E3B91">
        <w:t xml:space="preserve"> </w:t>
      </w:r>
      <w:r w:rsidR="00D93483">
        <w:t xml:space="preserve">výrazných </w:t>
      </w:r>
      <w:r w:rsidR="00EF2640">
        <w:t>převod</w:t>
      </w:r>
      <w:r w:rsidR="00D93483">
        <w:t xml:space="preserve">ů, z nichž zásadní význam v rámci města má převod pozemku na území Nové Karoliny v centrální části města, kde je již </w:t>
      </w:r>
      <w:r w:rsidR="00874843">
        <w:t>ve výstavbě</w:t>
      </w:r>
      <w:r w:rsidR="00D93483">
        <w:t xml:space="preserve"> administrativní budova</w:t>
      </w:r>
      <w:r w:rsidR="002E3B91">
        <w:t xml:space="preserve">. </w:t>
      </w:r>
      <w:r w:rsidR="00D93483">
        <w:t>D</w:t>
      </w:r>
      <w:r w:rsidR="00557210">
        <w:t>á</w:t>
      </w:r>
      <w:r w:rsidR="00D93483">
        <w:t>l</w:t>
      </w:r>
      <w:r w:rsidR="00557210">
        <w:t>e</w:t>
      </w:r>
      <w:r w:rsidR="00D93483">
        <w:t xml:space="preserve"> byly v této kategorii realizovány menší převody</w:t>
      </w:r>
      <w:r w:rsidR="002E3B91">
        <w:t>, a to např. v</w:t>
      </w:r>
      <w:r w:rsidR="00D93483">
        <w:t xml:space="preserve"> Porubě a </w:t>
      </w:r>
      <w:r w:rsidR="00557210">
        <w:t>S</w:t>
      </w:r>
      <w:r w:rsidR="00D93483">
        <w:t>lezské Ostravě</w:t>
      </w:r>
      <w:r w:rsidR="0037160C">
        <w:t>,</w:t>
      </w:r>
      <w:r w:rsidR="00D93483">
        <w:t xml:space="preserve"> pro výstavbu nových </w:t>
      </w:r>
      <w:r w:rsidR="0006249F">
        <w:t>obchodních objektů</w:t>
      </w:r>
      <w:r w:rsidR="00981143">
        <w:t xml:space="preserve"> </w:t>
      </w:r>
      <w:r w:rsidR="00981143" w:rsidRPr="00981143">
        <w:t>nebo</w:t>
      </w:r>
      <w:r w:rsidR="00557210" w:rsidRPr="00981143">
        <w:t xml:space="preserve"> pozemk</w:t>
      </w:r>
      <w:r w:rsidR="00981143" w:rsidRPr="00981143">
        <w:t>y</w:t>
      </w:r>
      <w:r w:rsidR="00557210" w:rsidRPr="00981143">
        <w:t xml:space="preserve"> proluk v historickém centru města v Moravské Ostravě.</w:t>
      </w:r>
      <w:r w:rsidR="00557210">
        <w:t xml:space="preserve"> </w:t>
      </w:r>
    </w:p>
    <w:p w14:paraId="1BAB5292" w14:textId="6DB914B3" w:rsidR="008C1968" w:rsidRPr="00395251" w:rsidRDefault="008C1968" w:rsidP="009951EE">
      <w:pPr>
        <w:pStyle w:val="Zkladntextodsazen31"/>
      </w:pPr>
      <w:r>
        <w:t xml:space="preserve">V kategorii </w:t>
      </w:r>
      <w:r w:rsidRPr="00874843">
        <w:rPr>
          <w:b/>
        </w:rPr>
        <w:t>občanské vybavenosti nekomerčního charakteru</w:t>
      </w:r>
      <w:r>
        <w:t xml:space="preserve"> se připravují nebo jsou realizovány významné investice</w:t>
      </w:r>
      <w:r w:rsidR="005F2F11">
        <w:t xml:space="preserve"> napříč celým městem</w:t>
      </w:r>
      <w:r>
        <w:t>, a to zejména v oblasti kulturní</w:t>
      </w:r>
      <w:r w:rsidRPr="00395251">
        <w:t xml:space="preserve">, sportovní, </w:t>
      </w:r>
      <w:r w:rsidR="00D27353" w:rsidRPr="00395251">
        <w:t>vzděláv</w:t>
      </w:r>
      <w:r w:rsidR="00860906">
        <w:t>ací</w:t>
      </w:r>
      <w:r w:rsidR="00D27353" w:rsidRPr="00395251">
        <w:t xml:space="preserve"> a</w:t>
      </w:r>
      <w:r w:rsidR="00860906">
        <w:t> </w:t>
      </w:r>
      <w:r w:rsidR="00D27353" w:rsidRPr="00395251">
        <w:t>sociální</w:t>
      </w:r>
      <w:r w:rsidR="005F2F11">
        <w:t>, rovněž se realizují rozsáhlé projekty pro úpravu a estetizaci veřejných prostranství v různých částech města</w:t>
      </w:r>
      <w:r w:rsidR="00D27353" w:rsidRPr="00395251">
        <w:t xml:space="preserve">. </w:t>
      </w:r>
    </w:p>
    <w:p w14:paraId="7F1138F4" w14:textId="234B8283" w:rsidR="004A5184" w:rsidRDefault="00050FE1" w:rsidP="004A5184">
      <w:pPr>
        <w:pStyle w:val="Zkladntextodsazen31"/>
      </w:pPr>
      <w:r w:rsidRPr="00B618F5">
        <w:rPr>
          <w:bCs/>
        </w:rPr>
        <w:t>Z </w:t>
      </w:r>
      <w:r w:rsidR="00B04FA2" w:rsidRPr="00B618F5">
        <w:rPr>
          <w:bCs/>
        </w:rPr>
        <w:t xml:space="preserve">dopravních </w:t>
      </w:r>
      <w:r w:rsidRPr="00B618F5">
        <w:rPr>
          <w:bCs/>
        </w:rPr>
        <w:t xml:space="preserve">staveb </w:t>
      </w:r>
      <w:r w:rsidR="00BF7BC8">
        <w:rPr>
          <w:bCs/>
        </w:rPr>
        <w:t>byly dokončeny</w:t>
      </w:r>
      <w:r w:rsidR="00B618F5" w:rsidRPr="00B618F5">
        <w:rPr>
          <w:bCs/>
        </w:rPr>
        <w:t xml:space="preserve"> </w:t>
      </w:r>
      <w:r w:rsidR="00557210">
        <w:rPr>
          <w:bCs/>
        </w:rPr>
        <w:t>nebo pokračují modernizace tramvajových tratí v Porubě, Zábřehu a Hrabůvce</w:t>
      </w:r>
      <w:r w:rsidR="0024669E">
        <w:rPr>
          <w:bCs/>
        </w:rPr>
        <w:t>.</w:t>
      </w:r>
      <w:r w:rsidR="00B618F5">
        <w:rPr>
          <w:bCs/>
        </w:rPr>
        <w:t xml:space="preserve"> Z významných projektů je připravována modernizace </w:t>
      </w:r>
      <w:r w:rsidR="00A715CA">
        <w:rPr>
          <w:bCs/>
        </w:rPr>
        <w:t xml:space="preserve">železničního uzlu </w:t>
      </w:r>
      <w:r w:rsidR="00A715CA" w:rsidRPr="00A715CA">
        <w:rPr>
          <w:bCs/>
        </w:rPr>
        <w:t>Ostrava</w:t>
      </w:r>
      <w:r w:rsidR="00A715CA">
        <w:rPr>
          <w:bCs/>
        </w:rPr>
        <w:t>-H</w:t>
      </w:r>
      <w:r w:rsidR="00A715CA" w:rsidRPr="00A715CA">
        <w:rPr>
          <w:bCs/>
        </w:rPr>
        <w:t>lavní nádraží</w:t>
      </w:r>
      <w:r w:rsidR="00A715CA">
        <w:rPr>
          <w:bCs/>
        </w:rPr>
        <w:t>.</w:t>
      </w:r>
      <w:r w:rsidR="004A5184">
        <w:rPr>
          <w:bCs/>
        </w:rPr>
        <w:t xml:space="preserve"> </w:t>
      </w:r>
      <w:r w:rsidR="004A5184">
        <w:t xml:space="preserve">Dále </w:t>
      </w:r>
      <w:r w:rsidR="00557210">
        <w:t>byla</w:t>
      </w:r>
      <w:r w:rsidR="004A5184">
        <w:t xml:space="preserve"> v této oblasti </w:t>
      </w:r>
      <w:r w:rsidR="00557210">
        <w:t xml:space="preserve">dokončena nebo je realizována </w:t>
      </w:r>
      <w:r w:rsidR="004A5184">
        <w:t xml:space="preserve">výstavba veřejných parkovacích domů </w:t>
      </w:r>
      <w:r w:rsidR="00FE7A68">
        <w:t xml:space="preserve">v </w:t>
      </w:r>
      <w:r w:rsidR="004A5184">
        <w:t>centr</w:t>
      </w:r>
      <w:r w:rsidR="00FE7A68">
        <w:t>u</w:t>
      </w:r>
      <w:r w:rsidR="004A5184">
        <w:t xml:space="preserve"> města</w:t>
      </w:r>
      <w:r w:rsidR="00FE7A68">
        <w:t xml:space="preserve"> i na jeho okraji (tzv.</w:t>
      </w:r>
      <w:r w:rsidR="00BF7BC8">
        <w:t> </w:t>
      </w:r>
      <w:r w:rsidR="00FE7A68">
        <w:t>projekty P+R)</w:t>
      </w:r>
      <w:r w:rsidR="00557210">
        <w:t xml:space="preserve"> v Moravské Ostravě, Přívoze nebo rozšíření parkovacích kapacit na Hranečníku ve Slezské Ostravě</w:t>
      </w:r>
      <w:r w:rsidR="00F75A0A">
        <w:t>.</w:t>
      </w:r>
      <w:r w:rsidR="00557210">
        <w:t xml:space="preserve"> Probíhá další rozvoj sítě cyklostezek, významnou stavbou v</w:t>
      </w:r>
      <w:r w:rsidR="00D85EEA">
        <w:t xml:space="preserve"> oblasti staveb komunikací </w:t>
      </w:r>
      <w:r w:rsidR="00557210">
        <w:t xml:space="preserve">pro pěší a cyklisty </w:t>
      </w:r>
      <w:r w:rsidR="00D85EEA">
        <w:t xml:space="preserve">je lávka spojující Dolní oblast Vítkovic s centrem Ostravy. </w:t>
      </w:r>
    </w:p>
    <w:p w14:paraId="52C2E3D2" w14:textId="77777777" w:rsidR="00AF20B1" w:rsidRPr="00231ABC" w:rsidRDefault="00AF20B1" w:rsidP="00094E96">
      <w:pPr>
        <w:widowControl w:val="0"/>
        <w:spacing w:before="360"/>
        <w:jc w:val="both"/>
        <w:rPr>
          <w:sz w:val="24"/>
        </w:rPr>
      </w:pPr>
      <w:r w:rsidRPr="00231ABC">
        <w:rPr>
          <w:sz w:val="24"/>
        </w:rPr>
        <w:t xml:space="preserve">7.2. </w:t>
      </w:r>
      <w:r w:rsidRPr="00231ABC">
        <w:rPr>
          <w:b/>
          <w:bCs/>
          <w:sz w:val="24"/>
          <w:szCs w:val="24"/>
          <w:u w:val="single"/>
        </w:rPr>
        <w:t>Rozbor realizovaných prodejů</w:t>
      </w:r>
      <w:r w:rsidRPr="00231ABC">
        <w:rPr>
          <w:sz w:val="24"/>
        </w:rPr>
        <w:t xml:space="preserve"> </w:t>
      </w:r>
    </w:p>
    <w:p w14:paraId="19AAE0CF" w14:textId="4711760E" w:rsidR="00AF20B1" w:rsidRPr="00231ABC" w:rsidRDefault="00AF20B1" w:rsidP="00AF20B1">
      <w:pPr>
        <w:pStyle w:val="Zkladntext"/>
        <w:spacing w:before="240"/>
        <w:ind w:firstLine="425"/>
      </w:pPr>
      <w:r w:rsidRPr="00DC4B66">
        <w:t>Z vyhodnocených prodejů stavebních pozemků v období od ledna 20</w:t>
      </w:r>
      <w:r w:rsidR="00221323">
        <w:t>2</w:t>
      </w:r>
      <w:r w:rsidR="00E350F9">
        <w:t>1</w:t>
      </w:r>
      <w:r w:rsidRPr="00DC4B66">
        <w:t xml:space="preserve"> do prosince 20</w:t>
      </w:r>
      <w:r w:rsidR="00221323">
        <w:t>2</w:t>
      </w:r>
      <w:r w:rsidR="00E350F9">
        <w:t>1</w:t>
      </w:r>
      <w:r w:rsidR="00B5487B" w:rsidRPr="00DC4B66">
        <w:t xml:space="preserve"> </w:t>
      </w:r>
      <w:r w:rsidRPr="00DC4B66">
        <w:t>byly pro tvorbu cenové mapy využity informace o 1</w:t>
      </w:r>
      <w:r w:rsidR="001642D1" w:rsidRPr="00DC4B66">
        <w:t> </w:t>
      </w:r>
      <w:r w:rsidR="00E350F9">
        <w:t>494</w:t>
      </w:r>
      <w:r w:rsidR="00812A86">
        <w:t xml:space="preserve"> transakcích, u </w:t>
      </w:r>
      <w:r w:rsidRPr="00DC4B66">
        <w:t>nich</w:t>
      </w:r>
      <w:r w:rsidR="00812A86">
        <w:t>ž</w:t>
      </w:r>
      <w:r w:rsidRPr="00DC4B66">
        <w:t xml:space="preserve"> byla posuzována rozhodující hlediska vlivů vzájemně působících na cenu pozemků, a to zejména </w:t>
      </w:r>
      <w:r w:rsidRPr="00DC4B66">
        <w:rPr>
          <w:b/>
          <w:i/>
        </w:rPr>
        <w:t>poloha</w:t>
      </w:r>
      <w:r w:rsidRPr="00DC4B66">
        <w:t xml:space="preserve"> </w:t>
      </w:r>
      <w:r w:rsidRPr="00DC4B66">
        <w:br/>
        <w:t xml:space="preserve">a </w:t>
      </w:r>
      <w:r w:rsidRPr="00DC4B66">
        <w:rPr>
          <w:b/>
          <w:i/>
        </w:rPr>
        <w:t>účel užití</w:t>
      </w:r>
      <w:r w:rsidRPr="00DC4B66">
        <w:t xml:space="preserve"> pozemku.</w:t>
      </w:r>
      <w:r w:rsidR="00F75A0A">
        <w:t xml:space="preserve"> </w:t>
      </w:r>
    </w:p>
    <w:p w14:paraId="4B7F1FCB" w14:textId="77777777" w:rsidR="00FA55F2" w:rsidRPr="00231ABC" w:rsidRDefault="00FA55F2" w:rsidP="008C2540">
      <w:pPr>
        <w:rPr>
          <w:b/>
          <w:sz w:val="24"/>
          <w:highlight w:val="yellow"/>
        </w:rPr>
      </w:pPr>
    </w:p>
    <w:p w14:paraId="66F38A3B" w14:textId="77777777" w:rsidR="00360526" w:rsidRPr="00231ABC" w:rsidRDefault="00360526" w:rsidP="008C2540">
      <w:pPr>
        <w:rPr>
          <w:b/>
          <w:sz w:val="24"/>
        </w:rPr>
      </w:pPr>
      <w:r w:rsidRPr="00231ABC">
        <w:rPr>
          <w:b/>
          <w:sz w:val="24"/>
        </w:rPr>
        <w:t>Vliv polohy</w:t>
      </w:r>
    </w:p>
    <w:p w14:paraId="37C7D5AA" w14:textId="43818AFB" w:rsidR="008A7B9F" w:rsidRDefault="00360526" w:rsidP="00F71ADF">
      <w:pPr>
        <w:pStyle w:val="Zkladntext"/>
        <w:spacing w:before="120"/>
        <w:ind w:firstLine="425"/>
      </w:pPr>
      <w:r w:rsidRPr="00885705">
        <w:t xml:space="preserve">Z následujícího přehledu průměrných cen </w:t>
      </w:r>
      <w:r w:rsidR="00213305" w:rsidRPr="00885705">
        <w:t xml:space="preserve">mezi jednotlivými částmi města </w:t>
      </w:r>
      <w:r w:rsidR="00812A86">
        <w:t xml:space="preserve">je </w:t>
      </w:r>
      <w:r w:rsidRPr="00885705">
        <w:t xml:space="preserve">zřejmé, že </w:t>
      </w:r>
      <w:r w:rsidRPr="008B5566">
        <w:t xml:space="preserve">ve sledovaném období došlo </w:t>
      </w:r>
      <w:r w:rsidR="001642D1" w:rsidRPr="008B5566">
        <w:t>k</w:t>
      </w:r>
      <w:r w:rsidR="006F761D">
        <w:t> </w:t>
      </w:r>
      <w:r w:rsidR="00091DB3">
        <w:t>nárůstu</w:t>
      </w:r>
      <w:r w:rsidR="006F761D">
        <w:t xml:space="preserve"> p</w:t>
      </w:r>
      <w:r w:rsidR="001642D1" w:rsidRPr="008B5566">
        <w:t xml:space="preserve">růměrné ceny </w:t>
      </w:r>
      <w:r w:rsidR="00F87B06" w:rsidRPr="008B5566">
        <w:t>ve všech částech města</w:t>
      </w:r>
      <w:r w:rsidR="00812A86">
        <w:t>. N</w:t>
      </w:r>
      <w:r w:rsidR="00E05E94">
        <w:t xml:space="preserve">ejvyšší </w:t>
      </w:r>
      <w:r w:rsidR="00091DB3">
        <w:t>nárůst</w:t>
      </w:r>
      <w:r w:rsidR="005C0E3C" w:rsidRPr="00DE55AD">
        <w:t xml:space="preserve"> průměrné ceny byl zaznamenán </w:t>
      </w:r>
      <w:r w:rsidR="00C04776" w:rsidRPr="00DE55AD">
        <w:t>v</w:t>
      </w:r>
      <w:r w:rsidR="00672A8B">
        <w:t>e</w:t>
      </w:r>
      <w:r w:rsidR="005C0E3C" w:rsidRPr="00DE55AD">
        <w:t xml:space="preserve"> vnitřní</w:t>
      </w:r>
      <w:r w:rsidR="00672A8B">
        <w:t>m</w:t>
      </w:r>
      <w:r w:rsidR="005C0E3C" w:rsidRPr="00DE55AD">
        <w:t xml:space="preserve"> měst</w:t>
      </w:r>
      <w:r w:rsidR="00672A8B">
        <w:t>ě</w:t>
      </w:r>
      <w:r w:rsidR="005C0E3C" w:rsidRPr="00DE55AD">
        <w:t xml:space="preserve"> </w:t>
      </w:r>
      <w:r w:rsidR="00C04776" w:rsidRPr="00DE55AD">
        <w:t>(</w:t>
      </w:r>
      <w:r w:rsidR="005C0E3C" w:rsidRPr="00DE55AD">
        <w:t xml:space="preserve">o </w:t>
      </w:r>
      <w:r w:rsidR="00091DB3">
        <w:t>121</w:t>
      </w:r>
      <w:r w:rsidR="004759E5" w:rsidRPr="00DE55AD">
        <w:t> </w:t>
      </w:r>
      <w:r w:rsidR="005C0E3C" w:rsidRPr="00DE55AD">
        <w:t>%</w:t>
      </w:r>
      <w:r w:rsidR="00C04776" w:rsidRPr="00DE55AD">
        <w:t>)</w:t>
      </w:r>
      <w:r w:rsidR="00DE55AD" w:rsidRPr="00DE55AD">
        <w:t>, v</w:t>
      </w:r>
      <w:r w:rsidR="007A0164">
        <w:t> průmyslových částech</w:t>
      </w:r>
      <w:r w:rsidR="00672A8B">
        <w:t xml:space="preserve"> dosá</w:t>
      </w:r>
      <w:r w:rsidR="00DE55AD" w:rsidRPr="00DE55AD">
        <w:t xml:space="preserve">hl </w:t>
      </w:r>
      <w:r w:rsidR="008A7B9F">
        <w:t>65</w:t>
      </w:r>
      <w:r w:rsidR="00DE55AD" w:rsidRPr="00DE55AD">
        <w:t> %</w:t>
      </w:r>
      <w:r w:rsidR="00885705" w:rsidRPr="00DE55AD">
        <w:t xml:space="preserve">. </w:t>
      </w:r>
      <w:r w:rsidR="008A7B9F">
        <w:t>Na periferii, v částech mimo kompaktní město</w:t>
      </w:r>
      <w:r w:rsidR="00945CE0">
        <w:t xml:space="preserve"> </w:t>
      </w:r>
      <w:r w:rsidR="005C0E3C" w:rsidRPr="00DE55AD">
        <w:t>dosažená</w:t>
      </w:r>
      <w:r w:rsidR="005C0E3C" w:rsidRPr="008B5566">
        <w:t xml:space="preserve"> průměrná cena </w:t>
      </w:r>
      <w:r w:rsidR="00945CE0">
        <w:t>vzrostla o</w:t>
      </w:r>
      <w:r w:rsidR="0037160C">
        <w:t> </w:t>
      </w:r>
      <w:r w:rsidR="008A7B9F">
        <w:t>46</w:t>
      </w:r>
      <w:r w:rsidR="007A0164">
        <w:t> </w:t>
      </w:r>
      <w:r w:rsidR="00945CE0">
        <w:t>%</w:t>
      </w:r>
      <w:r w:rsidR="00672A8B">
        <w:t xml:space="preserve">, </w:t>
      </w:r>
      <w:r w:rsidR="008A7B9F">
        <w:t>v okrajových částech vnitřního města průměrná cena vzrostla o 29</w:t>
      </w:r>
      <w:r w:rsidR="0037160C">
        <w:t> </w:t>
      </w:r>
      <w:r w:rsidR="008A7B9F">
        <w:t xml:space="preserve">%. Nárůst </w:t>
      </w:r>
      <w:r w:rsidR="008A7B9F" w:rsidRPr="00095F3F">
        <w:t xml:space="preserve">průměrných cen napříč městem </w:t>
      </w:r>
      <w:r w:rsidR="00005B85" w:rsidRPr="00095F3F">
        <w:t xml:space="preserve">korespondoval </w:t>
      </w:r>
      <w:r w:rsidR="00A9456A" w:rsidRPr="00095F3F">
        <w:t xml:space="preserve">jak </w:t>
      </w:r>
      <w:r w:rsidR="00005B85" w:rsidRPr="00095F3F">
        <w:t>s </w:t>
      </w:r>
      <w:r w:rsidR="00945CE0" w:rsidRPr="00095F3F">
        <w:t>nárůstem</w:t>
      </w:r>
      <w:r w:rsidR="00005B85" w:rsidRPr="00095F3F">
        <w:t xml:space="preserve"> objemu </w:t>
      </w:r>
      <w:r w:rsidR="00BF7BC8" w:rsidRPr="00095F3F">
        <w:t>převodů</w:t>
      </w:r>
      <w:r w:rsidR="00A9456A" w:rsidRPr="00095F3F">
        <w:t>,</w:t>
      </w:r>
      <w:r w:rsidR="00BF7BC8" w:rsidRPr="00095F3F">
        <w:t xml:space="preserve"> </w:t>
      </w:r>
      <w:r w:rsidR="00A9456A" w:rsidRPr="00095F3F">
        <w:t>tak počtu transakcí.</w:t>
      </w:r>
    </w:p>
    <w:p w14:paraId="2E2D0971" w14:textId="70E3CBBF" w:rsidR="00814491" w:rsidRDefault="00A9456A" w:rsidP="00B84905">
      <w:pPr>
        <w:pStyle w:val="Zkladntext"/>
        <w:spacing w:before="120"/>
        <w:ind w:firstLine="425"/>
      </w:pPr>
      <w:r>
        <w:t>V</w:t>
      </w:r>
      <w:r w:rsidR="00814491">
        <w:t>e</w:t>
      </w:r>
      <w:r w:rsidR="006C21F3">
        <w:t xml:space="preserve"> sledovaném </w:t>
      </w:r>
      <w:r w:rsidR="00945CE0">
        <w:t>období roku 202</w:t>
      </w:r>
      <w:r>
        <w:t>1</w:t>
      </w:r>
      <w:r w:rsidR="00F71ADF">
        <w:t xml:space="preserve"> </w:t>
      </w:r>
      <w:r>
        <w:t xml:space="preserve">byla </w:t>
      </w:r>
      <w:r w:rsidR="00814491">
        <w:t xml:space="preserve">v Ostravě </w:t>
      </w:r>
      <w:r>
        <w:t>realizována řada významných transakcí</w:t>
      </w:r>
      <w:r w:rsidR="006C21F3">
        <w:t>,</w:t>
      </w:r>
      <w:r>
        <w:t xml:space="preserve"> </w:t>
      </w:r>
      <w:r w:rsidR="006C21F3">
        <w:t xml:space="preserve">a to jak </w:t>
      </w:r>
      <w:r w:rsidR="00F71ADF">
        <w:t xml:space="preserve">co do </w:t>
      </w:r>
      <w:r w:rsidR="006C21F3">
        <w:t xml:space="preserve">výše dosažené </w:t>
      </w:r>
      <w:r w:rsidR="00F71ADF">
        <w:t>ceny</w:t>
      </w:r>
      <w:r w:rsidR="006C21F3">
        <w:t xml:space="preserve"> za m</w:t>
      </w:r>
      <w:r w:rsidR="006C21F3">
        <w:rPr>
          <w:vertAlign w:val="superscript"/>
        </w:rPr>
        <w:t>2</w:t>
      </w:r>
      <w:r w:rsidR="00F71ADF">
        <w:t>, tak absolutní hodnoty zrealizovaného obchodu</w:t>
      </w:r>
      <w:r w:rsidR="006C21F3">
        <w:t xml:space="preserve">. </w:t>
      </w:r>
      <w:r w:rsidR="00F023A5">
        <w:t>M</w:t>
      </w:r>
      <w:r w:rsidR="000633BF">
        <w:t xml:space="preserve">eziroční </w:t>
      </w:r>
      <w:r w:rsidR="006C21F3">
        <w:t xml:space="preserve">nárůst </w:t>
      </w:r>
      <w:r w:rsidR="000633BF">
        <w:t xml:space="preserve">objemu obchodů </w:t>
      </w:r>
      <w:r w:rsidR="0037160C">
        <w:t>o 311 %</w:t>
      </w:r>
      <w:r w:rsidR="0037160C">
        <w:t xml:space="preserve"> </w:t>
      </w:r>
      <w:r w:rsidR="000633BF">
        <w:t xml:space="preserve">byl </w:t>
      </w:r>
      <w:r w:rsidR="00A80284">
        <w:t xml:space="preserve">zachycen </w:t>
      </w:r>
      <w:r w:rsidR="000633BF">
        <w:t>v</w:t>
      </w:r>
      <w:r w:rsidR="00F71ADF">
        <w:t>e vnitřním městě</w:t>
      </w:r>
      <w:r w:rsidR="00992AF2">
        <w:t>,</w:t>
      </w:r>
      <w:r w:rsidR="007A0164">
        <w:t> </w:t>
      </w:r>
      <w:r w:rsidR="006C21F3">
        <w:t xml:space="preserve">v </w:t>
      </w:r>
      <w:r w:rsidR="00F71ADF">
        <w:t>průmyslových částech</w:t>
      </w:r>
      <w:r w:rsidR="000633BF">
        <w:t> </w:t>
      </w:r>
      <w:r w:rsidR="00B06339">
        <w:t xml:space="preserve">o </w:t>
      </w:r>
      <w:r w:rsidR="006C21F3">
        <w:t>783</w:t>
      </w:r>
      <w:r w:rsidR="006A2C6B">
        <w:t> </w:t>
      </w:r>
      <w:r w:rsidR="00814491">
        <w:t>%</w:t>
      </w:r>
      <w:r w:rsidR="00B06339">
        <w:t xml:space="preserve">, </w:t>
      </w:r>
      <w:r w:rsidR="00992AF2">
        <w:t>v okrajových částech vnitřního města o 84</w:t>
      </w:r>
      <w:r w:rsidR="0037160C">
        <w:t> </w:t>
      </w:r>
      <w:r w:rsidR="00992AF2">
        <w:t>%</w:t>
      </w:r>
      <w:r w:rsidR="00814491">
        <w:t xml:space="preserve"> </w:t>
      </w:r>
      <w:r w:rsidR="00992AF2">
        <w:t>a v území mimo kompaktní město o 65</w:t>
      </w:r>
      <w:r w:rsidR="0037160C">
        <w:t> </w:t>
      </w:r>
      <w:r w:rsidR="00992AF2">
        <w:t xml:space="preserve">%. </w:t>
      </w:r>
    </w:p>
    <w:p w14:paraId="4F54ECDD" w14:textId="5E4ACA7D" w:rsidR="00992AF2" w:rsidRDefault="00992AF2" w:rsidP="00B84905">
      <w:pPr>
        <w:pStyle w:val="Zkladntext"/>
        <w:spacing w:before="120"/>
        <w:ind w:firstLine="425"/>
      </w:pPr>
      <w:r>
        <w:lastRenderedPageBreak/>
        <w:t xml:space="preserve">Výrazné nárůsty </w:t>
      </w:r>
      <w:r w:rsidR="00814491">
        <w:t xml:space="preserve">objemu i výše dosažených cen </w:t>
      </w:r>
      <w:r>
        <w:t>ve všech oblastech města byly způsobeny především nadprůměrnou aktivitou na trhu nemovitostí obecně a dále absencí významných transakcí na území města</w:t>
      </w:r>
      <w:r w:rsidR="00814491">
        <w:t xml:space="preserve"> v loňském roce</w:t>
      </w:r>
      <w:r>
        <w:t xml:space="preserve">, </w:t>
      </w:r>
      <w:r w:rsidR="00814491">
        <w:t>s pravidelným</w:t>
      </w:r>
      <w:r>
        <w:t xml:space="preserve"> meziročním výkyvem </w:t>
      </w:r>
      <w:r w:rsidR="0037160C">
        <w:t xml:space="preserve">poptávky </w:t>
      </w:r>
      <w:r>
        <w:t xml:space="preserve">na trhu s pozemky, který </w:t>
      </w:r>
      <w:r w:rsidR="00814491">
        <w:t xml:space="preserve">lze v časové periodě co dva roky </w:t>
      </w:r>
      <w:r>
        <w:t>v Ostravě sledovat v posledních 10</w:t>
      </w:r>
      <w:r w:rsidR="00095F3F">
        <w:t> </w:t>
      </w:r>
      <w:r>
        <w:t>letech.</w:t>
      </w:r>
    </w:p>
    <w:p w14:paraId="1BA6CF99" w14:textId="77777777" w:rsidR="00221323" w:rsidRPr="00ED2536" w:rsidRDefault="00221323" w:rsidP="00221323">
      <w:pPr>
        <w:pStyle w:val="Zhlav"/>
        <w:tabs>
          <w:tab w:val="clear" w:pos="4536"/>
          <w:tab w:val="clear" w:pos="9072"/>
        </w:tabs>
        <w:spacing w:before="120"/>
      </w:pPr>
      <w:r w:rsidRPr="00ED2536">
        <w:t>CM 2020</w:t>
      </w: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61"/>
        <w:gridCol w:w="1890"/>
        <w:gridCol w:w="1890"/>
        <w:gridCol w:w="1890"/>
      </w:tblGrid>
      <w:tr w:rsidR="00B5487B" w:rsidRPr="00ED2536" w14:paraId="411209D9" w14:textId="77777777" w:rsidTr="009337E7">
        <w:trPr>
          <w:cantSplit/>
        </w:trPr>
        <w:tc>
          <w:tcPr>
            <w:tcW w:w="3261" w:type="dxa"/>
            <w:vMerge w:val="restart"/>
            <w:tcBorders>
              <w:top w:val="single" w:sz="18" w:space="0" w:color="auto"/>
              <w:left w:val="single" w:sz="18" w:space="0" w:color="auto"/>
              <w:right w:val="single" w:sz="18" w:space="0" w:color="auto"/>
            </w:tcBorders>
            <w:vAlign w:val="center"/>
          </w:tcPr>
          <w:p w14:paraId="2B817C60" w14:textId="77777777" w:rsidR="00B5487B" w:rsidRPr="00ED2536" w:rsidRDefault="00B5487B" w:rsidP="009337E7">
            <w:pPr>
              <w:pStyle w:val="Nadpis1"/>
              <w:jc w:val="center"/>
              <w:rPr>
                <w:b/>
              </w:rPr>
            </w:pPr>
            <w:r w:rsidRPr="00ED2536">
              <w:rPr>
                <w:b/>
              </w:rPr>
              <w:t>Poloha</w:t>
            </w:r>
          </w:p>
        </w:tc>
        <w:tc>
          <w:tcPr>
            <w:tcW w:w="5670" w:type="dxa"/>
            <w:gridSpan w:val="3"/>
            <w:tcBorders>
              <w:top w:val="single" w:sz="18" w:space="0" w:color="auto"/>
              <w:left w:val="nil"/>
              <w:bottom w:val="nil"/>
              <w:right w:val="single" w:sz="18" w:space="0" w:color="auto"/>
            </w:tcBorders>
          </w:tcPr>
          <w:p w14:paraId="218D3409" w14:textId="77777777" w:rsidR="00B5487B" w:rsidRPr="00ED2536" w:rsidRDefault="00B5487B" w:rsidP="009337E7">
            <w:pPr>
              <w:jc w:val="center"/>
              <w:rPr>
                <w:b/>
                <w:sz w:val="24"/>
              </w:rPr>
            </w:pPr>
            <w:r w:rsidRPr="00ED2536">
              <w:rPr>
                <w:b/>
                <w:sz w:val="24"/>
              </w:rPr>
              <w:t>Kč/m</w:t>
            </w:r>
            <w:r w:rsidRPr="00ED2536">
              <w:rPr>
                <w:b/>
                <w:sz w:val="24"/>
                <w:vertAlign w:val="superscript"/>
              </w:rPr>
              <w:t>2</w:t>
            </w:r>
            <w:r w:rsidRPr="00ED2536">
              <w:rPr>
                <w:b/>
                <w:sz w:val="24"/>
              </w:rPr>
              <w:t xml:space="preserve"> </w:t>
            </w:r>
          </w:p>
        </w:tc>
      </w:tr>
      <w:tr w:rsidR="00B5487B" w:rsidRPr="00ED2536" w14:paraId="2667A77D" w14:textId="77777777" w:rsidTr="009337E7">
        <w:tc>
          <w:tcPr>
            <w:tcW w:w="3261" w:type="dxa"/>
            <w:vMerge/>
            <w:tcBorders>
              <w:left w:val="single" w:sz="18" w:space="0" w:color="auto"/>
              <w:bottom w:val="single" w:sz="18" w:space="0" w:color="auto"/>
              <w:right w:val="single" w:sz="18" w:space="0" w:color="auto"/>
            </w:tcBorders>
          </w:tcPr>
          <w:p w14:paraId="6C1095BB" w14:textId="77777777" w:rsidR="00B5487B" w:rsidRPr="00ED2536" w:rsidRDefault="00B5487B" w:rsidP="009337E7">
            <w:pPr>
              <w:pStyle w:val="Nadpis1"/>
            </w:pPr>
          </w:p>
        </w:tc>
        <w:tc>
          <w:tcPr>
            <w:tcW w:w="1890" w:type="dxa"/>
            <w:tcBorders>
              <w:top w:val="single" w:sz="12" w:space="0" w:color="auto"/>
              <w:left w:val="nil"/>
              <w:bottom w:val="single" w:sz="18" w:space="0" w:color="auto"/>
              <w:right w:val="single" w:sz="6" w:space="0" w:color="auto"/>
            </w:tcBorders>
          </w:tcPr>
          <w:p w14:paraId="534D2736" w14:textId="77777777" w:rsidR="00B5487B" w:rsidRPr="00ED2536" w:rsidRDefault="00B5487B" w:rsidP="009337E7">
            <w:pPr>
              <w:jc w:val="center"/>
              <w:rPr>
                <w:b/>
                <w:sz w:val="24"/>
              </w:rPr>
            </w:pPr>
            <w:r w:rsidRPr="00ED2536">
              <w:rPr>
                <w:b/>
                <w:sz w:val="24"/>
              </w:rPr>
              <w:t>Průměrná cena</w:t>
            </w:r>
          </w:p>
        </w:tc>
        <w:tc>
          <w:tcPr>
            <w:tcW w:w="1890" w:type="dxa"/>
            <w:tcBorders>
              <w:top w:val="single" w:sz="12" w:space="0" w:color="auto"/>
              <w:left w:val="single" w:sz="6" w:space="0" w:color="auto"/>
              <w:bottom w:val="single" w:sz="18" w:space="0" w:color="auto"/>
              <w:right w:val="single" w:sz="6" w:space="0" w:color="auto"/>
            </w:tcBorders>
          </w:tcPr>
          <w:p w14:paraId="51E61B42" w14:textId="77777777" w:rsidR="00B5487B" w:rsidRPr="00ED2536" w:rsidRDefault="00B5487B" w:rsidP="009337E7">
            <w:pPr>
              <w:jc w:val="center"/>
              <w:rPr>
                <w:b/>
                <w:sz w:val="24"/>
              </w:rPr>
            </w:pPr>
            <w:r w:rsidRPr="00ED2536">
              <w:rPr>
                <w:b/>
                <w:sz w:val="24"/>
              </w:rPr>
              <w:t>Minimální cena</w:t>
            </w:r>
          </w:p>
        </w:tc>
        <w:tc>
          <w:tcPr>
            <w:tcW w:w="1890" w:type="dxa"/>
            <w:tcBorders>
              <w:top w:val="single" w:sz="12" w:space="0" w:color="auto"/>
              <w:left w:val="single" w:sz="6" w:space="0" w:color="auto"/>
              <w:bottom w:val="single" w:sz="18" w:space="0" w:color="auto"/>
              <w:right w:val="single" w:sz="18" w:space="0" w:color="auto"/>
            </w:tcBorders>
          </w:tcPr>
          <w:p w14:paraId="03B08840" w14:textId="77777777" w:rsidR="00B5487B" w:rsidRPr="00ED2536" w:rsidRDefault="00B5487B" w:rsidP="009337E7">
            <w:pPr>
              <w:jc w:val="center"/>
              <w:rPr>
                <w:b/>
                <w:sz w:val="24"/>
              </w:rPr>
            </w:pPr>
            <w:r w:rsidRPr="00ED2536">
              <w:rPr>
                <w:b/>
                <w:sz w:val="24"/>
              </w:rPr>
              <w:t>Maximální cena</w:t>
            </w:r>
          </w:p>
        </w:tc>
      </w:tr>
      <w:tr w:rsidR="00221323" w:rsidRPr="00ED2536" w14:paraId="49643920" w14:textId="77777777" w:rsidTr="009337E7">
        <w:tc>
          <w:tcPr>
            <w:tcW w:w="3261" w:type="dxa"/>
            <w:tcBorders>
              <w:top w:val="nil"/>
              <w:left w:val="single" w:sz="18" w:space="0" w:color="auto"/>
              <w:bottom w:val="single" w:sz="6" w:space="0" w:color="auto"/>
              <w:right w:val="single" w:sz="18" w:space="0" w:color="auto"/>
            </w:tcBorders>
          </w:tcPr>
          <w:p w14:paraId="71912EA3" w14:textId="77777777" w:rsidR="00221323" w:rsidRPr="00ED2536" w:rsidRDefault="00221323" w:rsidP="009337E7">
            <w:pPr>
              <w:rPr>
                <w:sz w:val="24"/>
              </w:rPr>
            </w:pPr>
            <w:r w:rsidRPr="00ED2536">
              <w:rPr>
                <w:sz w:val="24"/>
              </w:rPr>
              <w:t>V</w:t>
            </w:r>
            <w:bookmarkStart w:id="1" w:name="_Hlk244311344"/>
            <w:r w:rsidRPr="00ED2536">
              <w:rPr>
                <w:sz w:val="24"/>
              </w:rPr>
              <w:t>nitřní město</w:t>
            </w:r>
          </w:p>
        </w:tc>
        <w:tc>
          <w:tcPr>
            <w:tcW w:w="1890" w:type="dxa"/>
            <w:tcBorders>
              <w:top w:val="nil"/>
              <w:left w:val="nil"/>
              <w:bottom w:val="single" w:sz="6" w:space="0" w:color="auto"/>
              <w:right w:val="single" w:sz="6" w:space="0" w:color="auto"/>
            </w:tcBorders>
          </w:tcPr>
          <w:p w14:paraId="69B72750" w14:textId="4CD9CA5F" w:rsidR="00221323" w:rsidRPr="00ED2536" w:rsidRDefault="00221323" w:rsidP="00F87B06">
            <w:pPr>
              <w:jc w:val="center"/>
              <w:rPr>
                <w:sz w:val="24"/>
              </w:rPr>
            </w:pPr>
            <w:r w:rsidRPr="00ED2536">
              <w:rPr>
                <w:sz w:val="24"/>
              </w:rPr>
              <w:t>1 858</w:t>
            </w:r>
          </w:p>
        </w:tc>
        <w:tc>
          <w:tcPr>
            <w:tcW w:w="1890" w:type="dxa"/>
            <w:tcBorders>
              <w:top w:val="nil"/>
              <w:left w:val="single" w:sz="6" w:space="0" w:color="auto"/>
              <w:bottom w:val="single" w:sz="6" w:space="0" w:color="auto"/>
              <w:right w:val="single" w:sz="6" w:space="0" w:color="auto"/>
            </w:tcBorders>
          </w:tcPr>
          <w:p w14:paraId="326C0AE5" w14:textId="512E7CAB" w:rsidR="00221323" w:rsidRPr="00ED2536" w:rsidRDefault="00221323" w:rsidP="009337E7">
            <w:pPr>
              <w:jc w:val="center"/>
              <w:rPr>
                <w:sz w:val="24"/>
              </w:rPr>
            </w:pPr>
            <w:r w:rsidRPr="00ED2536">
              <w:rPr>
                <w:sz w:val="24"/>
              </w:rPr>
              <w:t>20</w:t>
            </w:r>
          </w:p>
        </w:tc>
        <w:tc>
          <w:tcPr>
            <w:tcW w:w="1890" w:type="dxa"/>
            <w:tcBorders>
              <w:top w:val="nil"/>
              <w:left w:val="single" w:sz="6" w:space="0" w:color="auto"/>
              <w:bottom w:val="single" w:sz="6" w:space="0" w:color="auto"/>
              <w:right w:val="single" w:sz="18" w:space="0" w:color="auto"/>
            </w:tcBorders>
          </w:tcPr>
          <w:p w14:paraId="75EABD11" w14:textId="40C86491" w:rsidR="00221323" w:rsidRPr="00ED2536" w:rsidRDefault="00221323" w:rsidP="00F87B06">
            <w:pPr>
              <w:jc w:val="center"/>
              <w:rPr>
                <w:sz w:val="24"/>
              </w:rPr>
            </w:pPr>
            <w:r w:rsidRPr="00ED2536">
              <w:rPr>
                <w:sz w:val="24"/>
              </w:rPr>
              <w:t>24 691</w:t>
            </w:r>
          </w:p>
        </w:tc>
      </w:tr>
      <w:tr w:rsidR="00221323" w:rsidRPr="00ED2536" w14:paraId="79DC847E" w14:textId="77777777" w:rsidTr="009337E7">
        <w:tc>
          <w:tcPr>
            <w:tcW w:w="3261" w:type="dxa"/>
            <w:tcBorders>
              <w:top w:val="single" w:sz="6" w:space="0" w:color="auto"/>
              <w:left w:val="single" w:sz="18" w:space="0" w:color="auto"/>
              <w:bottom w:val="single" w:sz="6" w:space="0" w:color="auto"/>
              <w:right w:val="single" w:sz="18" w:space="0" w:color="auto"/>
            </w:tcBorders>
          </w:tcPr>
          <w:p w14:paraId="24F05585" w14:textId="77777777" w:rsidR="00221323" w:rsidRPr="00ED2536" w:rsidRDefault="00221323" w:rsidP="009337E7">
            <w:pPr>
              <w:rPr>
                <w:sz w:val="24"/>
              </w:rPr>
            </w:pPr>
            <w:r w:rsidRPr="00ED2536">
              <w:rPr>
                <w:sz w:val="24"/>
              </w:rPr>
              <w:t>Okrajová část vnitřního města</w:t>
            </w:r>
          </w:p>
        </w:tc>
        <w:tc>
          <w:tcPr>
            <w:tcW w:w="1890" w:type="dxa"/>
            <w:tcBorders>
              <w:top w:val="single" w:sz="6" w:space="0" w:color="auto"/>
              <w:left w:val="nil"/>
              <w:bottom w:val="single" w:sz="6" w:space="0" w:color="auto"/>
              <w:right w:val="single" w:sz="6" w:space="0" w:color="auto"/>
            </w:tcBorders>
          </w:tcPr>
          <w:p w14:paraId="330DA170" w14:textId="0262F22F" w:rsidR="00221323" w:rsidRPr="00ED2536" w:rsidRDefault="00221323" w:rsidP="009337E7">
            <w:pPr>
              <w:jc w:val="center"/>
              <w:rPr>
                <w:sz w:val="24"/>
              </w:rPr>
            </w:pPr>
            <w:r w:rsidRPr="00ED2536">
              <w:rPr>
                <w:sz w:val="24"/>
              </w:rPr>
              <w:t>718</w:t>
            </w:r>
          </w:p>
        </w:tc>
        <w:tc>
          <w:tcPr>
            <w:tcW w:w="1890" w:type="dxa"/>
            <w:tcBorders>
              <w:top w:val="single" w:sz="6" w:space="0" w:color="auto"/>
              <w:left w:val="single" w:sz="6" w:space="0" w:color="auto"/>
              <w:bottom w:val="single" w:sz="6" w:space="0" w:color="auto"/>
              <w:right w:val="single" w:sz="6" w:space="0" w:color="auto"/>
            </w:tcBorders>
          </w:tcPr>
          <w:p w14:paraId="2CF72286" w14:textId="585ACC3A" w:rsidR="00221323" w:rsidRPr="00ED2536" w:rsidRDefault="00221323" w:rsidP="00F87B06">
            <w:pPr>
              <w:jc w:val="center"/>
              <w:rPr>
                <w:sz w:val="24"/>
              </w:rPr>
            </w:pPr>
            <w:r w:rsidRPr="00ED2536">
              <w:rPr>
                <w:sz w:val="24"/>
              </w:rPr>
              <w:t>26</w:t>
            </w:r>
          </w:p>
        </w:tc>
        <w:tc>
          <w:tcPr>
            <w:tcW w:w="1890" w:type="dxa"/>
            <w:tcBorders>
              <w:top w:val="single" w:sz="6" w:space="0" w:color="auto"/>
              <w:left w:val="single" w:sz="6" w:space="0" w:color="auto"/>
              <w:bottom w:val="single" w:sz="6" w:space="0" w:color="auto"/>
              <w:right w:val="single" w:sz="18" w:space="0" w:color="auto"/>
            </w:tcBorders>
          </w:tcPr>
          <w:p w14:paraId="1FF44A8B" w14:textId="404B2B7B" w:rsidR="00221323" w:rsidRPr="00ED2536" w:rsidRDefault="00221323" w:rsidP="00F87B06">
            <w:pPr>
              <w:jc w:val="center"/>
              <w:rPr>
                <w:sz w:val="24"/>
              </w:rPr>
            </w:pPr>
            <w:r w:rsidRPr="00ED2536">
              <w:rPr>
                <w:sz w:val="24"/>
              </w:rPr>
              <w:t>9 308</w:t>
            </w:r>
          </w:p>
        </w:tc>
      </w:tr>
      <w:tr w:rsidR="00221323" w:rsidRPr="00ED2536" w14:paraId="69E3717A" w14:textId="77777777" w:rsidTr="009337E7">
        <w:tc>
          <w:tcPr>
            <w:tcW w:w="3261" w:type="dxa"/>
            <w:tcBorders>
              <w:top w:val="single" w:sz="6" w:space="0" w:color="auto"/>
              <w:left w:val="single" w:sz="18" w:space="0" w:color="auto"/>
              <w:bottom w:val="single" w:sz="6" w:space="0" w:color="auto"/>
              <w:right w:val="single" w:sz="18" w:space="0" w:color="auto"/>
            </w:tcBorders>
          </w:tcPr>
          <w:p w14:paraId="1BD3D95A" w14:textId="77777777" w:rsidR="00221323" w:rsidRPr="00ED2536" w:rsidRDefault="00221323" w:rsidP="009337E7">
            <w:pPr>
              <w:rPr>
                <w:sz w:val="24"/>
              </w:rPr>
            </w:pPr>
            <w:r w:rsidRPr="00ED2536">
              <w:rPr>
                <w:sz w:val="24"/>
              </w:rPr>
              <w:t>Průmyslové části</w:t>
            </w:r>
          </w:p>
        </w:tc>
        <w:tc>
          <w:tcPr>
            <w:tcW w:w="1890" w:type="dxa"/>
            <w:tcBorders>
              <w:top w:val="single" w:sz="6" w:space="0" w:color="auto"/>
              <w:left w:val="nil"/>
              <w:bottom w:val="single" w:sz="6" w:space="0" w:color="auto"/>
              <w:right w:val="single" w:sz="6" w:space="0" w:color="auto"/>
            </w:tcBorders>
          </w:tcPr>
          <w:p w14:paraId="294603AD" w14:textId="28AFB454" w:rsidR="00221323" w:rsidRPr="00ED2536" w:rsidRDefault="00221323" w:rsidP="00F87B06">
            <w:pPr>
              <w:jc w:val="center"/>
              <w:rPr>
                <w:sz w:val="24"/>
              </w:rPr>
            </w:pPr>
            <w:r w:rsidRPr="00ED2536">
              <w:rPr>
                <w:sz w:val="24"/>
              </w:rPr>
              <w:t>734</w:t>
            </w:r>
          </w:p>
        </w:tc>
        <w:tc>
          <w:tcPr>
            <w:tcW w:w="1890" w:type="dxa"/>
            <w:tcBorders>
              <w:top w:val="single" w:sz="6" w:space="0" w:color="auto"/>
              <w:left w:val="single" w:sz="6" w:space="0" w:color="auto"/>
              <w:bottom w:val="single" w:sz="6" w:space="0" w:color="auto"/>
              <w:right w:val="single" w:sz="6" w:space="0" w:color="auto"/>
            </w:tcBorders>
          </w:tcPr>
          <w:p w14:paraId="7E07BD3D" w14:textId="2CB43C8E" w:rsidR="00221323" w:rsidRPr="00ED2536" w:rsidRDefault="00221323" w:rsidP="00F87B06">
            <w:pPr>
              <w:jc w:val="center"/>
              <w:rPr>
                <w:sz w:val="24"/>
              </w:rPr>
            </w:pPr>
            <w:r w:rsidRPr="00ED2536">
              <w:rPr>
                <w:sz w:val="24"/>
              </w:rPr>
              <w:t>61</w:t>
            </w:r>
          </w:p>
        </w:tc>
        <w:tc>
          <w:tcPr>
            <w:tcW w:w="1890" w:type="dxa"/>
            <w:tcBorders>
              <w:top w:val="single" w:sz="6" w:space="0" w:color="auto"/>
              <w:left w:val="single" w:sz="6" w:space="0" w:color="auto"/>
              <w:bottom w:val="single" w:sz="6" w:space="0" w:color="auto"/>
              <w:right w:val="single" w:sz="18" w:space="0" w:color="auto"/>
            </w:tcBorders>
          </w:tcPr>
          <w:p w14:paraId="09F3D29C" w14:textId="73C29114" w:rsidR="00221323" w:rsidRPr="00ED2536" w:rsidRDefault="00221323" w:rsidP="00F87B06">
            <w:pPr>
              <w:jc w:val="center"/>
              <w:rPr>
                <w:sz w:val="24"/>
              </w:rPr>
            </w:pPr>
            <w:r w:rsidRPr="00ED2536">
              <w:rPr>
                <w:sz w:val="24"/>
              </w:rPr>
              <w:t>2 500</w:t>
            </w:r>
          </w:p>
        </w:tc>
      </w:tr>
      <w:tr w:rsidR="00221323" w:rsidRPr="00ED2536" w14:paraId="78E733C9" w14:textId="77777777" w:rsidTr="009337E7">
        <w:tc>
          <w:tcPr>
            <w:tcW w:w="3261" w:type="dxa"/>
            <w:tcBorders>
              <w:top w:val="single" w:sz="6" w:space="0" w:color="auto"/>
              <w:left w:val="single" w:sz="18" w:space="0" w:color="auto"/>
              <w:bottom w:val="single" w:sz="18" w:space="0" w:color="auto"/>
              <w:right w:val="single" w:sz="18" w:space="0" w:color="auto"/>
            </w:tcBorders>
          </w:tcPr>
          <w:p w14:paraId="5585481C" w14:textId="77777777" w:rsidR="00221323" w:rsidRPr="00ED2536" w:rsidRDefault="00221323" w:rsidP="009337E7">
            <w:pPr>
              <w:rPr>
                <w:sz w:val="24"/>
              </w:rPr>
            </w:pPr>
            <w:r w:rsidRPr="00ED2536">
              <w:rPr>
                <w:sz w:val="24"/>
              </w:rPr>
              <w:t>Území mimo kompaktní město</w:t>
            </w:r>
          </w:p>
        </w:tc>
        <w:tc>
          <w:tcPr>
            <w:tcW w:w="1890" w:type="dxa"/>
            <w:tcBorders>
              <w:top w:val="single" w:sz="6" w:space="0" w:color="auto"/>
              <w:left w:val="nil"/>
              <w:bottom w:val="single" w:sz="18" w:space="0" w:color="auto"/>
              <w:right w:val="single" w:sz="6" w:space="0" w:color="auto"/>
            </w:tcBorders>
          </w:tcPr>
          <w:p w14:paraId="752C3E7F" w14:textId="07544C73" w:rsidR="00221323" w:rsidRPr="00ED2536" w:rsidRDefault="00221323" w:rsidP="009337E7">
            <w:pPr>
              <w:jc w:val="center"/>
              <w:rPr>
                <w:sz w:val="24"/>
              </w:rPr>
            </w:pPr>
            <w:r w:rsidRPr="00ED2536">
              <w:rPr>
                <w:sz w:val="24"/>
              </w:rPr>
              <w:t>812</w:t>
            </w:r>
          </w:p>
        </w:tc>
        <w:tc>
          <w:tcPr>
            <w:tcW w:w="1890" w:type="dxa"/>
            <w:tcBorders>
              <w:top w:val="single" w:sz="6" w:space="0" w:color="auto"/>
              <w:left w:val="single" w:sz="6" w:space="0" w:color="auto"/>
              <w:bottom w:val="single" w:sz="18" w:space="0" w:color="auto"/>
              <w:right w:val="single" w:sz="6" w:space="0" w:color="auto"/>
            </w:tcBorders>
          </w:tcPr>
          <w:p w14:paraId="3D6696A8" w14:textId="16493EF9" w:rsidR="00221323" w:rsidRPr="00ED2536" w:rsidRDefault="00221323" w:rsidP="00F87B06">
            <w:pPr>
              <w:jc w:val="center"/>
              <w:rPr>
                <w:sz w:val="24"/>
              </w:rPr>
            </w:pPr>
            <w:r w:rsidRPr="00ED2536">
              <w:rPr>
                <w:sz w:val="24"/>
              </w:rPr>
              <w:t>21</w:t>
            </w:r>
          </w:p>
        </w:tc>
        <w:tc>
          <w:tcPr>
            <w:tcW w:w="1890" w:type="dxa"/>
            <w:tcBorders>
              <w:top w:val="single" w:sz="6" w:space="0" w:color="auto"/>
              <w:left w:val="single" w:sz="6" w:space="0" w:color="auto"/>
              <w:bottom w:val="single" w:sz="18" w:space="0" w:color="auto"/>
              <w:right w:val="single" w:sz="18" w:space="0" w:color="auto"/>
            </w:tcBorders>
          </w:tcPr>
          <w:p w14:paraId="23AE8313" w14:textId="3C3251B7" w:rsidR="00221323" w:rsidRPr="00ED2536" w:rsidRDefault="00221323" w:rsidP="00F87B06">
            <w:pPr>
              <w:jc w:val="center"/>
              <w:rPr>
                <w:sz w:val="24"/>
              </w:rPr>
            </w:pPr>
            <w:r w:rsidRPr="00ED2536">
              <w:rPr>
                <w:sz w:val="24"/>
              </w:rPr>
              <w:t>6 672</w:t>
            </w:r>
          </w:p>
        </w:tc>
      </w:tr>
    </w:tbl>
    <w:bookmarkEnd w:id="1"/>
    <w:p w14:paraId="3CA7EDAD" w14:textId="4D026B44" w:rsidR="00ED2536" w:rsidRPr="00ED2536" w:rsidRDefault="00221323" w:rsidP="00ED2536">
      <w:pPr>
        <w:pStyle w:val="Zhlav"/>
        <w:tabs>
          <w:tab w:val="clear" w:pos="4536"/>
          <w:tab w:val="clear" w:pos="9072"/>
        </w:tabs>
        <w:spacing w:before="120"/>
      </w:pPr>
      <w:r>
        <w:t>CM 2021</w:t>
      </w:r>
    </w:p>
    <w:tbl>
      <w:tblPr>
        <w:tblW w:w="0" w:type="auto"/>
        <w:tblInd w:w="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61"/>
        <w:gridCol w:w="1890"/>
        <w:gridCol w:w="1890"/>
        <w:gridCol w:w="1890"/>
      </w:tblGrid>
      <w:tr w:rsidR="00ED2536" w:rsidRPr="00ED2536" w14:paraId="09812C0F" w14:textId="77777777" w:rsidTr="00ED2536">
        <w:trPr>
          <w:cantSplit/>
        </w:trPr>
        <w:tc>
          <w:tcPr>
            <w:tcW w:w="3261" w:type="dxa"/>
            <w:vMerge w:val="restart"/>
            <w:tcBorders>
              <w:top w:val="single" w:sz="18" w:space="0" w:color="auto"/>
              <w:left w:val="single" w:sz="18" w:space="0" w:color="auto"/>
              <w:right w:val="single" w:sz="18" w:space="0" w:color="auto"/>
            </w:tcBorders>
            <w:vAlign w:val="center"/>
          </w:tcPr>
          <w:p w14:paraId="1155D619" w14:textId="77777777" w:rsidR="00ED2536" w:rsidRPr="00ED2536" w:rsidRDefault="00ED2536" w:rsidP="00ED2536">
            <w:pPr>
              <w:pStyle w:val="Nadpis1"/>
              <w:jc w:val="center"/>
              <w:rPr>
                <w:b/>
              </w:rPr>
            </w:pPr>
            <w:r w:rsidRPr="00ED2536">
              <w:rPr>
                <w:b/>
              </w:rPr>
              <w:t>Poloha</w:t>
            </w:r>
          </w:p>
        </w:tc>
        <w:tc>
          <w:tcPr>
            <w:tcW w:w="5670" w:type="dxa"/>
            <w:gridSpan w:val="3"/>
            <w:tcBorders>
              <w:top w:val="single" w:sz="18" w:space="0" w:color="auto"/>
              <w:left w:val="nil"/>
              <w:bottom w:val="nil"/>
              <w:right w:val="single" w:sz="18" w:space="0" w:color="auto"/>
            </w:tcBorders>
          </w:tcPr>
          <w:p w14:paraId="2503452A" w14:textId="77777777" w:rsidR="00ED2536" w:rsidRPr="00ED2536" w:rsidRDefault="00ED2536" w:rsidP="00ED2536">
            <w:pPr>
              <w:jc w:val="center"/>
              <w:rPr>
                <w:b/>
                <w:sz w:val="24"/>
              </w:rPr>
            </w:pPr>
            <w:r w:rsidRPr="00ED2536">
              <w:rPr>
                <w:b/>
                <w:sz w:val="24"/>
              </w:rPr>
              <w:t>Kč/m</w:t>
            </w:r>
            <w:r w:rsidRPr="00ED2536">
              <w:rPr>
                <w:b/>
                <w:sz w:val="24"/>
                <w:vertAlign w:val="superscript"/>
              </w:rPr>
              <w:t>2</w:t>
            </w:r>
            <w:r w:rsidRPr="00ED2536">
              <w:rPr>
                <w:b/>
                <w:sz w:val="24"/>
              </w:rPr>
              <w:t xml:space="preserve"> </w:t>
            </w:r>
          </w:p>
        </w:tc>
      </w:tr>
      <w:tr w:rsidR="00ED2536" w:rsidRPr="00ED2536" w14:paraId="462C60B0" w14:textId="77777777" w:rsidTr="00ED2536">
        <w:tc>
          <w:tcPr>
            <w:tcW w:w="3261" w:type="dxa"/>
            <w:vMerge/>
            <w:tcBorders>
              <w:left w:val="single" w:sz="18" w:space="0" w:color="auto"/>
              <w:bottom w:val="single" w:sz="18" w:space="0" w:color="auto"/>
              <w:right w:val="single" w:sz="18" w:space="0" w:color="auto"/>
            </w:tcBorders>
          </w:tcPr>
          <w:p w14:paraId="3B840016" w14:textId="77777777" w:rsidR="00ED2536" w:rsidRPr="00ED2536" w:rsidRDefault="00ED2536" w:rsidP="00ED2536">
            <w:pPr>
              <w:pStyle w:val="Nadpis1"/>
            </w:pPr>
          </w:p>
        </w:tc>
        <w:tc>
          <w:tcPr>
            <w:tcW w:w="1890" w:type="dxa"/>
            <w:tcBorders>
              <w:top w:val="single" w:sz="12" w:space="0" w:color="auto"/>
              <w:left w:val="nil"/>
              <w:bottom w:val="single" w:sz="18" w:space="0" w:color="auto"/>
              <w:right w:val="single" w:sz="6" w:space="0" w:color="auto"/>
            </w:tcBorders>
          </w:tcPr>
          <w:p w14:paraId="52040E27" w14:textId="77777777" w:rsidR="00ED2536" w:rsidRPr="00ED2536" w:rsidRDefault="00ED2536" w:rsidP="00ED2536">
            <w:pPr>
              <w:jc w:val="center"/>
              <w:rPr>
                <w:b/>
                <w:sz w:val="24"/>
              </w:rPr>
            </w:pPr>
            <w:r w:rsidRPr="00ED2536">
              <w:rPr>
                <w:b/>
                <w:sz w:val="24"/>
              </w:rPr>
              <w:t>Průměrná cena</w:t>
            </w:r>
          </w:p>
        </w:tc>
        <w:tc>
          <w:tcPr>
            <w:tcW w:w="1890" w:type="dxa"/>
            <w:tcBorders>
              <w:top w:val="single" w:sz="12" w:space="0" w:color="auto"/>
              <w:left w:val="single" w:sz="6" w:space="0" w:color="auto"/>
              <w:bottom w:val="single" w:sz="18" w:space="0" w:color="auto"/>
              <w:right w:val="single" w:sz="6" w:space="0" w:color="auto"/>
            </w:tcBorders>
          </w:tcPr>
          <w:p w14:paraId="009FD6EC" w14:textId="77777777" w:rsidR="00ED2536" w:rsidRPr="00ED2536" w:rsidRDefault="00ED2536" w:rsidP="00ED2536">
            <w:pPr>
              <w:jc w:val="center"/>
              <w:rPr>
                <w:b/>
                <w:sz w:val="24"/>
              </w:rPr>
            </w:pPr>
            <w:r w:rsidRPr="00ED2536">
              <w:rPr>
                <w:b/>
                <w:sz w:val="24"/>
              </w:rPr>
              <w:t>Minimální cena</w:t>
            </w:r>
          </w:p>
        </w:tc>
        <w:tc>
          <w:tcPr>
            <w:tcW w:w="1890" w:type="dxa"/>
            <w:tcBorders>
              <w:top w:val="single" w:sz="12" w:space="0" w:color="auto"/>
              <w:left w:val="single" w:sz="6" w:space="0" w:color="auto"/>
              <w:bottom w:val="single" w:sz="18" w:space="0" w:color="auto"/>
              <w:right w:val="single" w:sz="18" w:space="0" w:color="auto"/>
            </w:tcBorders>
          </w:tcPr>
          <w:p w14:paraId="0F04CCAA" w14:textId="77777777" w:rsidR="00ED2536" w:rsidRPr="00ED2536" w:rsidRDefault="00ED2536" w:rsidP="00ED2536">
            <w:pPr>
              <w:jc w:val="center"/>
              <w:rPr>
                <w:b/>
                <w:sz w:val="24"/>
              </w:rPr>
            </w:pPr>
            <w:r w:rsidRPr="00ED2536">
              <w:rPr>
                <w:b/>
                <w:sz w:val="24"/>
              </w:rPr>
              <w:t>Maximální cena</w:t>
            </w:r>
          </w:p>
        </w:tc>
      </w:tr>
      <w:tr w:rsidR="00ED2536" w:rsidRPr="00ED2536" w14:paraId="1D0AEA83" w14:textId="77777777" w:rsidTr="00ED2536">
        <w:tc>
          <w:tcPr>
            <w:tcW w:w="3261" w:type="dxa"/>
            <w:tcBorders>
              <w:top w:val="nil"/>
              <w:left w:val="single" w:sz="18" w:space="0" w:color="auto"/>
              <w:bottom w:val="single" w:sz="6" w:space="0" w:color="auto"/>
              <w:right w:val="single" w:sz="18" w:space="0" w:color="auto"/>
            </w:tcBorders>
          </w:tcPr>
          <w:p w14:paraId="2F86177E" w14:textId="77777777" w:rsidR="00ED2536" w:rsidRPr="00ED2536" w:rsidRDefault="00ED2536" w:rsidP="00ED2536">
            <w:pPr>
              <w:rPr>
                <w:sz w:val="24"/>
              </w:rPr>
            </w:pPr>
            <w:r w:rsidRPr="00ED2536">
              <w:rPr>
                <w:sz w:val="24"/>
              </w:rPr>
              <w:t>Vnitřní město</w:t>
            </w:r>
          </w:p>
        </w:tc>
        <w:tc>
          <w:tcPr>
            <w:tcW w:w="1890" w:type="dxa"/>
            <w:tcBorders>
              <w:top w:val="nil"/>
              <w:left w:val="nil"/>
              <w:bottom w:val="single" w:sz="6" w:space="0" w:color="auto"/>
              <w:right w:val="single" w:sz="6" w:space="0" w:color="auto"/>
            </w:tcBorders>
          </w:tcPr>
          <w:p w14:paraId="46400CF2" w14:textId="5715CE46" w:rsidR="00ED2536" w:rsidRPr="00ED2536" w:rsidRDefault="00ED2536" w:rsidP="00221323">
            <w:pPr>
              <w:jc w:val="center"/>
              <w:rPr>
                <w:sz w:val="24"/>
              </w:rPr>
            </w:pPr>
            <w:r w:rsidRPr="00ED2536">
              <w:rPr>
                <w:sz w:val="24"/>
              </w:rPr>
              <w:t xml:space="preserve">1 </w:t>
            </w:r>
            <w:r w:rsidR="00221323">
              <w:rPr>
                <w:sz w:val="24"/>
              </w:rPr>
              <w:t>359</w:t>
            </w:r>
          </w:p>
        </w:tc>
        <w:tc>
          <w:tcPr>
            <w:tcW w:w="1890" w:type="dxa"/>
            <w:tcBorders>
              <w:top w:val="nil"/>
              <w:left w:val="single" w:sz="6" w:space="0" w:color="auto"/>
              <w:bottom w:val="single" w:sz="6" w:space="0" w:color="auto"/>
              <w:right w:val="single" w:sz="6" w:space="0" w:color="auto"/>
            </w:tcBorders>
          </w:tcPr>
          <w:p w14:paraId="223D8764" w14:textId="74208D15" w:rsidR="00ED2536" w:rsidRPr="00ED2536" w:rsidRDefault="00221323" w:rsidP="00221323">
            <w:pPr>
              <w:jc w:val="center"/>
              <w:rPr>
                <w:sz w:val="24"/>
              </w:rPr>
            </w:pPr>
            <w:r>
              <w:rPr>
                <w:sz w:val="24"/>
              </w:rPr>
              <w:t>65</w:t>
            </w:r>
          </w:p>
        </w:tc>
        <w:tc>
          <w:tcPr>
            <w:tcW w:w="1890" w:type="dxa"/>
            <w:tcBorders>
              <w:top w:val="nil"/>
              <w:left w:val="single" w:sz="6" w:space="0" w:color="auto"/>
              <w:bottom w:val="single" w:sz="6" w:space="0" w:color="auto"/>
              <w:right w:val="single" w:sz="18" w:space="0" w:color="auto"/>
            </w:tcBorders>
          </w:tcPr>
          <w:p w14:paraId="2D7FDB40" w14:textId="331A7D23" w:rsidR="00ED2536" w:rsidRPr="00ED2536" w:rsidRDefault="00221323" w:rsidP="00221323">
            <w:pPr>
              <w:jc w:val="center"/>
              <w:rPr>
                <w:sz w:val="24"/>
              </w:rPr>
            </w:pPr>
            <w:r>
              <w:rPr>
                <w:sz w:val="24"/>
              </w:rPr>
              <w:t>10</w:t>
            </w:r>
            <w:r w:rsidR="00ED2536" w:rsidRPr="00ED2536">
              <w:rPr>
                <w:sz w:val="24"/>
              </w:rPr>
              <w:t xml:space="preserve"> </w:t>
            </w:r>
            <w:r>
              <w:rPr>
                <w:sz w:val="24"/>
              </w:rPr>
              <w:t>000</w:t>
            </w:r>
          </w:p>
        </w:tc>
      </w:tr>
      <w:tr w:rsidR="00ED2536" w:rsidRPr="00ED2536" w14:paraId="4832A951" w14:textId="77777777" w:rsidTr="00ED2536">
        <w:tc>
          <w:tcPr>
            <w:tcW w:w="3261" w:type="dxa"/>
            <w:tcBorders>
              <w:top w:val="single" w:sz="6" w:space="0" w:color="auto"/>
              <w:left w:val="single" w:sz="18" w:space="0" w:color="auto"/>
              <w:bottom w:val="single" w:sz="6" w:space="0" w:color="auto"/>
              <w:right w:val="single" w:sz="18" w:space="0" w:color="auto"/>
            </w:tcBorders>
          </w:tcPr>
          <w:p w14:paraId="46D36946" w14:textId="77777777" w:rsidR="00ED2536" w:rsidRPr="00ED2536" w:rsidRDefault="00ED2536" w:rsidP="00ED2536">
            <w:pPr>
              <w:rPr>
                <w:sz w:val="24"/>
              </w:rPr>
            </w:pPr>
            <w:r w:rsidRPr="00ED2536">
              <w:rPr>
                <w:sz w:val="24"/>
              </w:rPr>
              <w:t>Okrajová část vnitřního města</w:t>
            </w:r>
          </w:p>
        </w:tc>
        <w:tc>
          <w:tcPr>
            <w:tcW w:w="1890" w:type="dxa"/>
            <w:tcBorders>
              <w:top w:val="single" w:sz="6" w:space="0" w:color="auto"/>
              <w:left w:val="nil"/>
              <w:bottom w:val="single" w:sz="6" w:space="0" w:color="auto"/>
              <w:right w:val="single" w:sz="6" w:space="0" w:color="auto"/>
            </w:tcBorders>
          </w:tcPr>
          <w:p w14:paraId="377A796C" w14:textId="3F59E367" w:rsidR="00ED2536" w:rsidRPr="00ED2536" w:rsidRDefault="00221323" w:rsidP="00221323">
            <w:pPr>
              <w:jc w:val="center"/>
              <w:rPr>
                <w:sz w:val="24"/>
              </w:rPr>
            </w:pPr>
            <w:r>
              <w:rPr>
                <w:sz w:val="24"/>
              </w:rPr>
              <w:t>917</w:t>
            </w:r>
          </w:p>
        </w:tc>
        <w:tc>
          <w:tcPr>
            <w:tcW w:w="1890" w:type="dxa"/>
            <w:tcBorders>
              <w:top w:val="single" w:sz="6" w:space="0" w:color="auto"/>
              <w:left w:val="single" w:sz="6" w:space="0" w:color="auto"/>
              <w:bottom w:val="single" w:sz="6" w:space="0" w:color="auto"/>
              <w:right w:val="single" w:sz="6" w:space="0" w:color="auto"/>
            </w:tcBorders>
          </w:tcPr>
          <w:p w14:paraId="7090F9A6" w14:textId="5602ED73" w:rsidR="00ED2536" w:rsidRPr="00ED2536" w:rsidRDefault="00221323" w:rsidP="00221323">
            <w:pPr>
              <w:jc w:val="center"/>
              <w:rPr>
                <w:sz w:val="24"/>
              </w:rPr>
            </w:pPr>
            <w:r>
              <w:rPr>
                <w:sz w:val="24"/>
              </w:rPr>
              <w:t>100</w:t>
            </w:r>
          </w:p>
        </w:tc>
        <w:tc>
          <w:tcPr>
            <w:tcW w:w="1890" w:type="dxa"/>
            <w:tcBorders>
              <w:top w:val="single" w:sz="6" w:space="0" w:color="auto"/>
              <w:left w:val="single" w:sz="6" w:space="0" w:color="auto"/>
              <w:bottom w:val="single" w:sz="6" w:space="0" w:color="auto"/>
              <w:right w:val="single" w:sz="18" w:space="0" w:color="auto"/>
            </w:tcBorders>
          </w:tcPr>
          <w:p w14:paraId="04C65835" w14:textId="1A8D049D" w:rsidR="00ED2536" w:rsidRPr="00ED2536" w:rsidRDefault="00221323" w:rsidP="00221323">
            <w:pPr>
              <w:jc w:val="center"/>
              <w:rPr>
                <w:sz w:val="24"/>
              </w:rPr>
            </w:pPr>
            <w:r>
              <w:rPr>
                <w:sz w:val="24"/>
              </w:rPr>
              <w:t>26 454</w:t>
            </w:r>
          </w:p>
        </w:tc>
      </w:tr>
      <w:tr w:rsidR="00ED2536" w:rsidRPr="00ED2536" w14:paraId="64864A68" w14:textId="77777777" w:rsidTr="00ED2536">
        <w:tc>
          <w:tcPr>
            <w:tcW w:w="3261" w:type="dxa"/>
            <w:tcBorders>
              <w:top w:val="single" w:sz="6" w:space="0" w:color="auto"/>
              <w:left w:val="single" w:sz="18" w:space="0" w:color="auto"/>
              <w:bottom w:val="single" w:sz="6" w:space="0" w:color="auto"/>
              <w:right w:val="single" w:sz="18" w:space="0" w:color="auto"/>
            </w:tcBorders>
          </w:tcPr>
          <w:p w14:paraId="5A966DE1" w14:textId="77777777" w:rsidR="00ED2536" w:rsidRPr="00ED2536" w:rsidRDefault="00ED2536" w:rsidP="00ED2536">
            <w:pPr>
              <w:rPr>
                <w:sz w:val="24"/>
              </w:rPr>
            </w:pPr>
            <w:r w:rsidRPr="00ED2536">
              <w:rPr>
                <w:sz w:val="24"/>
              </w:rPr>
              <w:t>Průmyslové části</w:t>
            </w:r>
          </w:p>
        </w:tc>
        <w:tc>
          <w:tcPr>
            <w:tcW w:w="1890" w:type="dxa"/>
            <w:tcBorders>
              <w:top w:val="single" w:sz="6" w:space="0" w:color="auto"/>
              <w:left w:val="nil"/>
              <w:bottom w:val="single" w:sz="6" w:space="0" w:color="auto"/>
              <w:right w:val="single" w:sz="6" w:space="0" w:color="auto"/>
            </w:tcBorders>
          </w:tcPr>
          <w:p w14:paraId="58022854" w14:textId="2C4FB3D2" w:rsidR="00ED2536" w:rsidRPr="00ED2536" w:rsidRDefault="00221323" w:rsidP="00ED2536">
            <w:pPr>
              <w:jc w:val="center"/>
              <w:rPr>
                <w:sz w:val="24"/>
              </w:rPr>
            </w:pPr>
            <w:r>
              <w:rPr>
                <w:sz w:val="24"/>
              </w:rPr>
              <w:t>576</w:t>
            </w:r>
          </w:p>
        </w:tc>
        <w:tc>
          <w:tcPr>
            <w:tcW w:w="1890" w:type="dxa"/>
            <w:tcBorders>
              <w:top w:val="single" w:sz="6" w:space="0" w:color="auto"/>
              <w:left w:val="single" w:sz="6" w:space="0" w:color="auto"/>
              <w:bottom w:val="single" w:sz="6" w:space="0" w:color="auto"/>
              <w:right w:val="single" w:sz="6" w:space="0" w:color="auto"/>
            </w:tcBorders>
          </w:tcPr>
          <w:p w14:paraId="65D20551" w14:textId="19D3AC42" w:rsidR="00ED2536" w:rsidRPr="00ED2536" w:rsidRDefault="00221323" w:rsidP="00221323">
            <w:pPr>
              <w:jc w:val="center"/>
              <w:rPr>
                <w:sz w:val="24"/>
              </w:rPr>
            </w:pPr>
            <w:r>
              <w:rPr>
                <w:sz w:val="24"/>
              </w:rPr>
              <w:t>82</w:t>
            </w:r>
          </w:p>
        </w:tc>
        <w:tc>
          <w:tcPr>
            <w:tcW w:w="1890" w:type="dxa"/>
            <w:tcBorders>
              <w:top w:val="single" w:sz="6" w:space="0" w:color="auto"/>
              <w:left w:val="single" w:sz="6" w:space="0" w:color="auto"/>
              <w:bottom w:val="single" w:sz="6" w:space="0" w:color="auto"/>
              <w:right w:val="single" w:sz="18" w:space="0" w:color="auto"/>
            </w:tcBorders>
          </w:tcPr>
          <w:p w14:paraId="4522D65B" w14:textId="56B563D2" w:rsidR="00ED2536" w:rsidRPr="00ED2536" w:rsidRDefault="00221323" w:rsidP="00221323">
            <w:pPr>
              <w:jc w:val="center"/>
              <w:rPr>
                <w:sz w:val="24"/>
              </w:rPr>
            </w:pPr>
            <w:r>
              <w:rPr>
                <w:sz w:val="24"/>
              </w:rPr>
              <w:t>5</w:t>
            </w:r>
            <w:r w:rsidR="00ED2536" w:rsidRPr="00ED2536">
              <w:rPr>
                <w:sz w:val="24"/>
              </w:rPr>
              <w:t xml:space="preserve"> </w:t>
            </w:r>
            <w:r>
              <w:rPr>
                <w:sz w:val="24"/>
              </w:rPr>
              <w:t>882</w:t>
            </w:r>
          </w:p>
        </w:tc>
      </w:tr>
      <w:tr w:rsidR="00ED2536" w:rsidRPr="00F75ADA" w14:paraId="79E85D6F" w14:textId="77777777" w:rsidTr="00ED2536">
        <w:tc>
          <w:tcPr>
            <w:tcW w:w="3261" w:type="dxa"/>
            <w:tcBorders>
              <w:top w:val="single" w:sz="6" w:space="0" w:color="auto"/>
              <w:left w:val="single" w:sz="18" w:space="0" w:color="auto"/>
              <w:bottom w:val="single" w:sz="18" w:space="0" w:color="auto"/>
              <w:right w:val="single" w:sz="18" w:space="0" w:color="auto"/>
            </w:tcBorders>
          </w:tcPr>
          <w:p w14:paraId="0EE16076" w14:textId="77777777" w:rsidR="00ED2536" w:rsidRPr="00ED2536" w:rsidRDefault="00ED2536" w:rsidP="00ED2536">
            <w:pPr>
              <w:rPr>
                <w:sz w:val="24"/>
              </w:rPr>
            </w:pPr>
            <w:r w:rsidRPr="00ED2536">
              <w:rPr>
                <w:sz w:val="24"/>
              </w:rPr>
              <w:t>Území mimo kompaktní město</w:t>
            </w:r>
          </w:p>
        </w:tc>
        <w:tc>
          <w:tcPr>
            <w:tcW w:w="1890" w:type="dxa"/>
            <w:tcBorders>
              <w:top w:val="single" w:sz="6" w:space="0" w:color="auto"/>
              <w:left w:val="nil"/>
              <w:bottom w:val="single" w:sz="18" w:space="0" w:color="auto"/>
              <w:right w:val="single" w:sz="6" w:space="0" w:color="auto"/>
            </w:tcBorders>
          </w:tcPr>
          <w:p w14:paraId="773E38D3" w14:textId="66AF020E" w:rsidR="00ED2536" w:rsidRPr="00ED2536" w:rsidRDefault="00221323" w:rsidP="00221323">
            <w:pPr>
              <w:jc w:val="center"/>
              <w:rPr>
                <w:sz w:val="24"/>
              </w:rPr>
            </w:pPr>
            <w:r>
              <w:rPr>
                <w:sz w:val="24"/>
              </w:rPr>
              <w:t>688</w:t>
            </w:r>
          </w:p>
        </w:tc>
        <w:tc>
          <w:tcPr>
            <w:tcW w:w="1890" w:type="dxa"/>
            <w:tcBorders>
              <w:top w:val="single" w:sz="6" w:space="0" w:color="auto"/>
              <w:left w:val="single" w:sz="6" w:space="0" w:color="auto"/>
              <w:bottom w:val="single" w:sz="18" w:space="0" w:color="auto"/>
              <w:right w:val="single" w:sz="6" w:space="0" w:color="auto"/>
            </w:tcBorders>
          </w:tcPr>
          <w:p w14:paraId="2916EC11" w14:textId="6A32C85D" w:rsidR="00ED2536" w:rsidRPr="00ED2536" w:rsidRDefault="00221323" w:rsidP="00221323">
            <w:pPr>
              <w:jc w:val="center"/>
              <w:rPr>
                <w:sz w:val="24"/>
              </w:rPr>
            </w:pPr>
            <w:r>
              <w:rPr>
                <w:sz w:val="24"/>
              </w:rPr>
              <w:t>82</w:t>
            </w:r>
          </w:p>
        </w:tc>
        <w:tc>
          <w:tcPr>
            <w:tcW w:w="1890" w:type="dxa"/>
            <w:tcBorders>
              <w:top w:val="single" w:sz="6" w:space="0" w:color="auto"/>
              <w:left w:val="single" w:sz="6" w:space="0" w:color="auto"/>
              <w:bottom w:val="single" w:sz="18" w:space="0" w:color="auto"/>
              <w:right w:val="single" w:sz="18" w:space="0" w:color="auto"/>
            </w:tcBorders>
          </w:tcPr>
          <w:p w14:paraId="6F6B13ED" w14:textId="22499606" w:rsidR="00ED2536" w:rsidRPr="00ED2536" w:rsidRDefault="00221323" w:rsidP="00221323">
            <w:pPr>
              <w:jc w:val="center"/>
              <w:rPr>
                <w:sz w:val="24"/>
              </w:rPr>
            </w:pPr>
            <w:r>
              <w:rPr>
                <w:sz w:val="24"/>
              </w:rPr>
              <w:t>5</w:t>
            </w:r>
            <w:r w:rsidR="00ED2536" w:rsidRPr="00ED2536">
              <w:rPr>
                <w:sz w:val="24"/>
              </w:rPr>
              <w:t xml:space="preserve"> </w:t>
            </w:r>
            <w:r>
              <w:rPr>
                <w:sz w:val="24"/>
              </w:rPr>
              <w:t>765</w:t>
            </w:r>
          </w:p>
        </w:tc>
      </w:tr>
    </w:tbl>
    <w:p w14:paraId="796EFC7B" w14:textId="26818E7D" w:rsidR="00540C6D" w:rsidRPr="00ED2536" w:rsidRDefault="00540C6D" w:rsidP="00540C6D">
      <w:pPr>
        <w:pStyle w:val="Zhlav"/>
        <w:tabs>
          <w:tab w:val="clear" w:pos="4536"/>
          <w:tab w:val="clear" w:pos="9072"/>
        </w:tabs>
        <w:spacing w:before="120"/>
      </w:pPr>
      <w:r w:rsidRPr="00ED2536">
        <w:t>CM 20</w:t>
      </w:r>
      <w:r>
        <w:t>22</w:t>
      </w:r>
    </w:p>
    <w:tbl>
      <w:tblPr>
        <w:tblW w:w="0" w:type="auto"/>
        <w:tblInd w:w="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61"/>
        <w:gridCol w:w="1890"/>
        <w:gridCol w:w="1890"/>
        <w:gridCol w:w="1890"/>
      </w:tblGrid>
      <w:tr w:rsidR="00540C6D" w:rsidRPr="00ED2536" w14:paraId="74726E1C" w14:textId="77777777" w:rsidTr="008B21FB">
        <w:trPr>
          <w:cantSplit/>
        </w:trPr>
        <w:tc>
          <w:tcPr>
            <w:tcW w:w="3261" w:type="dxa"/>
            <w:vMerge w:val="restart"/>
            <w:tcBorders>
              <w:top w:val="single" w:sz="18" w:space="0" w:color="auto"/>
              <w:left w:val="single" w:sz="18" w:space="0" w:color="auto"/>
              <w:right w:val="single" w:sz="18" w:space="0" w:color="auto"/>
            </w:tcBorders>
            <w:vAlign w:val="center"/>
          </w:tcPr>
          <w:p w14:paraId="31D8ED2D" w14:textId="77777777" w:rsidR="00540C6D" w:rsidRPr="00ED2536" w:rsidRDefault="00540C6D" w:rsidP="008B21FB">
            <w:pPr>
              <w:pStyle w:val="Nadpis1"/>
              <w:jc w:val="center"/>
              <w:rPr>
                <w:b/>
              </w:rPr>
            </w:pPr>
            <w:r w:rsidRPr="00ED2536">
              <w:rPr>
                <w:b/>
              </w:rPr>
              <w:t>Poloha</w:t>
            </w:r>
          </w:p>
        </w:tc>
        <w:tc>
          <w:tcPr>
            <w:tcW w:w="5670" w:type="dxa"/>
            <w:gridSpan w:val="3"/>
            <w:tcBorders>
              <w:top w:val="single" w:sz="18" w:space="0" w:color="auto"/>
              <w:left w:val="nil"/>
              <w:bottom w:val="nil"/>
              <w:right w:val="single" w:sz="18" w:space="0" w:color="auto"/>
            </w:tcBorders>
          </w:tcPr>
          <w:p w14:paraId="6A0F9FCD" w14:textId="77777777" w:rsidR="00540C6D" w:rsidRPr="00ED2536" w:rsidRDefault="00540C6D" w:rsidP="008B21FB">
            <w:pPr>
              <w:jc w:val="center"/>
              <w:rPr>
                <w:b/>
                <w:sz w:val="24"/>
              </w:rPr>
            </w:pPr>
            <w:r w:rsidRPr="00ED2536">
              <w:rPr>
                <w:b/>
                <w:sz w:val="24"/>
              </w:rPr>
              <w:t>Kč/m</w:t>
            </w:r>
            <w:r w:rsidRPr="00ED2536">
              <w:rPr>
                <w:b/>
                <w:sz w:val="24"/>
                <w:vertAlign w:val="superscript"/>
              </w:rPr>
              <w:t>2</w:t>
            </w:r>
            <w:r w:rsidRPr="00ED2536">
              <w:rPr>
                <w:b/>
                <w:sz w:val="24"/>
              </w:rPr>
              <w:t xml:space="preserve"> </w:t>
            </w:r>
          </w:p>
        </w:tc>
      </w:tr>
      <w:tr w:rsidR="00540C6D" w:rsidRPr="00ED2536" w14:paraId="0DC0824E" w14:textId="77777777" w:rsidTr="008B21FB">
        <w:tc>
          <w:tcPr>
            <w:tcW w:w="3261" w:type="dxa"/>
            <w:vMerge/>
            <w:tcBorders>
              <w:left w:val="single" w:sz="18" w:space="0" w:color="auto"/>
              <w:bottom w:val="single" w:sz="18" w:space="0" w:color="auto"/>
              <w:right w:val="single" w:sz="18" w:space="0" w:color="auto"/>
            </w:tcBorders>
          </w:tcPr>
          <w:p w14:paraId="64F724ED" w14:textId="77777777" w:rsidR="00540C6D" w:rsidRPr="00ED2536" w:rsidRDefault="00540C6D" w:rsidP="008B21FB">
            <w:pPr>
              <w:pStyle w:val="Nadpis1"/>
            </w:pPr>
          </w:p>
        </w:tc>
        <w:tc>
          <w:tcPr>
            <w:tcW w:w="1890" w:type="dxa"/>
            <w:tcBorders>
              <w:top w:val="single" w:sz="12" w:space="0" w:color="auto"/>
              <w:left w:val="nil"/>
              <w:bottom w:val="single" w:sz="18" w:space="0" w:color="auto"/>
              <w:right w:val="single" w:sz="6" w:space="0" w:color="auto"/>
            </w:tcBorders>
          </w:tcPr>
          <w:p w14:paraId="78508291" w14:textId="77777777" w:rsidR="00540C6D" w:rsidRPr="00ED2536" w:rsidRDefault="00540C6D" w:rsidP="008B21FB">
            <w:pPr>
              <w:jc w:val="center"/>
              <w:rPr>
                <w:b/>
                <w:sz w:val="24"/>
              </w:rPr>
            </w:pPr>
            <w:r w:rsidRPr="00ED2536">
              <w:rPr>
                <w:b/>
                <w:sz w:val="24"/>
              </w:rPr>
              <w:t>Průměrná cena</w:t>
            </w:r>
          </w:p>
        </w:tc>
        <w:tc>
          <w:tcPr>
            <w:tcW w:w="1890" w:type="dxa"/>
            <w:tcBorders>
              <w:top w:val="single" w:sz="12" w:space="0" w:color="auto"/>
              <w:left w:val="single" w:sz="6" w:space="0" w:color="auto"/>
              <w:bottom w:val="single" w:sz="18" w:space="0" w:color="auto"/>
              <w:right w:val="single" w:sz="6" w:space="0" w:color="auto"/>
            </w:tcBorders>
          </w:tcPr>
          <w:p w14:paraId="43ADF926" w14:textId="77777777" w:rsidR="00540C6D" w:rsidRPr="00ED2536" w:rsidRDefault="00540C6D" w:rsidP="008B21FB">
            <w:pPr>
              <w:jc w:val="center"/>
              <w:rPr>
                <w:b/>
                <w:sz w:val="24"/>
              </w:rPr>
            </w:pPr>
            <w:r w:rsidRPr="00ED2536">
              <w:rPr>
                <w:b/>
                <w:sz w:val="24"/>
              </w:rPr>
              <w:t>Minimální cena</w:t>
            </w:r>
          </w:p>
        </w:tc>
        <w:tc>
          <w:tcPr>
            <w:tcW w:w="1890" w:type="dxa"/>
            <w:tcBorders>
              <w:top w:val="single" w:sz="12" w:space="0" w:color="auto"/>
              <w:left w:val="single" w:sz="6" w:space="0" w:color="auto"/>
              <w:bottom w:val="single" w:sz="18" w:space="0" w:color="auto"/>
              <w:right w:val="single" w:sz="18" w:space="0" w:color="auto"/>
            </w:tcBorders>
          </w:tcPr>
          <w:p w14:paraId="043C060B" w14:textId="77777777" w:rsidR="00540C6D" w:rsidRPr="00ED2536" w:rsidRDefault="00540C6D" w:rsidP="008B21FB">
            <w:pPr>
              <w:jc w:val="center"/>
              <w:rPr>
                <w:b/>
                <w:sz w:val="24"/>
              </w:rPr>
            </w:pPr>
            <w:r w:rsidRPr="00ED2536">
              <w:rPr>
                <w:b/>
                <w:sz w:val="24"/>
              </w:rPr>
              <w:t>Maximální cena</w:t>
            </w:r>
          </w:p>
        </w:tc>
      </w:tr>
      <w:tr w:rsidR="00540C6D" w:rsidRPr="00ED2536" w14:paraId="45C7136D" w14:textId="77777777" w:rsidTr="008B21FB">
        <w:tc>
          <w:tcPr>
            <w:tcW w:w="3261" w:type="dxa"/>
            <w:tcBorders>
              <w:top w:val="nil"/>
              <w:left w:val="single" w:sz="18" w:space="0" w:color="auto"/>
              <w:bottom w:val="single" w:sz="6" w:space="0" w:color="auto"/>
              <w:right w:val="single" w:sz="18" w:space="0" w:color="auto"/>
            </w:tcBorders>
          </w:tcPr>
          <w:p w14:paraId="2D53A78E" w14:textId="77777777" w:rsidR="00540C6D" w:rsidRPr="00ED2536" w:rsidRDefault="00540C6D" w:rsidP="008B21FB">
            <w:pPr>
              <w:rPr>
                <w:sz w:val="24"/>
              </w:rPr>
            </w:pPr>
            <w:r w:rsidRPr="00ED2536">
              <w:rPr>
                <w:sz w:val="24"/>
              </w:rPr>
              <w:t>Vnitřní město</w:t>
            </w:r>
          </w:p>
        </w:tc>
        <w:tc>
          <w:tcPr>
            <w:tcW w:w="1890" w:type="dxa"/>
            <w:tcBorders>
              <w:top w:val="nil"/>
              <w:left w:val="nil"/>
              <w:bottom w:val="single" w:sz="6" w:space="0" w:color="auto"/>
              <w:right w:val="single" w:sz="6" w:space="0" w:color="auto"/>
            </w:tcBorders>
          </w:tcPr>
          <w:p w14:paraId="7D4FB56B" w14:textId="393FC2BF" w:rsidR="00540C6D" w:rsidRPr="00ED2536" w:rsidRDefault="00540C6D" w:rsidP="00540C6D">
            <w:pPr>
              <w:jc w:val="center"/>
              <w:rPr>
                <w:sz w:val="24"/>
              </w:rPr>
            </w:pPr>
            <w:r>
              <w:rPr>
                <w:sz w:val="24"/>
              </w:rPr>
              <w:t>3</w:t>
            </w:r>
            <w:r w:rsidRPr="00ED2536">
              <w:rPr>
                <w:sz w:val="24"/>
              </w:rPr>
              <w:t xml:space="preserve"> </w:t>
            </w:r>
            <w:r>
              <w:rPr>
                <w:sz w:val="24"/>
              </w:rPr>
              <w:t>002</w:t>
            </w:r>
          </w:p>
        </w:tc>
        <w:tc>
          <w:tcPr>
            <w:tcW w:w="1890" w:type="dxa"/>
            <w:tcBorders>
              <w:top w:val="nil"/>
              <w:left w:val="single" w:sz="6" w:space="0" w:color="auto"/>
              <w:bottom w:val="single" w:sz="6" w:space="0" w:color="auto"/>
              <w:right w:val="single" w:sz="6" w:space="0" w:color="auto"/>
            </w:tcBorders>
          </w:tcPr>
          <w:p w14:paraId="75EFCAF8" w14:textId="422F61F3" w:rsidR="00540C6D" w:rsidRPr="00ED2536" w:rsidRDefault="00540C6D" w:rsidP="00540C6D">
            <w:pPr>
              <w:jc w:val="center"/>
              <w:rPr>
                <w:sz w:val="24"/>
              </w:rPr>
            </w:pPr>
            <w:r>
              <w:rPr>
                <w:sz w:val="24"/>
              </w:rPr>
              <w:t>104</w:t>
            </w:r>
          </w:p>
        </w:tc>
        <w:tc>
          <w:tcPr>
            <w:tcW w:w="1890" w:type="dxa"/>
            <w:tcBorders>
              <w:top w:val="nil"/>
              <w:left w:val="single" w:sz="6" w:space="0" w:color="auto"/>
              <w:bottom w:val="single" w:sz="6" w:space="0" w:color="auto"/>
              <w:right w:val="single" w:sz="18" w:space="0" w:color="auto"/>
            </w:tcBorders>
          </w:tcPr>
          <w:p w14:paraId="0B4A8B1A" w14:textId="3D8C0FEA" w:rsidR="00540C6D" w:rsidRPr="00ED2536" w:rsidRDefault="00540C6D" w:rsidP="00540C6D">
            <w:pPr>
              <w:jc w:val="center"/>
              <w:rPr>
                <w:sz w:val="24"/>
              </w:rPr>
            </w:pPr>
            <w:r>
              <w:rPr>
                <w:sz w:val="24"/>
              </w:rPr>
              <w:t>16</w:t>
            </w:r>
            <w:r w:rsidRPr="00ED2536">
              <w:rPr>
                <w:sz w:val="24"/>
              </w:rPr>
              <w:t xml:space="preserve"> </w:t>
            </w:r>
            <w:r>
              <w:rPr>
                <w:sz w:val="24"/>
              </w:rPr>
              <w:t>667</w:t>
            </w:r>
          </w:p>
        </w:tc>
      </w:tr>
      <w:tr w:rsidR="00540C6D" w:rsidRPr="00ED2536" w14:paraId="64668850" w14:textId="77777777" w:rsidTr="008B21FB">
        <w:tc>
          <w:tcPr>
            <w:tcW w:w="3261" w:type="dxa"/>
            <w:tcBorders>
              <w:top w:val="single" w:sz="6" w:space="0" w:color="auto"/>
              <w:left w:val="single" w:sz="18" w:space="0" w:color="auto"/>
              <w:bottom w:val="single" w:sz="6" w:space="0" w:color="auto"/>
              <w:right w:val="single" w:sz="18" w:space="0" w:color="auto"/>
            </w:tcBorders>
          </w:tcPr>
          <w:p w14:paraId="0141122B" w14:textId="77777777" w:rsidR="00540C6D" w:rsidRPr="00ED2536" w:rsidRDefault="00540C6D" w:rsidP="008B21FB">
            <w:pPr>
              <w:rPr>
                <w:sz w:val="24"/>
              </w:rPr>
            </w:pPr>
            <w:r w:rsidRPr="00ED2536">
              <w:rPr>
                <w:sz w:val="24"/>
              </w:rPr>
              <w:t>Okrajová část vnitřního města</w:t>
            </w:r>
          </w:p>
        </w:tc>
        <w:tc>
          <w:tcPr>
            <w:tcW w:w="1890" w:type="dxa"/>
            <w:tcBorders>
              <w:top w:val="single" w:sz="6" w:space="0" w:color="auto"/>
              <w:left w:val="nil"/>
              <w:bottom w:val="single" w:sz="6" w:space="0" w:color="auto"/>
              <w:right w:val="single" w:sz="6" w:space="0" w:color="auto"/>
            </w:tcBorders>
          </w:tcPr>
          <w:p w14:paraId="3862BFBB" w14:textId="62D776D0" w:rsidR="00540C6D" w:rsidRPr="00ED2536" w:rsidRDefault="00540C6D" w:rsidP="008B21FB">
            <w:pPr>
              <w:jc w:val="center"/>
              <w:rPr>
                <w:sz w:val="24"/>
              </w:rPr>
            </w:pPr>
            <w:r>
              <w:rPr>
                <w:sz w:val="24"/>
              </w:rPr>
              <w:t>1 181</w:t>
            </w:r>
          </w:p>
        </w:tc>
        <w:tc>
          <w:tcPr>
            <w:tcW w:w="1890" w:type="dxa"/>
            <w:tcBorders>
              <w:top w:val="single" w:sz="6" w:space="0" w:color="auto"/>
              <w:left w:val="single" w:sz="6" w:space="0" w:color="auto"/>
              <w:bottom w:val="single" w:sz="6" w:space="0" w:color="auto"/>
              <w:right w:val="single" w:sz="6" w:space="0" w:color="auto"/>
            </w:tcBorders>
          </w:tcPr>
          <w:p w14:paraId="3F62470C" w14:textId="7B6E3F82" w:rsidR="00540C6D" w:rsidRPr="00ED2536" w:rsidRDefault="00540C6D" w:rsidP="00540C6D">
            <w:pPr>
              <w:jc w:val="center"/>
              <w:rPr>
                <w:sz w:val="24"/>
              </w:rPr>
            </w:pPr>
            <w:r>
              <w:rPr>
                <w:sz w:val="24"/>
              </w:rPr>
              <w:t>41</w:t>
            </w:r>
          </w:p>
        </w:tc>
        <w:tc>
          <w:tcPr>
            <w:tcW w:w="1890" w:type="dxa"/>
            <w:tcBorders>
              <w:top w:val="single" w:sz="6" w:space="0" w:color="auto"/>
              <w:left w:val="single" w:sz="6" w:space="0" w:color="auto"/>
              <w:bottom w:val="single" w:sz="6" w:space="0" w:color="auto"/>
              <w:right w:val="single" w:sz="18" w:space="0" w:color="auto"/>
            </w:tcBorders>
          </w:tcPr>
          <w:p w14:paraId="384C5BB2" w14:textId="60794AAF" w:rsidR="00540C6D" w:rsidRPr="00ED2536" w:rsidRDefault="00540C6D" w:rsidP="00540C6D">
            <w:pPr>
              <w:jc w:val="center"/>
              <w:rPr>
                <w:sz w:val="24"/>
              </w:rPr>
            </w:pPr>
            <w:r>
              <w:rPr>
                <w:sz w:val="24"/>
              </w:rPr>
              <w:t>4</w:t>
            </w:r>
            <w:r w:rsidRPr="00ED2536">
              <w:rPr>
                <w:sz w:val="24"/>
              </w:rPr>
              <w:t xml:space="preserve"> </w:t>
            </w:r>
            <w:r>
              <w:rPr>
                <w:sz w:val="24"/>
              </w:rPr>
              <w:t>930</w:t>
            </w:r>
          </w:p>
        </w:tc>
      </w:tr>
      <w:tr w:rsidR="00540C6D" w:rsidRPr="00ED2536" w14:paraId="3E7F19F9" w14:textId="77777777" w:rsidTr="008B21FB">
        <w:tc>
          <w:tcPr>
            <w:tcW w:w="3261" w:type="dxa"/>
            <w:tcBorders>
              <w:top w:val="single" w:sz="6" w:space="0" w:color="auto"/>
              <w:left w:val="single" w:sz="18" w:space="0" w:color="auto"/>
              <w:bottom w:val="single" w:sz="6" w:space="0" w:color="auto"/>
              <w:right w:val="single" w:sz="18" w:space="0" w:color="auto"/>
            </w:tcBorders>
          </w:tcPr>
          <w:p w14:paraId="4C885E4C" w14:textId="77777777" w:rsidR="00540C6D" w:rsidRPr="00ED2536" w:rsidRDefault="00540C6D" w:rsidP="008B21FB">
            <w:pPr>
              <w:rPr>
                <w:sz w:val="24"/>
              </w:rPr>
            </w:pPr>
            <w:r w:rsidRPr="00ED2536">
              <w:rPr>
                <w:sz w:val="24"/>
              </w:rPr>
              <w:t>Průmyslové části</w:t>
            </w:r>
          </w:p>
        </w:tc>
        <w:tc>
          <w:tcPr>
            <w:tcW w:w="1890" w:type="dxa"/>
            <w:tcBorders>
              <w:top w:val="single" w:sz="6" w:space="0" w:color="auto"/>
              <w:left w:val="nil"/>
              <w:bottom w:val="single" w:sz="6" w:space="0" w:color="auto"/>
              <w:right w:val="single" w:sz="6" w:space="0" w:color="auto"/>
            </w:tcBorders>
          </w:tcPr>
          <w:p w14:paraId="26965F67" w14:textId="2A7F2419" w:rsidR="00540C6D" w:rsidRPr="00ED2536" w:rsidRDefault="00540C6D" w:rsidP="008B21FB">
            <w:pPr>
              <w:jc w:val="center"/>
              <w:rPr>
                <w:sz w:val="24"/>
              </w:rPr>
            </w:pPr>
            <w:r>
              <w:rPr>
                <w:sz w:val="24"/>
              </w:rPr>
              <w:t>951</w:t>
            </w:r>
          </w:p>
        </w:tc>
        <w:tc>
          <w:tcPr>
            <w:tcW w:w="1890" w:type="dxa"/>
            <w:tcBorders>
              <w:top w:val="single" w:sz="6" w:space="0" w:color="auto"/>
              <w:left w:val="single" w:sz="6" w:space="0" w:color="auto"/>
              <w:bottom w:val="single" w:sz="6" w:space="0" w:color="auto"/>
              <w:right w:val="single" w:sz="6" w:space="0" w:color="auto"/>
            </w:tcBorders>
          </w:tcPr>
          <w:p w14:paraId="71D6CB6E" w14:textId="1AD340DA" w:rsidR="00540C6D" w:rsidRPr="00ED2536" w:rsidRDefault="00540C6D" w:rsidP="008B21FB">
            <w:pPr>
              <w:jc w:val="center"/>
              <w:rPr>
                <w:sz w:val="24"/>
              </w:rPr>
            </w:pPr>
            <w:r>
              <w:rPr>
                <w:sz w:val="24"/>
              </w:rPr>
              <w:t>70</w:t>
            </w:r>
          </w:p>
        </w:tc>
        <w:tc>
          <w:tcPr>
            <w:tcW w:w="1890" w:type="dxa"/>
            <w:tcBorders>
              <w:top w:val="single" w:sz="6" w:space="0" w:color="auto"/>
              <w:left w:val="single" w:sz="6" w:space="0" w:color="auto"/>
              <w:bottom w:val="single" w:sz="6" w:space="0" w:color="auto"/>
              <w:right w:val="single" w:sz="18" w:space="0" w:color="auto"/>
            </w:tcBorders>
          </w:tcPr>
          <w:p w14:paraId="58473312" w14:textId="7BC073E0" w:rsidR="00540C6D" w:rsidRPr="00ED2536" w:rsidRDefault="00540C6D" w:rsidP="00540C6D">
            <w:pPr>
              <w:jc w:val="center"/>
              <w:rPr>
                <w:sz w:val="24"/>
              </w:rPr>
            </w:pPr>
            <w:r>
              <w:rPr>
                <w:sz w:val="24"/>
              </w:rPr>
              <w:t>3</w:t>
            </w:r>
            <w:r w:rsidRPr="00ED2536">
              <w:rPr>
                <w:sz w:val="24"/>
              </w:rPr>
              <w:t xml:space="preserve"> </w:t>
            </w:r>
            <w:r>
              <w:rPr>
                <w:sz w:val="24"/>
              </w:rPr>
              <w:t>944</w:t>
            </w:r>
          </w:p>
        </w:tc>
      </w:tr>
      <w:tr w:rsidR="00540C6D" w:rsidRPr="00ED2536" w14:paraId="3B5121A6" w14:textId="77777777" w:rsidTr="008B21FB">
        <w:tc>
          <w:tcPr>
            <w:tcW w:w="3261" w:type="dxa"/>
            <w:tcBorders>
              <w:top w:val="single" w:sz="6" w:space="0" w:color="auto"/>
              <w:left w:val="single" w:sz="18" w:space="0" w:color="auto"/>
              <w:bottom w:val="single" w:sz="18" w:space="0" w:color="auto"/>
              <w:right w:val="single" w:sz="18" w:space="0" w:color="auto"/>
            </w:tcBorders>
          </w:tcPr>
          <w:p w14:paraId="2D143688" w14:textId="77777777" w:rsidR="00540C6D" w:rsidRPr="00ED2536" w:rsidRDefault="00540C6D" w:rsidP="008B21FB">
            <w:pPr>
              <w:rPr>
                <w:sz w:val="24"/>
              </w:rPr>
            </w:pPr>
            <w:r w:rsidRPr="00ED2536">
              <w:rPr>
                <w:sz w:val="24"/>
              </w:rPr>
              <w:t>Území mimo kompaktní město</w:t>
            </w:r>
          </w:p>
        </w:tc>
        <w:tc>
          <w:tcPr>
            <w:tcW w:w="1890" w:type="dxa"/>
            <w:tcBorders>
              <w:top w:val="single" w:sz="6" w:space="0" w:color="auto"/>
              <w:left w:val="nil"/>
              <w:bottom w:val="single" w:sz="18" w:space="0" w:color="auto"/>
              <w:right w:val="single" w:sz="6" w:space="0" w:color="auto"/>
            </w:tcBorders>
          </w:tcPr>
          <w:p w14:paraId="7B7CC769" w14:textId="15656EAA" w:rsidR="00540C6D" w:rsidRPr="00ED2536" w:rsidRDefault="00540C6D" w:rsidP="008B21FB">
            <w:pPr>
              <w:jc w:val="center"/>
              <w:rPr>
                <w:sz w:val="24"/>
              </w:rPr>
            </w:pPr>
            <w:r>
              <w:rPr>
                <w:sz w:val="24"/>
              </w:rPr>
              <w:t>1 003</w:t>
            </w:r>
          </w:p>
        </w:tc>
        <w:tc>
          <w:tcPr>
            <w:tcW w:w="1890" w:type="dxa"/>
            <w:tcBorders>
              <w:top w:val="single" w:sz="6" w:space="0" w:color="auto"/>
              <w:left w:val="single" w:sz="6" w:space="0" w:color="auto"/>
              <w:bottom w:val="single" w:sz="18" w:space="0" w:color="auto"/>
              <w:right w:val="single" w:sz="6" w:space="0" w:color="auto"/>
            </w:tcBorders>
          </w:tcPr>
          <w:p w14:paraId="7CFAF656" w14:textId="2E9C88EE" w:rsidR="00540C6D" w:rsidRPr="00ED2536" w:rsidRDefault="00540C6D" w:rsidP="00540C6D">
            <w:pPr>
              <w:jc w:val="center"/>
              <w:rPr>
                <w:sz w:val="24"/>
              </w:rPr>
            </w:pPr>
            <w:r>
              <w:rPr>
                <w:sz w:val="24"/>
              </w:rPr>
              <w:t>20</w:t>
            </w:r>
          </w:p>
        </w:tc>
        <w:tc>
          <w:tcPr>
            <w:tcW w:w="1890" w:type="dxa"/>
            <w:tcBorders>
              <w:top w:val="single" w:sz="6" w:space="0" w:color="auto"/>
              <w:left w:val="single" w:sz="6" w:space="0" w:color="auto"/>
              <w:bottom w:val="single" w:sz="18" w:space="0" w:color="auto"/>
              <w:right w:val="single" w:sz="18" w:space="0" w:color="auto"/>
            </w:tcBorders>
          </w:tcPr>
          <w:p w14:paraId="42C9305C" w14:textId="1855809B" w:rsidR="00540C6D" w:rsidRPr="00ED2536" w:rsidRDefault="00540C6D" w:rsidP="00540C6D">
            <w:pPr>
              <w:jc w:val="center"/>
              <w:rPr>
                <w:sz w:val="24"/>
              </w:rPr>
            </w:pPr>
            <w:r>
              <w:rPr>
                <w:sz w:val="24"/>
              </w:rPr>
              <w:t>9</w:t>
            </w:r>
            <w:r w:rsidRPr="00ED2536">
              <w:rPr>
                <w:sz w:val="24"/>
              </w:rPr>
              <w:t xml:space="preserve"> </w:t>
            </w:r>
            <w:r>
              <w:rPr>
                <w:sz w:val="24"/>
              </w:rPr>
              <w:t>354</w:t>
            </w:r>
          </w:p>
        </w:tc>
      </w:tr>
    </w:tbl>
    <w:p w14:paraId="3A7FD9B7" w14:textId="77777777" w:rsidR="006A2C6B" w:rsidRDefault="006A2C6B" w:rsidP="00360526">
      <w:pPr>
        <w:jc w:val="both"/>
        <w:rPr>
          <w:b/>
          <w:sz w:val="24"/>
        </w:rPr>
      </w:pPr>
    </w:p>
    <w:p w14:paraId="0909872B" w14:textId="77777777" w:rsidR="00360526" w:rsidRPr="008B5566" w:rsidRDefault="00360526" w:rsidP="00360526">
      <w:pPr>
        <w:jc w:val="both"/>
        <w:rPr>
          <w:b/>
          <w:sz w:val="24"/>
        </w:rPr>
      </w:pPr>
      <w:r w:rsidRPr="008B5566">
        <w:rPr>
          <w:b/>
          <w:sz w:val="24"/>
        </w:rPr>
        <w:t>Vliv účelu užití pozemku</w:t>
      </w:r>
    </w:p>
    <w:p w14:paraId="4D9330C5" w14:textId="0ABAF7DB" w:rsidR="00360526" w:rsidRPr="008B5566" w:rsidRDefault="00360526" w:rsidP="00360526">
      <w:pPr>
        <w:spacing w:before="120"/>
        <w:ind w:firstLine="425"/>
        <w:jc w:val="both"/>
        <w:rPr>
          <w:color w:val="FF0000"/>
          <w:sz w:val="24"/>
        </w:rPr>
      </w:pPr>
      <w:r w:rsidRPr="008B5566">
        <w:rPr>
          <w:sz w:val="24"/>
        </w:rPr>
        <w:t xml:space="preserve">Největší počet transakcí </w:t>
      </w:r>
      <w:r w:rsidR="001F764A" w:rsidRPr="008B5566">
        <w:rPr>
          <w:sz w:val="24"/>
        </w:rPr>
        <w:t>b</w:t>
      </w:r>
      <w:r w:rsidRPr="008B5566">
        <w:rPr>
          <w:sz w:val="24"/>
        </w:rPr>
        <w:t>yl</w:t>
      </w:r>
      <w:r w:rsidR="001F764A" w:rsidRPr="008B5566">
        <w:rPr>
          <w:sz w:val="24"/>
        </w:rPr>
        <w:t xml:space="preserve"> opět</w:t>
      </w:r>
      <w:r w:rsidRPr="008B5566">
        <w:rPr>
          <w:sz w:val="24"/>
        </w:rPr>
        <w:t xml:space="preserve"> </w:t>
      </w:r>
      <w:r w:rsidR="0027786C" w:rsidRPr="008B5566">
        <w:rPr>
          <w:sz w:val="24"/>
        </w:rPr>
        <w:t>uskutečněn</w:t>
      </w:r>
      <w:r w:rsidRPr="008B5566">
        <w:rPr>
          <w:sz w:val="24"/>
        </w:rPr>
        <w:t xml:space="preserve"> v kategorii pozemků zastavěných </w:t>
      </w:r>
      <w:r w:rsidRPr="008B5566">
        <w:rPr>
          <w:b/>
          <w:i/>
          <w:sz w:val="24"/>
        </w:rPr>
        <w:t>objekty bydlení</w:t>
      </w:r>
      <w:r w:rsidRPr="008B5566">
        <w:rPr>
          <w:sz w:val="24"/>
        </w:rPr>
        <w:t xml:space="preserve">, rozdělených podle druhu zástavby na budovy určené pro </w:t>
      </w:r>
      <w:r w:rsidRPr="008B5566">
        <w:rPr>
          <w:b/>
          <w:i/>
          <w:sz w:val="24"/>
        </w:rPr>
        <w:t xml:space="preserve">hromadné bydlení </w:t>
      </w:r>
      <w:r w:rsidRPr="008B5566">
        <w:rPr>
          <w:sz w:val="24"/>
        </w:rPr>
        <w:t>a</w:t>
      </w:r>
      <w:r w:rsidR="003F2623" w:rsidRPr="008B5566">
        <w:rPr>
          <w:sz w:val="24"/>
        </w:rPr>
        <w:t> </w:t>
      </w:r>
      <w:r w:rsidRPr="008B5566">
        <w:rPr>
          <w:b/>
          <w:i/>
          <w:sz w:val="24"/>
        </w:rPr>
        <w:t>individuální bytovou výstavbu</w:t>
      </w:r>
      <w:r w:rsidRPr="008B5566">
        <w:rPr>
          <w:sz w:val="24"/>
        </w:rPr>
        <w:t>, kde jsou obchody s pozemky vůbec nejčetnější. V</w:t>
      </w:r>
      <w:r w:rsidR="005339BB" w:rsidRPr="008B5566">
        <w:rPr>
          <w:sz w:val="24"/>
        </w:rPr>
        <w:t>e</w:t>
      </w:r>
      <w:r w:rsidRPr="008B5566">
        <w:rPr>
          <w:sz w:val="24"/>
        </w:rPr>
        <w:t xml:space="preserve"> skupině pozemků pro bydlení bylo uskutečněno </w:t>
      </w:r>
      <w:r w:rsidR="007964FF">
        <w:rPr>
          <w:sz w:val="24"/>
        </w:rPr>
        <w:t xml:space="preserve">54 </w:t>
      </w:r>
      <w:r w:rsidRPr="008B5566">
        <w:rPr>
          <w:sz w:val="24"/>
        </w:rPr>
        <w:t>% všech obchodů</w:t>
      </w:r>
      <w:r w:rsidR="00F52A64" w:rsidRPr="008B5566">
        <w:rPr>
          <w:sz w:val="24"/>
        </w:rPr>
        <w:t xml:space="preserve">, </w:t>
      </w:r>
      <w:r w:rsidR="008A2860">
        <w:rPr>
          <w:sz w:val="24"/>
        </w:rPr>
        <w:t xml:space="preserve">obdobně jako </w:t>
      </w:r>
      <w:r w:rsidR="006A2C6B">
        <w:rPr>
          <w:sz w:val="24"/>
        </w:rPr>
        <w:t xml:space="preserve">v </w:t>
      </w:r>
      <w:r w:rsidR="008A2860">
        <w:rPr>
          <w:sz w:val="24"/>
        </w:rPr>
        <w:t xml:space="preserve">předchozím </w:t>
      </w:r>
      <w:r w:rsidR="00F52A64" w:rsidRPr="008B5566">
        <w:rPr>
          <w:sz w:val="24"/>
        </w:rPr>
        <w:t>období</w:t>
      </w:r>
      <w:r w:rsidRPr="008B5566">
        <w:rPr>
          <w:sz w:val="24"/>
        </w:rPr>
        <w:t xml:space="preserve">. Další podrobnější </w:t>
      </w:r>
      <w:r w:rsidR="005A0132" w:rsidRPr="008B5566">
        <w:rPr>
          <w:sz w:val="24"/>
        </w:rPr>
        <w:t>analýza v kategorii bydlení</w:t>
      </w:r>
      <w:r w:rsidRPr="008B5566">
        <w:rPr>
          <w:sz w:val="24"/>
        </w:rPr>
        <w:t xml:space="preserve"> </w:t>
      </w:r>
      <w:r w:rsidR="005A0132" w:rsidRPr="008B5566">
        <w:rPr>
          <w:sz w:val="24"/>
        </w:rPr>
        <w:t>je provedena r</w:t>
      </w:r>
      <w:r w:rsidRPr="008B5566">
        <w:rPr>
          <w:sz w:val="24"/>
        </w:rPr>
        <w:t>o</w:t>
      </w:r>
      <w:r w:rsidR="005A0132" w:rsidRPr="008B5566">
        <w:rPr>
          <w:sz w:val="24"/>
        </w:rPr>
        <w:t>z</w:t>
      </w:r>
      <w:r w:rsidRPr="008B5566">
        <w:rPr>
          <w:sz w:val="24"/>
        </w:rPr>
        <w:t>dělením pozemků zastavěných rodinnými domy</w:t>
      </w:r>
      <w:r w:rsidR="005A0132" w:rsidRPr="008B5566">
        <w:rPr>
          <w:sz w:val="24"/>
        </w:rPr>
        <w:t>, objekty pro hromadné bydlení</w:t>
      </w:r>
      <w:r w:rsidRPr="008B5566">
        <w:rPr>
          <w:sz w:val="24"/>
        </w:rPr>
        <w:t xml:space="preserve"> a</w:t>
      </w:r>
      <w:r w:rsidR="005A0132" w:rsidRPr="008B5566">
        <w:rPr>
          <w:sz w:val="24"/>
        </w:rPr>
        <w:t> </w:t>
      </w:r>
      <w:r w:rsidRPr="008B5566">
        <w:rPr>
          <w:sz w:val="24"/>
        </w:rPr>
        <w:t xml:space="preserve">objekty sloužícími pro rekreaci. </w:t>
      </w:r>
      <w:r w:rsidR="003F2623" w:rsidRPr="008B5566">
        <w:rPr>
          <w:sz w:val="24"/>
        </w:rPr>
        <w:tab/>
      </w:r>
    </w:p>
    <w:p w14:paraId="418C517A" w14:textId="340A8980" w:rsidR="00DB1530" w:rsidRDefault="00360526" w:rsidP="00DB1530">
      <w:pPr>
        <w:spacing w:before="120"/>
        <w:ind w:firstLine="425"/>
        <w:jc w:val="both"/>
        <w:rPr>
          <w:sz w:val="24"/>
        </w:rPr>
      </w:pPr>
      <w:r w:rsidRPr="008B5566">
        <w:rPr>
          <w:sz w:val="24"/>
        </w:rPr>
        <w:t>V</w:t>
      </w:r>
      <w:r w:rsidR="00085671" w:rsidRPr="008B5566">
        <w:rPr>
          <w:sz w:val="24"/>
        </w:rPr>
        <w:t xml:space="preserve"> kategorii </w:t>
      </w:r>
      <w:r w:rsidRPr="008B5566">
        <w:rPr>
          <w:sz w:val="24"/>
        </w:rPr>
        <w:t xml:space="preserve">pozemků pro </w:t>
      </w:r>
      <w:r w:rsidR="00817DB8" w:rsidRPr="008B5566">
        <w:rPr>
          <w:sz w:val="24"/>
        </w:rPr>
        <w:t xml:space="preserve">rodinné </w:t>
      </w:r>
      <w:r w:rsidRPr="008B5566">
        <w:rPr>
          <w:sz w:val="24"/>
        </w:rPr>
        <w:t xml:space="preserve">bydlení se </w:t>
      </w:r>
      <w:r w:rsidR="005339BB" w:rsidRPr="008B5566">
        <w:rPr>
          <w:sz w:val="24"/>
        </w:rPr>
        <w:t xml:space="preserve">v rámci jednotlivých </w:t>
      </w:r>
      <w:r w:rsidR="00817DB8" w:rsidRPr="008B5566">
        <w:rPr>
          <w:sz w:val="24"/>
        </w:rPr>
        <w:t>cenových rozpětí</w:t>
      </w:r>
      <w:r w:rsidR="005339BB" w:rsidRPr="008B5566">
        <w:rPr>
          <w:sz w:val="24"/>
        </w:rPr>
        <w:t xml:space="preserve"> </w:t>
      </w:r>
      <w:r w:rsidRPr="008B5566">
        <w:rPr>
          <w:sz w:val="24"/>
        </w:rPr>
        <w:t>ceny</w:t>
      </w:r>
      <w:r w:rsidRPr="0052561A">
        <w:rPr>
          <w:sz w:val="24"/>
        </w:rPr>
        <w:t xml:space="preserve"> pohybovaly </w:t>
      </w:r>
      <w:r w:rsidR="00885FDC" w:rsidRPr="0052561A">
        <w:rPr>
          <w:sz w:val="24"/>
        </w:rPr>
        <w:t>nej</w:t>
      </w:r>
      <w:r w:rsidR="00F75A0A">
        <w:rPr>
          <w:sz w:val="24"/>
        </w:rPr>
        <w:t>častěji</w:t>
      </w:r>
      <w:r w:rsidR="00885FDC" w:rsidRPr="0052561A">
        <w:rPr>
          <w:sz w:val="24"/>
        </w:rPr>
        <w:t xml:space="preserve"> v rozmezí 200 až 3 000 Kč za m</w:t>
      </w:r>
      <w:r w:rsidR="00885FDC" w:rsidRPr="0052561A">
        <w:rPr>
          <w:sz w:val="24"/>
          <w:vertAlign w:val="superscript"/>
        </w:rPr>
        <w:t>2</w:t>
      </w:r>
      <w:r w:rsidR="00885FDC" w:rsidRPr="0052561A">
        <w:rPr>
          <w:sz w:val="24"/>
        </w:rPr>
        <w:t>, a to v záv</w:t>
      </w:r>
      <w:r w:rsidR="00F75A0A">
        <w:rPr>
          <w:sz w:val="24"/>
        </w:rPr>
        <w:t>islosti na atraktivitě umístění</w:t>
      </w:r>
      <w:r w:rsidR="00A80284">
        <w:rPr>
          <w:sz w:val="24"/>
        </w:rPr>
        <w:t xml:space="preserve">, s tím, že největší počet </w:t>
      </w:r>
      <w:r w:rsidR="00624F34">
        <w:rPr>
          <w:sz w:val="24"/>
        </w:rPr>
        <w:t>215</w:t>
      </w:r>
      <w:r w:rsidR="00A80284">
        <w:rPr>
          <w:sz w:val="24"/>
        </w:rPr>
        <w:t xml:space="preserve"> (</w:t>
      </w:r>
      <w:r w:rsidR="00DC4B19" w:rsidRPr="0052561A">
        <w:rPr>
          <w:sz w:val="24"/>
        </w:rPr>
        <w:t>tj.</w:t>
      </w:r>
      <w:r w:rsidR="00DD268B" w:rsidRPr="0052561A">
        <w:rPr>
          <w:sz w:val="24"/>
        </w:rPr>
        <w:t> </w:t>
      </w:r>
      <w:r w:rsidR="00DB1530">
        <w:rPr>
          <w:sz w:val="24"/>
        </w:rPr>
        <w:t>3</w:t>
      </w:r>
      <w:r w:rsidR="00FA1615">
        <w:rPr>
          <w:sz w:val="24"/>
        </w:rPr>
        <w:t>2</w:t>
      </w:r>
      <w:r w:rsidR="00DD268B" w:rsidRPr="0052561A">
        <w:rPr>
          <w:sz w:val="24"/>
        </w:rPr>
        <w:t> </w:t>
      </w:r>
      <w:r w:rsidR="00DC4B19" w:rsidRPr="0052561A">
        <w:rPr>
          <w:sz w:val="24"/>
        </w:rPr>
        <w:t>%</w:t>
      </w:r>
      <w:r w:rsidR="007C13C5" w:rsidRPr="0052561A">
        <w:rPr>
          <w:sz w:val="24"/>
        </w:rPr>
        <w:t>) byl</w:t>
      </w:r>
      <w:r w:rsidR="007C13C5">
        <w:rPr>
          <w:sz w:val="24"/>
        </w:rPr>
        <w:t xml:space="preserve"> realizován v </w:t>
      </w:r>
      <w:r w:rsidR="007C13C5" w:rsidRPr="00DB1530">
        <w:rPr>
          <w:sz w:val="24"/>
        </w:rPr>
        <w:t xml:space="preserve">rozmezí </w:t>
      </w:r>
      <w:r w:rsidR="00FA1615">
        <w:rPr>
          <w:sz w:val="24"/>
        </w:rPr>
        <w:t>1 000</w:t>
      </w:r>
      <w:r w:rsidR="007C13C5">
        <w:rPr>
          <w:sz w:val="24"/>
        </w:rPr>
        <w:t xml:space="preserve"> až </w:t>
      </w:r>
      <w:r w:rsidR="00FA1615">
        <w:rPr>
          <w:sz w:val="24"/>
        </w:rPr>
        <w:t xml:space="preserve">1 </w:t>
      </w:r>
      <w:r w:rsidR="00A940B0">
        <w:rPr>
          <w:sz w:val="24"/>
        </w:rPr>
        <w:t>999</w:t>
      </w:r>
      <w:r w:rsidR="007C13C5">
        <w:rPr>
          <w:sz w:val="24"/>
        </w:rPr>
        <w:t xml:space="preserve"> Kč za m</w:t>
      </w:r>
      <w:r w:rsidR="007C13C5">
        <w:rPr>
          <w:sz w:val="24"/>
          <w:vertAlign w:val="superscript"/>
        </w:rPr>
        <w:t>2</w:t>
      </w:r>
      <w:r w:rsidR="00DC4B19">
        <w:rPr>
          <w:sz w:val="24"/>
        </w:rPr>
        <w:t>,</w:t>
      </w:r>
      <w:r w:rsidR="006C594B">
        <w:rPr>
          <w:sz w:val="24"/>
        </w:rPr>
        <w:t xml:space="preserve"> </w:t>
      </w:r>
      <w:r w:rsidR="00DB1530">
        <w:rPr>
          <w:sz w:val="24"/>
        </w:rPr>
        <w:t>s rostoucí cenou pak počet transakcí klesal</w:t>
      </w:r>
      <w:r w:rsidR="0092072C">
        <w:rPr>
          <w:sz w:val="24"/>
        </w:rPr>
        <w:t>,</w:t>
      </w:r>
      <w:r w:rsidR="00DB1530">
        <w:rPr>
          <w:sz w:val="24"/>
        </w:rPr>
        <w:t xml:space="preserve"> když </w:t>
      </w:r>
      <w:r w:rsidR="006C594B">
        <w:rPr>
          <w:sz w:val="24"/>
        </w:rPr>
        <w:t>v</w:t>
      </w:r>
      <w:r w:rsidR="00A940B0">
        <w:rPr>
          <w:sz w:val="24"/>
        </w:rPr>
        <w:t xml:space="preserve"> nejnižší cenové hladině do 500 Kč </w:t>
      </w:r>
      <w:r w:rsidR="00A940B0" w:rsidRPr="0052561A">
        <w:rPr>
          <w:sz w:val="24"/>
        </w:rPr>
        <w:t>za m</w:t>
      </w:r>
      <w:r w:rsidR="00A940B0" w:rsidRPr="0052561A">
        <w:rPr>
          <w:sz w:val="24"/>
          <w:vertAlign w:val="superscript"/>
        </w:rPr>
        <w:t>2</w:t>
      </w:r>
      <w:r w:rsidR="00A940B0">
        <w:rPr>
          <w:sz w:val="24"/>
          <w:vertAlign w:val="superscript"/>
        </w:rPr>
        <w:t xml:space="preserve"> </w:t>
      </w:r>
      <w:r w:rsidR="00A940B0">
        <w:rPr>
          <w:sz w:val="24"/>
        </w:rPr>
        <w:t xml:space="preserve">bylo provedeno </w:t>
      </w:r>
      <w:r w:rsidR="001B4BE0">
        <w:rPr>
          <w:sz w:val="24"/>
        </w:rPr>
        <w:t>176</w:t>
      </w:r>
      <w:r w:rsidR="00A940B0">
        <w:rPr>
          <w:sz w:val="24"/>
        </w:rPr>
        <w:t xml:space="preserve"> převodů (tj. 2</w:t>
      </w:r>
      <w:r w:rsidR="001B4BE0">
        <w:rPr>
          <w:sz w:val="24"/>
        </w:rPr>
        <w:t>6</w:t>
      </w:r>
      <w:r w:rsidR="00A940B0">
        <w:rPr>
          <w:sz w:val="24"/>
        </w:rPr>
        <w:t xml:space="preserve"> %), v </w:t>
      </w:r>
      <w:r w:rsidR="006C594B">
        <w:rPr>
          <w:sz w:val="24"/>
        </w:rPr>
        <w:t xml:space="preserve">cenovém rozpětí </w:t>
      </w:r>
      <w:r w:rsidR="001B4BE0">
        <w:rPr>
          <w:sz w:val="24"/>
        </w:rPr>
        <w:t>5</w:t>
      </w:r>
      <w:r w:rsidR="00A940B0">
        <w:rPr>
          <w:sz w:val="24"/>
        </w:rPr>
        <w:t>00</w:t>
      </w:r>
      <w:r w:rsidR="006C594B">
        <w:rPr>
          <w:sz w:val="24"/>
        </w:rPr>
        <w:t xml:space="preserve"> až </w:t>
      </w:r>
      <w:r w:rsidR="00A940B0">
        <w:rPr>
          <w:sz w:val="24"/>
        </w:rPr>
        <w:t>999</w:t>
      </w:r>
      <w:r w:rsidR="00395251">
        <w:rPr>
          <w:sz w:val="24"/>
        </w:rPr>
        <w:t> </w:t>
      </w:r>
      <w:r w:rsidR="006C594B">
        <w:rPr>
          <w:sz w:val="24"/>
        </w:rPr>
        <w:t xml:space="preserve">Kč </w:t>
      </w:r>
      <w:r w:rsidR="005F01BC" w:rsidRPr="0052561A">
        <w:rPr>
          <w:sz w:val="24"/>
        </w:rPr>
        <w:t>za m</w:t>
      </w:r>
      <w:r w:rsidR="005F01BC" w:rsidRPr="0052561A">
        <w:rPr>
          <w:sz w:val="24"/>
          <w:vertAlign w:val="superscript"/>
        </w:rPr>
        <w:t>2</w:t>
      </w:r>
      <w:r w:rsidR="005F01BC">
        <w:rPr>
          <w:sz w:val="24"/>
          <w:vertAlign w:val="superscript"/>
        </w:rPr>
        <w:t xml:space="preserve"> </w:t>
      </w:r>
      <w:r w:rsidR="0092072C">
        <w:rPr>
          <w:sz w:val="24"/>
        </w:rPr>
        <w:t>bylo provedeno 1</w:t>
      </w:r>
      <w:r w:rsidR="001B4BE0">
        <w:rPr>
          <w:sz w:val="24"/>
        </w:rPr>
        <w:t>71</w:t>
      </w:r>
      <w:r w:rsidR="00DB1530">
        <w:rPr>
          <w:sz w:val="24"/>
        </w:rPr>
        <w:t xml:space="preserve"> převodů </w:t>
      </w:r>
      <w:r w:rsidR="00395251">
        <w:rPr>
          <w:sz w:val="24"/>
        </w:rPr>
        <w:t>(</w:t>
      </w:r>
      <w:r w:rsidR="006C594B">
        <w:rPr>
          <w:sz w:val="24"/>
        </w:rPr>
        <w:t xml:space="preserve">tj. </w:t>
      </w:r>
      <w:r w:rsidR="001B4BE0">
        <w:rPr>
          <w:sz w:val="24"/>
        </w:rPr>
        <w:t>25</w:t>
      </w:r>
      <w:r w:rsidR="006C594B">
        <w:rPr>
          <w:sz w:val="24"/>
        </w:rPr>
        <w:t xml:space="preserve"> %</w:t>
      </w:r>
      <w:r w:rsidR="00395251">
        <w:rPr>
          <w:sz w:val="24"/>
        </w:rPr>
        <w:t>)</w:t>
      </w:r>
      <w:r w:rsidR="006C594B">
        <w:rPr>
          <w:sz w:val="24"/>
        </w:rPr>
        <w:t xml:space="preserve">. </w:t>
      </w:r>
      <w:r w:rsidR="00DB1530">
        <w:rPr>
          <w:sz w:val="24"/>
        </w:rPr>
        <w:t>V</w:t>
      </w:r>
      <w:r w:rsidR="00DC4B19">
        <w:rPr>
          <w:sz w:val="24"/>
        </w:rPr>
        <w:t> rozmezí 2</w:t>
      </w:r>
      <w:r w:rsidR="00D74766">
        <w:rPr>
          <w:sz w:val="24"/>
        </w:rPr>
        <w:t> </w:t>
      </w:r>
      <w:r w:rsidR="00DC4B19">
        <w:rPr>
          <w:sz w:val="24"/>
        </w:rPr>
        <w:t xml:space="preserve">000 až </w:t>
      </w:r>
      <w:r w:rsidR="00A940B0">
        <w:rPr>
          <w:sz w:val="24"/>
        </w:rPr>
        <w:t>2</w:t>
      </w:r>
      <w:r w:rsidR="00D74766">
        <w:rPr>
          <w:sz w:val="24"/>
        </w:rPr>
        <w:t> </w:t>
      </w:r>
      <w:r w:rsidR="00A940B0">
        <w:rPr>
          <w:sz w:val="24"/>
        </w:rPr>
        <w:t>999</w:t>
      </w:r>
      <w:r w:rsidR="00DC4B19">
        <w:rPr>
          <w:sz w:val="24"/>
        </w:rPr>
        <w:t xml:space="preserve"> Kč za m</w:t>
      </w:r>
      <w:r w:rsidR="00DC4B19">
        <w:rPr>
          <w:sz w:val="24"/>
          <w:vertAlign w:val="superscript"/>
        </w:rPr>
        <w:t>2</w:t>
      </w:r>
      <w:r w:rsidR="00DC4B19">
        <w:rPr>
          <w:sz w:val="24"/>
        </w:rPr>
        <w:t xml:space="preserve"> se zobchodovalo </w:t>
      </w:r>
      <w:r w:rsidR="00A940B0">
        <w:rPr>
          <w:sz w:val="24"/>
        </w:rPr>
        <w:t>1</w:t>
      </w:r>
      <w:r w:rsidR="001B4BE0">
        <w:rPr>
          <w:sz w:val="24"/>
        </w:rPr>
        <w:t>2</w:t>
      </w:r>
      <w:r w:rsidR="0052561A">
        <w:rPr>
          <w:sz w:val="24"/>
        </w:rPr>
        <w:t> </w:t>
      </w:r>
      <w:r w:rsidR="00DC4B19">
        <w:rPr>
          <w:sz w:val="24"/>
        </w:rPr>
        <w:t>% převodů</w:t>
      </w:r>
      <w:r w:rsidR="00A940B0">
        <w:rPr>
          <w:sz w:val="24"/>
        </w:rPr>
        <w:t>, nad 3</w:t>
      </w:r>
      <w:r w:rsidR="006A2C6B">
        <w:rPr>
          <w:sz w:val="24"/>
        </w:rPr>
        <w:t> </w:t>
      </w:r>
      <w:r w:rsidR="00A940B0">
        <w:rPr>
          <w:sz w:val="24"/>
        </w:rPr>
        <w:t xml:space="preserve">000 </w:t>
      </w:r>
      <w:r w:rsidR="006A2C6B">
        <w:rPr>
          <w:sz w:val="24"/>
        </w:rPr>
        <w:t>Kč za m</w:t>
      </w:r>
      <w:r w:rsidR="006A2C6B">
        <w:rPr>
          <w:sz w:val="24"/>
          <w:vertAlign w:val="superscript"/>
        </w:rPr>
        <w:t>2</w:t>
      </w:r>
      <w:r w:rsidR="006A2C6B">
        <w:rPr>
          <w:sz w:val="24"/>
        </w:rPr>
        <w:t xml:space="preserve"> </w:t>
      </w:r>
      <w:r w:rsidR="00A940B0">
        <w:rPr>
          <w:sz w:val="24"/>
        </w:rPr>
        <w:t>se zobchodovalo 6</w:t>
      </w:r>
      <w:r w:rsidR="006A2C6B">
        <w:rPr>
          <w:sz w:val="24"/>
        </w:rPr>
        <w:t> </w:t>
      </w:r>
      <w:r w:rsidR="00A940B0">
        <w:rPr>
          <w:sz w:val="24"/>
        </w:rPr>
        <w:t>% obchodů</w:t>
      </w:r>
      <w:r w:rsidR="00DC4B19">
        <w:rPr>
          <w:sz w:val="24"/>
        </w:rPr>
        <w:t>.</w:t>
      </w:r>
      <w:r w:rsidR="001F764A" w:rsidRPr="007C13C5">
        <w:rPr>
          <w:sz w:val="24"/>
        </w:rPr>
        <w:t xml:space="preserve"> </w:t>
      </w:r>
    </w:p>
    <w:p w14:paraId="22C2DF98" w14:textId="4AC4EAB0" w:rsidR="008F61CA" w:rsidRPr="002E2D89" w:rsidRDefault="001F764A" w:rsidP="00DB1530">
      <w:pPr>
        <w:spacing w:before="120"/>
        <w:ind w:firstLine="425"/>
        <w:jc w:val="both"/>
        <w:rPr>
          <w:sz w:val="24"/>
        </w:rPr>
      </w:pPr>
      <w:r w:rsidRPr="002E2D89">
        <w:rPr>
          <w:sz w:val="24"/>
        </w:rPr>
        <w:t>V</w:t>
      </w:r>
      <w:r w:rsidR="00DB1530">
        <w:rPr>
          <w:sz w:val="24"/>
        </w:rPr>
        <w:t> </w:t>
      </w:r>
      <w:r w:rsidR="00885FDC" w:rsidRPr="002E2D89">
        <w:rPr>
          <w:sz w:val="24"/>
        </w:rPr>
        <w:t xml:space="preserve">kategorii pozemků pro hromadné bydlení se nejvíce obchodovaly </w:t>
      </w:r>
      <w:r w:rsidR="0052561A" w:rsidRPr="002E2D89">
        <w:rPr>
          <w:sz w:val="24"/>
        </w:rPr>
        <w:t xml:space="preserve">pozemky </w:t>
      </w:r>
      <w:r w:rsidR="0092072C">
        <w:rPr>
          <w:sz w:val="24"/>
        </w:rPr>
        <w:t>nad</w:t>
      </w:r>
      <w:r w:rsidR="00360526" w:rsidRPr="002E2D89">
        <w:rPr>
          <w:sz w:val="24"/>
        </w:rPr>
        <w:t xml:space="preserve"> </w:t>
      </w:r>
      <w:r w:rsidR="0092072C">
        <w:rPr>
          <w:sz w:val="24"/>
        </w:rPr>
        <w:t>3</w:t>
      </w:r>
      <w:r w:rsidR="00C6176B" w:rsidRPr="002E2D89">
        <w:rPr>
          <w:sz w:val="24"/>
        </w:rPr>
        <w:t> 000</w:t>
      </w:r>
      <w:r w:rsidR="00216773" w:rsidRPr="002E2D89">
        <w:rPr>
          <w:sz w:val="24"/>
        </w:rPr>
        <w:t> </w:t>
      </w:r>
      <w:r w:rsidR="00360526" w:rsidRPr="002E2D89">
        <w:rPr>
          <w:sz w:val="24"/>
        </w:rPr>
        <w:t>Kč</w:t>
      </w:r>
      <w:r w:rsidR="00216773" w:rsidRPr="002E2D89">
        <w:t> </w:t>
      </w:r>
      <w:r w:rsidR="00360526" w:rsidRPr="002E2D89">
        <w:rPr>
          <w:sz w:val="24"/>
        </w:rPr>
        <w:t>za</w:t>
      </w:r>
      <w:r w:rsidR="00216773" w:rsidRPr="002E2D89">
        <w:rPr>
          <w:sz w:val="24"/>
        </w:rPr>
        <w:t> </w:t>
      </w:r>
      <w:r w:rsidR="00360526" w:rsidRPr="002E2D89">
        <w:rPr>
          <w:sz w:val="24"/>
        </w:rPr>
        <w:t>m</w:t>
      </w:r>
      <w:r w:rsidR="00360526" w:rsidRPr="002E2D89">
        <w:rPr>
          <w:sz w:val="24"/>
          <w:vertAlign w:val="superscript"/>
        </w:rPr>
        <w:t>2</w:t>
      </w:r>
      <w:r w:rsidR="00885FDC" w:rsidRPr="002E2D89">
        <w:rPr>
          <w:sz w:val="24"/>
        </w:rPr>
        <w:t xml:space="preserve"> </w:t>
      </w:r>
      <w:r w:rsidR="003E1FA0">
        <w:rPr>
          <w:sz w:val="24"/>
        </w:rPr>
        <w:t xml:space="preserve">– </w:t>
      </w:r>
      <w:r w:rsidR="0092072C">
        <w:rPr>
          <w:sz w:val="24"/>
        </w:rPr>
        <w:t>3</w:t>
      </w:r>
      <w:r w:rsidR="003C2314">
        <w:rPr>
          <w:sz w:val="24"/>
        </w:rPr>
        <w:t>06</w:t>
      </w:r>
      <w:r w:rsidR="003E1FA0">
        <w:rPr>
          <w:sz w:val="24"/>
        </w:rPr>
        <w:t xml:space="preserve"> prodejů s podílem </w:t>
      </w:r>
      <w:r w:rsidR="003403AF">
        <w:rPr>
          <w:sz w:val="24"/>
        </w:rPr>
        <w:t>2</w:t>
      </w:r>
      <w:r w:rsidR="003C2314">
        <w:rPr>
          <w:sz w:val="24"/>
        </w:rPr>
        <w:t>9</w:t>
      </w:r>
      <w:r w:rsidR="00BD41C3">
        <w:rPr>
          <w:sz w:val="24"/>
        </w:rPr>
        <w:t> </w:t>
      </w:r>
      <w:r w:rsidR="003E1FA0">
        <w:rPr>
          <w:sz w:val="24"/>
        </w:rPr>
        <w:t>%</w:t>
      </w:r>
      <w:r w:rsidR="00C27850">
        <w:rPr>
          <w:sz w:val="24"/>
        </w:rPr>
        <w:t>, k</w:t>
      </w:r>
      <w:r w:rsidR="0092072C">
        <w:rPr>
          <w:sz w:val="24"/>
        </w:rPr>
        <w:t xml:space="preserve">teré se pohybovaly v rozmezí </w:t>
      </w:r>
      <w:r w:rsidR="003403AF">
        <w:rPr>
          <w:sz w:val="24"/>
        </w:rPr>
        <w:t>3</w:t>
      </w:r>
      <w:r w:rsidR="0092072C">
        <w:rPr>
          <w:sz w:val="24"/>
        </w:rPr>
        <w:t> </w:t>
      </w:r>
      <w:r w:rsidR="003403AF">
        <w:rPr>
          <w:sz w:val="24"/>
        </w:rPr>
        <w:t>125</w:t>
      </w:r>
      <w:r w:rsidR="0092072C">
        <w:rPr>
          <w:sz w:val="24"/>
        </w:rPr>
        <w:t xml:space="preserve"> až </w:t>
      </w:r>
      <w:r w:rsidR="003403AF">
        <w:rPr>
          <w:sz w:val="24"/>
        </w:rPr>
        <w:t>1</w:t>
      </w:r>
      <w:r w:rsidR="0092072C">
        <w:rPr>
          <w:sz w:val="24"/>
        </w:rPr>
        <w:t>6 </w:t>
      </w:r>
      <w:r w:rsidR="003C2314">
        <w:rPr>
          <w:sz w:val="24"/>
        </w:rPr>
        <w:t>7</w:t>
      </w:r>
      <w:r w:rsidR="0092072C">
        <w:rPr>
          <w:sz w:val="24"/>
        </w:rPr>
        <w:t>00</w:t>
      </w:r>
      <w:r w:rsidR="00DC4B19" w:rsidRPr="002E2D89">
        <w:rPr>
          <w:sz w:val="24"/>
        </w:rPr>
        <w:t xml:space="preserve"> Kč za m</w:t>
      </w:r>
      <w:r w:rsidR="00DC4B19" w:rsidRPr="002E2D89">
        <w:rPr>
          <w:sz w:val="24"/>
          <w:vertAlign w:val="superscript"/>
        </w:rPr>
        <w:t>2</w:t>
      </w:r>
      <w:r w:rsidR="00DC4B19" w:rsidRPr="002E2D89">
        <w:rPr>
          <w:sz w:val="24"/>
        </w:rPr>
        <w:t>. V</w:t>
      </w:r>
      <w:r w:rsidR="00885FDC" w:rsidRPr="002E2D89">
        <w:rPr>
          <w:sz w:val="24"/>
        </w:rPr>
        <w:t> těchto případech se jednalo převážně o převody podílů na pozemcích související</w:t>
      </w:r>
      <w:r w:rsidR="00ED44A6" w:rsidRPr="002E2D89">
        <w:rPr>
          <w:sz w:val="24"/>
        </w:rPr>
        <w:t>ch</w:t>
      </w:r>
      <w:r w:rsidR="00885FDC" w:rsidRPr="002E2D89">
        <w:rPr>
          <w:sz w:val="24"/>
        </w:rPr>
        <w:t xml:space="preserve"> s prodeji bytových jednotek</w:t>
      </w:r>
      <w:r w:rsidR="004646FE" w:rsidRPr="002E2D89">
        <w:rPr>
          <w:sz w:val="24"/>
        </w:rPr>
        <w:t xml:space="preserve"> a</w:t>
      </w:r>
      <w:r w:rsidR="00ED44A6" w:rsidRPr="002E2D89">
        <w:rPr>
          <w:sz w:val="24"/>
        </w:rPr>
        <w:t> </w:t>
      </w:r>
      <w:r w:rsidR="004646FE" w:rsidRPr="002E2D89">
        <w:rPr>
          <w:sz w:val="24"/>
        </w:rPr>
        <w:t xml:space="preserve">dosažené ceny byly </w:t>
      </w:r>
      <w:r w:rsidR="00987E85">
        <w:rPr>
          <w:sz w:val="24"/>
        </w:rPr>
        <w:t>u</w:t>
      </w:r>
      <w:r w:rsidR="00C04776">
        <w:rPr>
          <w:sz w:val="24"/>
        </w:rPr>
        <w:t> </w:t>
      </w:r>
      <w:r w:rsidR="00987E85">
        <w:rPr>
          <w:sz w:val="24"/>
        </w:rPr>
        <w:t xml:space="preserve">hromadného bydlení </w:t>
      </w:r>
      <w:r w:rsidR="003E1FA0">
        <w:rPr>
          <w:sz w:val="24"/>
        </w:rPr>
        <w:t>jedny z</w:t>
      </w:r>
      <w:r w:rsidR="0037160C">
        <w:rPr>
          <w:sz w:val="24"/>
        </w:rPr>
        <w:t> </w:t>
      </w:r>
      <w:r w:rsidR="00987E85">
        <w:rPr>
          <w:sz w:val="24"/>
        </w:rPr>
        <w:t>nejvyšší</w:t>
      </w:r>
      <w:r w:rsidR="003E1FA0">
        <w:rPr>
          <w:sz w:val="24"/>
        </w:rPr>
        <w:t>ch</w:t>
      </w:r>
      <w:r w:rsidR="00987E85">
        <w:rPr>
          <w:sz w:val="24"/>
        </w:rPr>
        <w:t xml:space="preserve"> </w:t>
      </w:r>
      <w:r w:rsidR="004646FE" w:rsidRPr="002E2D89">
        <w:rPr>
          <w:sz w:val="24"/>
        </w:rPr>
        <w:t xml:space="preserve">v rámci města. </w:t>
      </w:r>
      <w:r w:rsidR="003E1FA0">
        <w:rPr>
          <w:sz w:val="24"/>
        </w:rPr>
        <w:t xml:space="preserve">Především se jednalo o prodeje podílů </w:t>
      </w:r>
      <w:r w:rsidR="00C25EB6">
        <w:rPr>
          <w:sz w:val="24"/>
        </w:rPr>
        <w:t xml:space="preserve">k bytům v nových </w:t>
      </w:r>
      <w:r w:rsidR="00C25EB6">
        <w:rPr>
          <w:sz w:val="24"/>
        </w:rPr>
        <w:lastRenderedPageBreak/>
        <w:t xml:space="preserve">bytových domech na </w:t>
      </w:r>
      <w:r w:rsidR="003E1FA0">
        <w:rPr>
          <w:sz w:val="24"/>
        </w:rPr>
        <w:t xml:space="preserve">území Nové Karoliny v Moravské Ostravě, kde probíhá další etapa zástavby. </w:t>
      </w:r>
      <w:r w:rsidR="00C27850">
        <w:rPr>
          <w:sz w:val="24"/>
        </w:rPr>
        <w:t>N</w:t>
      </w:r>
      <w:r w:rsidR="003E1FA0">
        <w:rPr>
          <w:sz w:val="24"/>
        </w:rPr>
        <w:t xml:space="preserve">ejvyšší cena </w:t>
      </w:r>
      <w:r w:rsidR="00C27850">
        <w:rPr>
          <w:sz w:val="24"/>
        </w:rPr>
        <w:t xml:space="preserve">převodu pozemku </w:t>
      </w:r>
      <w:r w:rsidR="003E1FA0">
        <w:rPr>
          <w:sz w:val="24"/>
        </w:rPr>
        <w:t>na m</w:t>
      </w:r>
      <w:r w:rsidR="003E1FA0">
        <w:rPr>
          <w:sz w:val="24"/>
          <w:vertAlign w:val="superscript"/>
        </w:rPr>
        <w:t>2</w:t>
      </w:r>
      <w:r w:rsidR="00C04776">
        <w:rPr>
          <w:sz w:val="24"/>
        </w:rPr>
        <w:t xml:space="preserve"> byla dosažena </w:t>
      </w:r>
      <w:r w:rsidR="003E1FA0">
        <w:rPr>
          <w:sz w:val="24"/>
        </w:rPr>
        <w:t xml:space="preserve">v historickém jádru </w:t>
      </w:r>
      <w:r w:rsidR="00C25EB6" w:rsidRPr="002E2D89">
        <w:rPr>
          <w:sz w:val="24"/>
        </w:rPr>
        <w:t xml:space="preserve">Moravské </w:t>
      </w:r>
      <w:r w:rsidR="00C25EB6">
        <w:rPr>
          <w:sz w:val="24"/>
        </w:rPr>
        <w:t xml:space="preserve">Ostravy </w:t>
      </w:r>
      <w:r w:rsidR="0092072C">
        <w:rPr>
          <w:sz w:val="24"/>
        </w:rPr>
        <w:t>při ul. </w:t>
      </w:r>
      <w:r w:rsidR="00BB3F18">
        <w:rPr>
          <w:sz w:val="24"/>
        </w:rPr>
        <w:t>Stodolní</w:t>
      </w:r>
      <w:r w:rsidR="00C27850">
        <w:rPr>
          <w:sz w:val="24"/>
        </w:rPr>
        <w:t xml:space="preserve"> (1</w:t>
      </w:r>
      <w:r w:rsidR="00BB3F18">
        <w:rPr>
          <w:sz w:val="24"/>
        </w:rPr>
        <w:t>6</w:t>
      </w:r>
      <w:r w:rsidR="00C27850">
        <w:rPr>
          <w:sz w:val="24"/>
        </w:rPr>
        <w:t> </w:t>
      </w:r>
      <w:r w:rsidR="00BB3F18">
        <w:rPr>
          <w:sz w:val="24"/>
        </w:rPr>
        <w:t>667</w:t>
      </w:r>
      <w:r w:rsidR="00C27850">
        <w:rPr>
          <w:sz w:val="24"/>
        </w:rPr>
        <w:t xml:space="preserve"> </w:t>
      </w:r>
      <w:r w:rsidR="00C27850" w:rsidRPr="002E2D89">
        <w:rPr>
          <w:sz w:val="24"/>
        </w:rPr>
        <w:t>Kč za m</w:t>
      </w:r>
      <w:r w:rsidR="00C27850" w:rsidRPr="002E2D89">
        <w:rPr>
          <w:sz w:val="24"/>
          <w:vertAlign w:val="superscript"/>
        </w:rPr>
        <w:t>2</w:t>
      </w:r>
      <w:r w:rsidR="00C27850" w:rsidRPr="002E2D89">
        <w:rPr>
          <w:sz w:val="24"/>
        </w:rPr>
        <w:t>)</w:t>
      </w:r>
      <w:r w:rsidR="00A7010E">
        <w:rPr>
          <w:sz w:val="24"/>
        </w:rPr>
        <w:t>, kde šlo o</w:t>
      </w:r>
      <w:r w:rsidR="0037160C">
        <w:rPr>
          <w:sz w:val="24"/>
        </w:rPr>
        <w:t> </w:t>
      </w:r>
      <w:r w:rsidR="00BB3F18">
        <w:rPr>
          <w:sz w:val="24"/>
        </w:rPr>
        <w:t>prodej proluky</w:t>
      </w:r>
      <w:r w:rsidR="00A7010E">
        <w:rPr>
          <w:sz w:val="24"/>
        </w:rPr>
        <w:t xml:space="preserve"> </w:t>
      </w:r>
      <w:r w:rsidR="00BB3F18">
        <w:rPr>
          <w:sz w:val="24"/>
        </w:rPr>
        <w:t xml:space="preserve">v </w:t>
      </w:r>
      <w:r w:rsidR="00A7010E">
        <w:rPr>
          <w:sz w:val="24"/>
        </w:rPr>
        <w:t xml:space="preserve">původní </w:t>
      </w:r>
      <w:r w:rsidR="00BB3F18">
        <w:rPr>
          <w:sz w:val="24"/>
        </w:rPr>
        <w:t xml:space="preserve">historické </w:t>
      </w:r>
      <w:r w:rsidR="00A7010E">
        <w:rPr>
          <w:sz w:val="24"/>
        </w:rPr>
        <w:t>zástavb</w:t>
      </w:r>
      <w:r w:rsidR="00BB3F18">
        <w:rPr>
          <w:sz w:val="24"/>
        </w:rPr>
        <w:t>ě</w:t>
      </w:r>
      <w:r w:rsidR="003E1FA0">
        <w:rPr>
          <w:sz w:val="24"/>
        </w:rPr>
        <w:t xml:space="preserve">.  </w:t>
      </w:r>
    </w:p>
    <w:p w14:paraId="29087E85" w14:textId="3F5B8021" w:rsidR="00360526" w:rsidRPr="00231ABC" w:rsidRDefault="00360526" w:rsidP="0044504D">
      <w:pPr>
        <w:spacing w:before="120"/>
        <w:ind w:firstLine="425"/>
        <w:jc w:val="both"/>
        <w:rPr>
          <w:sz w:val="24"/>
        </w:rPr>
      </w:pPr>
      <w:r w:rsidRPr="002E2D89">
        <w:rPr>
          <w:sz w:val="24"/>
        </w:rPr>
        <w:t>V kategorii pozemků pro rodinné bydlení byl</w:t>
      </w:r>
      <w:r w:rsidR="00A50CBB" w:rsidRPr="002E2D89">
        <w:rPr>
          <w:sz w:val="24"/>
        </w:rPr>
        <w:t>a</w:t>
      </w:r>
      <w:r w:rsidRPr="002E2D89">
        <w:rPr>
          <w:sz w:val="24"/>
        </w:rPr>
        <w:t xml:space="preserve"> nejvyšší cen</w:t>
      </w:r>
      <w:r w:rsidR="00A50CBB" w:rsidRPr="002E2D89">
        <w:rPr>
          <w:sz w:val="24"/>
        </w:rPr>
        <w:t>a</w:t>
      </w:r>
      <w:r w:rsidRPr="002E2D89">
        <w:rPr>
          <w:sz w:val="24"/>
        </w:rPr>
        <w:t xml:space="preserve"> </w:t>
      </w:r>
      <w:r w:rsidR="0075233F" w:rsidRPr="002E2D89">
        <w:rPr>
          <w:sz w:val="24"/>
        </w:rPr>
        <w:t>(</w:t>
      </w:r>
      <w:r w:rsidR="00A7010E">
        <w:rPr>
          <w:sz w:val="24"/>
        </w:rPr>
        <w:t>10</w:t>
      </w:r>
      <w:r w:rsidR="0092072C">
        <w:rPr>
          <w:sz w:val="24"/>
        </w:rPr>
        <w:t> </w:t>
      </w:r>
      <w:r w:rsidR="00A44DEB">
        <w:rPr>
          <w:sz w:val="24"/>
        </w:rPr>
        <w:t>638</w:t>
      </w:r>
      <w:r w:rsidR="0092072C">
        <w:rPr>
          <w:sz w:val="24"/>
        </w:rPr>
        <w:t xml:space="preserve"> </w:t>
      </w:r>
      <w:r w:rsidR="0075233F" w:rsidRPr="002E2D89">
        <w:rPr>
          <w:sz w:val="24"/>
        </w:rPr>
        <w:t>Kč za m</w:t>
      </w:r>
      <w:r w:rsidR="0075233F" w:rsidRPr="002E2D89">
        <w:rPr>
          <w:sz w:val="24"/>
          <w:vertAlign w:val="superscript"/>
        </w:rPr>
        <w:t>2</w:t>
      </w:r>
      <w:r w:rsidR="0075233F" w:rsidRPr="002E2D89">
        <w:rPr>
          <w:sz w:val="24"/>
        </w:rPr>
        <w:t xml:space="preserve">) </w:t>
      </w:r>
      <w:r w:rsidRPr="002E2D89">
        <w:rPr>
          <w:sz w:val="24"/>
        </w:rPr>
        <w:t>dosažen</w:t>
      </w:r>
      <w:r w:rsidR="00A50CBB" w:rsidRPr="002E2D89">
        <w:rPr>
          <w:sz w:val="24"/>
        </w:rPr>
        <w:t>a</w:t>
      </w:r>
      <w:r w:rsidRPr="002E2D89">
        <w:rPr>
          <w:sz w:val="24"/>
        </w:rPr>
        <w:t xml:space="preserve"> </w:t>
      </w:r>
      <w:r w:rsidR="00A50CBB" w:rsidRPr="002E2D89">
        <w:rPr>
          <w:sz w:val="24"/>
        </w:rPr>
        <w:t>v</w:t>
      </w:r>
      <w:r w:rsidR="00A7010E">
        <w:rPr>
          <w:sz w:val="24"/>
        </w:rPr>
        <w:t> okrajové části vnitřního města, kde šlo o dok</w:t>
      </w:r>
      <w:r w:rsidR="00A80284">
        <w:rPr>
          <w:sz w:val="24"/>
        </w:rPr>
        <w:t>o</w:t>
      </w:r>
      <w:r w:rsidR="00A7010E">
        <w:rPr>
          <w:sz w:val="24"/>
        </w:rPr>
        <w:t>up</w:t>
      </w:r>
      <w:r w:rsidR="00A80284">
        <w:rPr>
          <w:sz w:val="24"/>
        </w:rPr>
        <w:t>ení</w:t>
      </w:r>
      <w:r w:rsidR="00A7010E">
        <w:rPr>
          <w:sz w:val="24"/>
        </w:rPr>
        <w:t xml:space="preserve"> přilehlé plochy k rodinnému domu </w:t>
      </w:r>
      <w:r w:rsidR="00A14C19">
        <w:rPr>
          <w:sz w:val="24"/>
        </w:rPr>
        <w:t>a</w:t>
      </w:r>
      <w:r w:rsidR="006A2C6B">
        <w:rPr>
          <w:sz w:val="24"/>
        </w:rPr>
        <w:t> </w:t>
      </w:r>
      <w:r w:rsidR="00A14C19">
        <w:rPr>
          <w:sz w:val="24"/>
        </w:rPr>
        <w:t xml:space="preserve">v případě </w:t>
      </w:r>
      <w:r w:rsidR="00A80284">
        <w:rPr>
          <w:sz w:val="24"/>
        </w:rPr>
        <w:t xml:space="preserve">jednotlivých </w:t>
      </w:r>
      <w:r w:rsidR="00A14C19">
        <w:rPr>
          <w:sz w:val="24"/>
        </w:rPr>
        <w:t>pozemků připraven</w:t>
      </w:r>
      <w:r w:rsidR="00A80284">
        <w:rPr>
          <w:sz w:val="24"/>
        </w:rPr>
        <w:t>ých</w:t>
      </w:r>
      <w:r w:rsidR="00A14C19">
        <w:rPr>
          <w:sz w:val="24"/>
        </w:rPr>
        <w:t xml:space="preserve"> pro výstavbu rodinn</w:t>
      </w:r>
      <w:r w:rsidR="00A80284">
        <w:rPr>
          <w:sz w:val="24"/>
        </w:rPr>
        <w:t>ých domů</w:t>
      </w:r>
      <w:r w:rsidR="00A14C19">
        <w:rPr>
          <w:sz w:val="24"/>
        </w:rPr>
        <w:t xml:space="preserve"> byla dosažena nejvyšší cena </w:t>
      </w:r>
      <w:r w:rsidR="00A44DEB" w:rsidRPr="002E2D89">
        <w:rPr>
          <w:sz w:val="24"/>
        </w:rPr>
        <w:t>(</w:t>
      </w:r>
      <w:r w:rsidR="00A44DEB">
        <w:rPr>
          <w:sz w:val="24"/>
        </w:rPr>
        <w:t xml:space="preserve">9 354 </w:t>
      </w:r>
      <w:r w:rsidR="00A44DEB" w:rsidRPr="002E2D89">
        <w:rPr>
          <w:sz w:val="24"/>
        </w:rPr>
        <w:t>Kč za m</w:t>
      </w:r>
      <w:r w:rsidR="00A44DEB" w:rsidRPr="002E2D89">
        <w:rPr>
          <w:sz w:val="24"/>
          <w:vertAlign w:val="superscript"/>
        </w:rPr>
        <w:t>2</w:t>
      </w:r>
      <w:r w:rsidR="00A44DEB" w:rsidRPr="002E2D89">
        <w:rPr>
          <w:sz w:val="24"/>
        </w:rPr>
        <w:t xml:space="preserve">) </w:t>
      </w:r>
      <w:r w:rsidR="00A14C19">
        <w:rPr>
          <w:sz w:val="24"/>
        </w:rPr>
        <w:t xml:space="preserve">v </w:t>
      </w:r>
      <w:r w:rsidR="00A50CBB" w:rsidRPr="002E2D89">
        <w:rPr>
          <w:sz w:val="24"/>
        </w:rPr>
        <w:t xml:space="preserve">území </w:t>
      </w:r>
      <w:r w:rsidRPr="002E2D89">
        <w:rPr>
          <w:sz w:val="24"/>
        </w:rPr>
        <w:t xml:space="preserve">mimo </w:t>
      </w:r>
      <w:r w:rsidR="00A50CBB" w:rsidRPr="002E2D89">
        <w:rPr>
          <w:sz w:val="24"/>
        </w:rPr>
        <w:t>kompaktní</w:t>
      </w:r>
      <w:r w:rsidRPr="002E2D89">
        <w:rPr>
          <w:sz w:val="24"/>
        </w:rPr>
        <w:t xml:space="preserve"> město</w:t>
      </w:r>
      <w:r w:rsidR="00C6176B" w:rsidRPr="002E2D89">
        <w:rPr>
          <w:sz w:val="24"/>
        </w:rPr>
        <w:t xml:space="preserve"> (</w:t>
      </w:r>
      <w:proofErr w:type="gramStart"/>
      <w:r w:rsidR="00C6176B" w:rsidRPr="002E2D89">
        <w:rPr>
          <w:sz w:val="24"/>
        </w:rPr>
        <w:t>k.ú.</w:t>
      </w:r>
      <w:proofErr w:type="gramEnd"/>
      <w:r w:rsidR="00C6176B" w:rsidRPr="002E2D89">
        <w:rPr>
          <w:sz w:val="24"/>
        </w:rPr>
        <w:t> </w:t>
      </w:r>
      <w:r w:rsidR="00A44DEB">
        <w:rPr>
          <w:sz w:val="24"/>
        </w:rPr>
        <w:t xml:space="preserve">Stará </w:t>
      </w:r>
      <w:r w:rsidR="00A14C19">
        <w:rPr>
          <w:sz w:val="24"/>
        </w:rPr>
        <w:t>Bělá</w:t>
      </w:r>
      <w:r w:rsidR="00C6176B" w:rsidRPr="002E2D89">
        <w:rPr>
          <w:sz w:val="24"/>
        </w:rPr>
        <w:t>)</w:t>
      </w:r>
      <w:r w:rsidR="006462E7">
        <w:rPr>
          <w:sz w:val="24"/>
        </w:rPr>
        <w:t>,</w:t>
      </w:r>
      <w:r w:rsidRPr="002E2D89">
        <w:rPr>
          <w:sz w:val="24"/>
        </w:rPr>
        <w:t xml:space="preserve"> </w:t>
      </w:r>
      <w:r w:rsidR="002E2D89" w:rsidRPr="002E2D89">
        <w:rPr>
          <w:sz w:val="24"/>
        </w:rPr>
        <w:t xml:space="preserve">kde </w:t>
      </w:r>
      <w:r w:rsidR="0044504D">
        <w:rPr>
          <w:sz w:val="24"/>
        </w:rPr>
        <w:t>je sledován</w:t>
      </w:r>
      <w:r w:rsidR="0092072C">
        <w:rPr>
          <w:sz w:val="24"/>
        </w:rPr>
        <w:t xml:space="preserve"> </w:t>
      </w:r>
      <w:r w:rsidR="00095F3F">
        <w:rPr>
          <w:sz w:val="24"/>
        </w:rPr>
        <w:t xml:space="preserve">trvalý </w:t>
      </w:r>
      <w:r w:rsidR="0092072C">
        <w:rPr>
          <w:sz w:val="24"/>
        </w:rPr>
        <w:t>převis</w:t>
      </w:r>
      <w:r w:rsidR="002E2D89" w:rsidRPr="002E2D89">
        <w:rPr>
          <w:sz w:val="24"/>
        </w:rPr>
        <w:t xml:space="preserve"> zájm</w:t>
      </w:r>
      <w:r w:rsidR="00D16D38">
        <w:rPr>
          <w:sz w:val="24"/>
        </w:rPr>
        <w:t>u</w:t>
      </w:r>
      <w:r w:rsidR="002E2D89" w:rsidRPr="002E2D89">
        <w:rPr>
          <w:sz w:val="24"/>
        </w:rPr>
        <w:t xml:space="preserve"> o</w:t>
      </w:r>
      <w:r w:rsidR="0044504D">
        <w:rPr>
          <w:sz w:val="24"/>
        </w:rPr>
        <w:t> </w:t>
      </w:r>
      <w:r w:rsidR="00C25EB6">
        <w:rPr>
          <w:sz w:val="24"/>
        </w:rPr>
        <w:t xml:space="preserve">pozemky </w:t>
      </w:r>
      <w:r w:rsidR="006462E7">
        <w:rPr>
          <w:sz w:val="24"/>
        </w:rPr>
        <w:t xml:space="preserve">především s ohledem </w:t>
      </w:r>
      <w:r w:rsidR="00095F3F">
        <w:rPr>
          <w:sz w:val="24"/>
        </w:rPr>
        <w:t>na výraznou atraktivitu</w:t>
      </w:r>
      <w:r w:rsidR="006462E7">
        <w:rPr>
          <w:sz w:val="24"/>
        </w:rPr>
        <w:t xml:space="preserve"> jihozápadní</w:t>
      </w:r>
      <w:r w:rsidR="00095F3F">
        <w:rPr>
          <w:sz w:val="24"/>
        </w:rPr>
        <w:t>ho</w:t>
      </w:r>
      <w:r w:rsidR="006462E7">
        <w:rPr>
          <w:sz w:val="24"/>
        </w:rPr>
        <w:t xml:space="preserve"> okraj</w:t>
      </w:r>
      <w:r w:rsidR="00095F3F">
        <w:rPr>
          <w:sz w:val="24"/>
        </w:rPr>
        <w:t>e</w:t>
      </w:r>
      <w:r w:rsidR="006462E7">
        <w:rPr>
          <w:sz w:val="24"/>
        </w:rPr>
        <w:t xml:space="preserve"> Ostravy</w:t>
      </w:r>
      <w:r w:rsidR="00CC087E">
        <w:rPr>
          <w:sz w:val="24"/>
        </w:rPr>
        <w:t>.</w:t>
      </w:r>
    </w:p>
    <w:p w14:paraId="2E4F6B02" w14:textId="77777777" w:rsidR="005B7383" w:rsidRDefault="005B7383" w:rsidP="00360526">
      <w:pPr>
        <w:pStyle w:val="Nadpis2"/>
        <w:numPr>
          <w:ilvl w:val="0"/>
          <w:numId w:val="0"/>
        </w:numPr>
        <w:tabs>
          <w:tab w:val="clear" w:pos="576"/>
        </w:tabs>
      </w:pPr>
    </w:p>
    <w:p w14:paraId="5120346E" w14:textId="27B789F1" w:rsidR="00360526" w:rsidRPr="00231ABC" w:rsidRDefault="00360526" w:rsidP="00360526">
      <w:pPr>
        <w:pStyle w:val="Nadpis2"/>
        <w:numPr>
          <w:ilvl w:val="0"/>
          <w:numId w:val="0"/>
        </w:numPr>
        <w:tabs>
          <w:tab w:val="clear" w:pos="576"/>
        </w:tabs>
      </w:pPr>
      <w:r w:rsidRPr="00231ABC">
        <w:t>Pozemky pro bytovou výstavbu</w:t>
      </w:r>
    </w:p>
    <w:p w14:paraId="2710C53A" w14:textId="591B9749" w:rsidR="002357C0" w:rsidRDefault="00A37DDF" w:rsidP="00C12151">
      <w:pPr>
        <w:spacing w:before="120"/>
        <w:ind w:firstLine="425"/>
        <w:jc w:val="both"/>
        <w:rPr>
          <w:sz w:val="24"/>
        </w:rPr>
      </w:pPr>
      <w:r w:rsidRPr="003E0261">
        <w:rPr>
          <w:sz w:val="24"/>
        </w:rPr>
        <w:t>U pozemků pro hromadné bydlení došlo k</w:t>
      </w:r>
      <w:r w:rsidR="008C68A1" w:rsidRPr="003E0261">
        <w:rPr>
          <w:sz w:val="24"/>
        </w:rPr>
        <w:t xml:space="preserve"> nárůstu </w:t>
      </w:r>
      <w:r w:rsidRPr="003E0261">
        <w:rPr>
          <w:sz w:val="24"/>
        </w:rPr>
        <w:t xml:space="preserve">průměrné ceny </w:t>
      </w:r>
      <w:r w:rsidR="002357C0">
        <w:rPr>
          <w:sz w:val="24"/>
        </w:rPr>
        <w:t xml:space="preserve">napříč celým územím města, nejvíce se průměrná cena zvedla v centrální části </w:t>
      </w:r>
      <w:r w:rsidR="00BD5F38">
        <w:rPr>
          <w:sz w:val="24"/>
        </w:rPr>
        <w:t>města v oblasti vnitřního města</w:t>
      </w:r>
      <w:r w:rsidR="002357C0">
        <w:rPr>
          <w:sz w:val="24"/>
        </w:rPr>
        <w:t xml:space="preserve"> s převažující funkcí bydlení</w:t>
      </w:r>
      <w:r w:rsidR="002357C0" w:rsidRPr="003E0261">
        <w:rPr>
          <w:sz w:val="24"/>
        </w:rPr>
        <w:t>, kde průměrná cena vzrostla z</w:t>
      </w:r>
      <w:r w:rsidR="00BD5F38">
        <w:rPr>
          <w:sz w:val="24"/>
        </w:rPr>
        <w:t> </w:t>
      </w:r>
      <w:r w:rsidR="002357C0">
        <w:rPr>
          <w:sz w:val="24"/>
        </w:rPr>
        <w:t>1</w:t>
      </w:r>
      <w:r w:rsidR="00BD5F38">
        <w:rPr>
          <w:sz w:val="24"/>
        </w:rPr>
        <w:t> </w:t>
      </w:r>
      <w:r w:rsidR="002357C0">
        <w:rPr>
          <w:sz w:val="24"/>
        </w:rPr>
        <w:t xml:space="preserve">480 </w:t>
      </w:r>
      <w:r w:rsidR="002357C0" w:rsidRPr="003E0261">
        <w:rPr>
          <w:sz w:val="24"/>
        </w:rPr>
        <w:t xml:space="preserve">na </w:t>
      </w:r>
      <w:r w:rsidR="002357C0">
        <w:rPr>
          <w:sz w:val="24"/>
        </w:rPr>
        <w:t xml:space="preserve">2 441 </w:t>
      </w:r>
      <w:r w:rsidR="002357C0" w:rsidRPr="003E0261">
        <w:rPr>
          <w:sz w:val="24"/>
        </w:rPr>
        <w:t>Kč za m</w:t>
      </w:r>
      <w:r w:rsidR="002357C0" w:rsidRPr="003E0261">
        <w:rPr>
          <w:sz w:val="24"/>
          <w:vertAlign w:val="superscript"/>
        </w:rPr>
        <w:t>2</w:t>
      </w:r>
      <w:r w:rsidR="00AE2E7E">
        <w:rPr>
          <w:sz w:val="24"/>
        </w:rPr>
        <w:t xml:space="preserve"> a</w:t>
      </w:r>
      <w:r w:rsidR="00BD5F38">
        <w:rPr>
          <w:sz w:val="24"/>
        </w:rPr>
        <w:t> </w:t>
      </w:r>
      <w:r w:rsidR="00AE2E7E">
        <w:rPr>
          <w:sz w:val="24"/>
        </w:rPr>
        <w:t xml:space="preserve">v okrajových částech vnitřního města </w:t>
      </w:r>
      <w:r w:rsidR="00AE2E7E" w:rsidRPr="003E0261">
        <w:rPr>
          <w:sz w:val="24"/>
        </w:rPr>
        <w:t>z</w:t>
      </w:r>
      <w:r w:rsidR="00BD5F38">
        <w:rPr>
          <w:sz w:val="24"/>
        </w:rPr>
        <w:t> </w:t>
      </w:r>
      <w:r w:rsidR="00AE2E7E">
        <w:rPr>
          <w:sz w:val="24"/>
        </w:rPr>
        <w:t>1</w:t>
      </w:r>
      <w:r w:rsidR="00BD5F38">
        <w:rPr>
          <w:sz w:val="24"/>
        </w:rPr>
        <w:t> </w:t>
      </w:r>
      <w:r w:rsidR="00AE2E7E">
        <w:rPr>
          <w:sz w:val="24"/>
        </w:rPr>
        <w:t xml:space="preserve">098 </w:t>
      </w:r>
      <w:r w:rsidR="00AE2E7E" w:rsidRPr="003E0261">
        <w:rPr>
          <w:sz w:val="24"/>
        </w:rPr>
        <w:t xml:space="preserve">na </w:t>
      </w:r>
      <w:r w:rsidR="00AE2E7E">
        <w:rPr>
          <w:sz w:val="24"/>
        </w:rPr>
        <w:t>1</w:t>
      </w:r>
      <w:r w:rsidR="00BD5F38">
        <w:rPr>
          <w:sz w:val="24"/>
        </w:rPr>
        <w:t> </w:t>
      </w:r>
      <w:r w:rsidR="00AE2E7E">
        <w:rPr>
          <w:sz w:val="24"/>
        </w:rPr>
        <w:t xml:space="preserve">252 </w:t>
      </w:r>
      <w:r w:rsidR="00AE2E7E" w:rsidRPr="003E0261">
        <w:rPr>
          <w:sz w:val="24"/>
        </w:rPr>
        <w:t>Kč za m</w:t>
      </w:r>
      <w:r w:rsidR="00AE2E7E" w:rsidRPr="003E0261">
        <w:rPr>
          <w:sz w:val="24"/>
          <w:vertAlign w:val="superscript"/>
        </w:rPr>
        <w:t>2</w:t>
      </w:r>
      <w:r w:rsidR="00AE2E7E">
        <w:rPr>
          <w:sz w:val="24"/>
        </w:rPr>
        <w:t xml:space="preserve">, a dále také </w:t>
      </w:r>
      <w:r w:rsidR="002357C0">
        <w:rPr>
          <w:sz w:val="24"/>
        </w:rPr>
        <w:t xml:space="preserve">v průmyslových částech </w:t>
      </w:r>
      <w:r w:rsidR="002357C0" w:rsidRPr="003E0261">
        <w:rPr>
          <w:sz w:val="24"/>
        </w:rPr>
        <w:t>z</w:t>
      </w:r>
      <w:r w:rsidR="002357C0">
        <w:rPr>
          <w:sz w:val="24"/>
        </w:rPr>
        <w:t xml:space="preserve"> 807 </w:t>
      </w:r>
      <w:r w:rsidR="002357C0" w:rsidRPr="003E0261">
        <w:rPr>
          <w:sz w:val="24"/>
        </w:rPr>
        <w:t xml:space="preserve">na </w:t>
      </w:r>
      <w:r w:rsidR="00AE2E7E">
        <w:rPr>
          <w:sz w:val="24"/>
        </w:rPr>
        <w:t>1</w:t>
      </w:r>
      <w:r w:rsidR="002357C0">
        <w:rPr>
          <w:sz w:val="24"/>
        </w:rPr>
        <w:t> </w:t>
      </w:r>
      <w:r w:rsidR="00AE2E7E">
        <w:rPr>
          <w:sz w:val="24"/>
        </w:rPr>
        <w:t>728</w:t>
      </w:r>
      <w:r w:rsidR="002357C0">
        <w:rPr>
          <w:sz w:val="24"/>
        </w:rPr>
        <w:t xml:space="preserve"> </w:t>
      </w:r>
      <w:r w:rsidR="002357C0" w:rsidRPr="003E0261">
        <w:rPr>
          <w:sz w:val="24"/>
        </w:rPr>
        <w:t>Kč za m</w:t>
      </w:r>
      <w:r w:rsidR="002357C0" w:rsidRPr="003E0261">
        <w:rPr>
          <w:sz w:val="24"/>
          <w:vertAlign w:val="superscript"/>
        </w:rPr>
        <w:t>2</w:t>
      </w:r>
      <w:r w:rsidR="00AE2E7E">
        <w:rPr>
          <w:sz w:val="24"/>
        </w:rPr>
        <w:t xml:space="preserve">.  </w:t>
      </w:r>
    </w:p>
    <w:p w14:paraId="2CB0EF36" w14:textId="27E327F8" w:rsidR="008F79EE" w:rsidRDefault="00C12151" w:rsidP="00C12151">
      <w:pPr>
        <w:spacing w:before="120"/>
        <w:ind w:firstLine="425"/>
        <w:jc w:val="both"/>
        <w:rPr>
          <w:sz w:val="24"/>
        </w:rPr>
      </w:pPr>
      <w:r>
        <w:rPr>
          <w:sz w:val="24"/>
        </w:rPr>
        <w:t>N</w:t>
      </w:r>
      <w:r w:rsidR="00474EC1" w:rsidRPr="003E0261">
        <w:rPr>
          <w:sz w:val="24"/>
        </w:rPr>
        <w:t xml:space="preserve">árůst </w:t>
      </w:r>
      <w:r w:rsidR="0093423E">
        <w:rPr>
          <w:sz w:val="24"/>
        </w:rPr>
        <w:t xml:space="preserve">objemu provedených převodů </w:t>
      </w:r>
      <w:r>
        <w:rPr>
          <w:sz w:val="24"/>
        </w:rPr>
        <w:t xml:space="preserve">byl sledován </w:t>
      </w:r>
      <w:r w:rsidR="0093423E">
        <w:rPr>
          <w:sz w:val="24"/>
        </w:rPr>
        <w:t xml:space="preserve">taktéž ve všech částech města, kde především ve vnitřním městě vzrostly objemy převodů </w:t>
      </w:r>
      <w:r w:rsidR="007825F1">
        <w:rPr>
          <w:sz w:val="24"/>
        </w:rPr>
        <w:t xml:space="preserve">na 103 mil. Kč </w:t>
      </w:r>
      <w:r w:rsidR="00FF03D7">
        <w:rPr>
          <w:sz w:val="24"/>
        </w:rPr>
        <w:t>(</w:t>
      </w:r>
      <w:r w:rsidR="007825F1">
        <w:rPr>
          <w:sz w:val="24"/>
        </w:rPr>
        <w:t>z 39 mil. Kč</w:t>
      </w:r>
      <w:r w:rsidR="00FF03D7">
        <w:rPr>
          <w:sz w:val="24"/>
        </w:rPr>
        <w:t>)</w:t>
      </w:r>
      <w:r w:rsidR="007825F1">
        <w:rPr>
          <w:sz w:val="24"/>
        </w:rPr>
        <w:t xml:space="preserve"> uskutečněných v loňském roce</w:t>
      </w:r>
      <w:r w:rsidR="00F02C97">
        <w:rPr>
          <w:sz w:val="24"/>
        </w:rPr>
        <w:t>,</w:t>
      </w:r>
      <w:r w:rsidR="007825F1">
        <w:rPr>
          <w:sz w:val="24"/>
        </w:rPr>
        <w:t xml:space="preserve"> a</w:t>
      </w:r>
      <w:r w:rsidR="00BD5F38">
        <w:rPr>
          <w:sz w:val="24"/>
        </w:rPr>
        <w:t>le také</w:t>
      </w:r>
      <w:r w:rsidR="007825F1">
        <w:rPr>
          <w:sz w:val="24"/>
        </w:rPr>
        <w:t xml:space="preserve"> v okrajových částech</w:t>
      </w:r>
      <w:r w:rsidR="00FF03D7">
        <w:rPr>
          <w:sz w:val="24"/>
        </w:rPr>
        <w:t>, kde se zvedly</w:t>
      </w:r>
      <w:r w:rsidR="007825F1">
        <w:rPr>
          <w:sz w:val="24"/>
        </w:rPr>
        <w:t xml:space="preserve"> na 61 mil. Kč </w:t>
      </w:r>
      <w:r w:rsidR="00FF03D7">
        <w:rPr>
          <w:sz w:val="24"/>
        </w:rPr>
        <w:t>(</w:t>
      </w:r>
      <w:r w:rsidR="007825F1">
        <w:rPr>
          <w:sz w:val="24"/>
        </w:rPr>
        <w:t>z 26 mil.</w:t>
      </w:r>
      <w:r w:rsidR="00FF03D7">
        <w:rPr>
          <w:sz w:val="24"/>
        </w:rPr>
        <w:t> </w:t>
      </w:r>
      <w:r w:rsidR="007825F1">
        <w:rPr>
          <w:sz w:val="24"/>
        </w:rPr>
        <w:t>Kč</w:t>
      </w:r>
      <w:r w:rsidR="00FF03D7">
        <w:rPr>
          <w:sz w:val="24"/>
        </w:rPr>
        <w:t>)</w:t>
      </w:r>
      <w:r w:rsidR="00F02C97">
        <w:rPr>
          <w:sz w:val="24"/>
        </w:rPr>
        <w:t xml:space="preserve">. Důvodem navýšení objemu transakcí byl výrazný nárůst poptávky, kde především </w:t>
      </w:r>
      <w:r w:rsidR="0093423E">
        <w:rPr>
          <w:sz w:val="24"/>
        </w:rPr>
        <w:t>v</w:t>
      </w:r>
      <w:r w:rsidR="00F02C97">
        <w:rPr>
          <w:sz w:val="24"/>
        </w:rPr>
        <w:t xml:space="preserve"> městských </w:t>
      </w:r>
      <w:r w:rsidR="0093423E">
        <w:rPr>
          <w:sz w:val="24"/>
        </w:rPr>
        <w:t>obvodech Moravsk</w:t>
      </w:r>
      <w:r w:rsidR="00F02C97">
        <w:rPr>
          <w:sz w:val="24"/>
        </w:rPr>
        <w:t>á</w:t>
      </w:r>
      <w:r w:rsidR="0093423E">
        <w:rPr>
          <w:sz w:val="24"/>
        </w:rPr>
        <w:t xml:space="preserve"> a Slezsk</w:t>
      </w:r>
      <w:r w:rsidR="00F02C97">
        <w:rPr>
          <w:sz w:val="24"/>
        </w:rPr>
        <w:t>á</w:t>
      </w:r>
      <w:r w:rsidR="0093423E">
        <w:rPr>
          <w:sz w:val="24"/>
        </w:rPr>
        <w:t xml:space="preserve"> Ostrav</w:t>
      </w:r>
      <w:r w:rsidR="00F02C97">
        <w:rPr>
          <w:sz w:val="24"/>
        </w:rPr>
        <w:t>a</w:t>
      </w:r>
      <w:r w:rsidR="0093423E">
        <w:rPr>
          <w:sz w:val="24"/>
        </w:rPr>
        <w:t xml:space="preserve"> proběhlo několik výrazných převodů, z hlediska celkové dosažené ceny</w:t>
      </w:r>
      <w:r w:rsidR="00F02C97">
        <w:rPr>
          <w:sz w:val="24"/>
        </w:rPr>
        <w:t>. Jedná se o nové projekty pro bytovou zástavbu v centru města v Moravské Ostravě v prostoru proluky historické zástavby vedle Masarykova náměstí, kde je realizován projekt pod názvem Nové Lauby, v rámci kterého byl uskutečněn obchod v celkovém objemu 30 mil. Kč s jednotkovou cenou 9 413 Kč za m</w:t>
      </w:r>
      <w:r w:rsidR="00844308">
        <w:rPr>
          <w:sz w:val="24"/>
          <w:vertAlign w:val="superscript"/>
        </w:rPr>
        <w:t>2</w:t>
      </w:r>
      <w:r w:rsidR="00844308">
        <w:rPr>
          <w:sz w:val="24"/>
        </w:rPr>
        <w:t>.</w:t>
      </w:r>
      <w:r w:rsidR="00F02C97">
        <w:rPr>
          <w:sz w:val="24"/>
          <w:vertAlign w:val="superscript"/>
        </w:rPr>
        <w:t xml:space="preserve"> </w:t>
      </w:r>
      <w:r w:rsidR="00F02C97">
        <w:rPr>
          <w:sz w:val="24"/>
        </w:rPr>
        <w:t>Další významný obchod v</w:t>
      </w:r>
      <w:r w:rsidR="00C566A4">
        <w:rPr>
          <w:sz w:val="24"/>
        </w:rPr>
        <w:t> kategorii pozemků pro hromadné bydlení proběhl ve Slezské Ostravě na ul. Hladnovské na nevyužitém území v  městské části Muglinov, kde celková cena dosáhla na částku 46 mil. Kč s jednotkovou cenou 1 235 Kč za m</w:t>
      </w:r>
      <w:r w:rsidR="00C566A4">
        <w:rPr>
          <w:sz w:val="24"/>
          <w:vertAlign w:val="superscript"/>
        </w:rPr>
        <w:t>2</w:t>
      </w:r>
      <w:r w:rsidR="00C566A4">
        <w:rPr>
          <w:sz w:val="24"/>
        </w:rPr>
        <w:t xml:space="preserve">. Zde je pak připravován rozsáhlý projekt pro hromadné bydlení v kombinaci </w:t>
      </w:r>
      <w:r w:rsidR="00FF03D7">
        <w:rPr>
          <w:sz w:val="24"/>
        </w:rPr>
        <w:t>s</w:t>
      </w:r>
      <w:r w:rsidR="00C566A4">
        <w:rPr>
          <w:sz w:val="24"/>
        </w:rPr>
        <w:t xml:space="preserve"> bydlením individuálním pod názvem Ostravské zahrady.</w:t>
      </w:r>
      <w:r w:rsidR="00CB0B1B">
        <w:rPr>
          <w:sz w:val="24"/>
        </w:rPr>
        <w:t xml:space="preserve"> </w:t>
      </w:r>
      <w:r w:rsidR="008F79EE">
        <w:rPr>
          <w:sz w:val="24"/>
        </w:rPr>
        <w:t xml:space="preserve">V ostatních částech města </w:t>
      </w:r>
      <w:r w:rsidR="00CB0B1B">
        <w:rPr>
          <w:sz w:val="24"/>
        </w:rPr>
        <w:t>bez převažující funkce pro hromadné bydlení vzrostly oba sledované ukazatele také, a to jak průměrná</w:t>
      </w:r>
      <w:r w:rsidR="008F79EE">
        <w:rPr>
          <w:sz w:val="24"/>
        </w:rPr>
        <w:t xml:space="preserve"> cena, tak objem převodů</w:t>
      </w:r>
      <w:r w:rsidR="00D52E86">
        <w:rPr>
          <w:sz w:val="24"/>
        </w:rPr>
        <w:t xml:space="preserve">. </w:t>
      </w:r>
    </w:p>
    <w:p w14:paraId="53E7EAC3" w14:textId="207CD46A" w:rsidR="00B5378B" w:rsidRDefault="00D52E86" w:rsidP="00A37DDF">
      <w:pPr>
        <w:spacing w:before="120"/>
        <w:ind w:firstLine="425"/>
        <w:jc w:val="both"/>
        <w:rPr>
          <w:sz w:val="24"/>
        </w:rPr>
      </w:pPr>
      <w:r>
        <w:rPr>
          <w:sz w:val="24"/>
        </w:rPr>
        <w:t xml:space="preserve">Výše uvedené skutečnosti pak odpovídají trendu na </w:t>
      </w:r>
      <w:r w:rsidR="000033D8" w:rsidRPr="00A3209E">
        <w:rPr>
          <w:sz w:val="24"/>
        </w:rPr>
        <w:t xml:space="preserve">zvýšení počtu </w:t>
      </w:r>
      <w:r w:rsidR="000033D8">
        <w:rPr>
          <w:sz w:val="24"/>
        </w:rPr>
        <w:t xml:space="preserve">rezidentů </w:t>
      </w:r>
      <w:r w:rsidR="00861B26">
        <w:rPr>
          <w:sz w:val="24"/>
        </w:rPr>
        <w:t xml:space="preserve">s cílem </w:t>
      </w:r>
      <w:r w:rsidR="000033D8" w:rsidRPr="00A3209E">
        <w:rPr>
          <w:sz w:val="24"/>
        </w:rPr>
        <w:t>oživení centra města</w:t>
      </w:r>
      <w:r>
        <w:rPr>
          <w:sz w:val="24"/>
        </w:rPr>
        <w:t xml:space="preserve"> </w:t>
      </w:r>
      <w:r w:rsidR="00861B26">
        <w:rPr>
          <w:sz w:val="24"/>
        </w:rPr>
        <w:t xml:space="preserve">a v rámci této iniciativy </w:t>
      </w:r>
      <w:r w:rsidR="000033D8">
        <w:rPr>
          <w:sz w:val="24"/>
        </w:rPr>
        <w:t xml:space="preserve">jsou </w:t>
      </w:r>
      <w:r w:rsidR="000033D8" w:rsidRPr="00A3209E">
        <w:rPr>
          <w:sz w:val="24"/>
        </w:rPr>
        <w:t>připravován</w:t>
      </w:r>
      <w:r w:rsidR="000033D8">
        <w:rPr>
          <w:sz w:val="24"/>
        </w:rPr>
        <w:t xml:space="preserve">y </w:t>
      </w:r>
      <w:r w:rsidR="000033D8" w:rsidRPr="00A3209E">
        <w:rPr>
          <w:sz w:val="24"/>
        </w:rPr>
        <w:t xml:space="preserve">další lokality pro zástavbu. </w:t>
      </w:r>
      <w:r>
        <w:rPr>
          <w:sz w:val="24"/>
        </w:rPr>
        <w:t>A</w:t>
      </w:r>
      <w:r w:rsidR="000033D8">
        <w:rPr>
          <w:sz w:val="24"/>
        </w:rPr>
        <w:t>ktuáln</w:t>
      </w:r>
      <w:r>
        <w:rPr>
          <w:sz w:val="24"/>
        </w:rPr>
        <w:t>ě</w:t>
      </w:r>
      <w:r w:rsidR="000033D8">
        <w:rPr>
          <w:sz w:val="24"/>
        </w:rPr>
        <w:t xml:space="preserve"> </w:t>
      </w:r>
      <w:r>
        <w:rPr>
          <w:sz w:val="24"/>
        </w:rPr>
        <w:t xml:space="preserve">realizovanými </w:t>
      </w:r>
      <w:r w:rsidR="000033D8">
        <w:rPr>
          <w:sz w:val="24"/>
        </w:rPr>
        <w:t>projekt</w:t>
      </w:r>
      <w:r>
        <w:rPr>
          <w:sz w:val="24"/>
        </w:rPr>
        <w:t>y</w:t>
      </w:r>
      <w:r w:rsidR="000033D8">
        <w:rPr>
          <w:sz w:val="24"/>
        </w:rPr>
        <w:t xml:space="preserve"> v rámci centrální části města j</w:t>
      </w:r>
      <w:r w:rsidR="00BD5F38">
        <w:rPr>
          <w:sz w:val="24"/>
        </w:rPr>
        <w:t>sou</w:t>
      </w:r>
      <w:r w:rsidR="000033D8">
        <w:rPr>
          <w:sz w:val="24"/>
        </w:rPr>
        <w:t xml:space="preserve"> rozšiřující se zástavba </w:t>
      </w:r>
      <w:r w:rsidR="003E0261" w:rsidRPr="003E0261">
        <w:rPr>
          <w:sz w:val="24"/>
        </w:rPr>
        <w:t>bytových domů v rozvojovém území Nové Karoliny v</w:t>
      </w:r>
      <w:r w:rsidR="00FF03D7">
        <w:rPr>
          <w:sz w:val="24"/>
        </w:rPr>
        <w:t> Moravské Ostravě</w:t>
      </w:r>
      <w:r w:rsidR="003E0261" w:rsidRPr="003E0261">
        <w:rPr>
          <w:sz w:val="24"/>
        </w:rPr>
        <w:t>, kde je zájem o</w:t>
      </w:r>
      <w:r w:rsidR="00BD5F38">
        <w:rPr>
          <w:sz w:val="24"/>
        </w:rPr>
        <w:t> </w:t>
      </w:r>
      <w:r w:rsidR="003E0261" w:rsidRPr="003E0261">
        <w:rPr>
          <w:sz w:val="24"/>
        </w:rPr>
        <w:t>atraktivní moderní bydlení se zajištěným parkováním a</w:t>
      </w:r>
      <w:r w:rsidR="00A07FC1">
        <w:rPr>
          <w:sz w:val="24"/>
        </w:rPr>
        <w:t> </w:t>
      </w:r>
      <w:r w:rsidR="003E0261" w:rsidRPr="003E0261">
        <w:rPr>
          <w:sz w:val="24"/>
        </w:rPr>
        <w:t>dostupnost</w:t>
      </w:r>
      <w:r>
        <w:rPr>
          <w:sz w:val="24"/>
        </w:rPr>
        <w:t>í občanské vybavenosti v</w:t>
      </w:r>
      <w:r w:rsidR="00BD5F38">
        <w:rPr>
          <w:sz w:val="24"/>
        </w:rPr>
        <w:t> </w:t>
      </w:r>
      <w:r>
        <w:rPr>
          <w:sz w:val="24"/>
        </w:rPr>
        <w:t>místě</w:t>
      </w:r>
      <w:r w:rsidR="00BD5F38">
        <w:rPr>
          <w:sz w:val="24"/>
        </w:rPr>
        <w:t>,</w:t>
      </w:r>
      <w:r>
        <w:rPr>
          <w:sz w:val="24"/>
        </w:rPr>
        <w:t xml:space="preserve"> a dále již zmíněný nový projekt v historickém jádru v prostoru ul. Velká, Pivovarská a</w:t>
      </w:r>
      <w:r w:rsidR="00BD5F38">
        <w:rPr>
          <w:sz w:val="24"/>
        </w:rPr>
        <w:t> </w:t>
      </w:r>
      <w:r>
        <w:rPr>
          <w:sz w:val="24"/>
        </w:rPr>
        <w:t>Muzejní vedle staré Radnice.</w:t>
      </w:r>
    </w:p>
    <w:p w14:paraId="03263055" w14:textId="3FC7FA4E" w:rsidR="001E6DA9" w:rsidRPr="00231000" w:rsidRDefault="000049FC" w:rsidP="008443AD">
      <w:pPr>
        <w:spacing w:before="120"/>
        <w:ind w:firstLine="425"/>
        <w:jc w:val="both"/>
        <w:rPr>
          <w:sz w:val="24"/>
        </w:rPr>
      </w:pPr>
      <w:r w:rsidRPr="00E2352C">
        <w:rPr>
          <w:sz w:val="24"/>
        </w:rPr>
        <w:t xml:space="preserve">Z hlediska absolutní hodnoty transakce v rámci města byl </w:t>
      </w:r>
      <w:r w:rsidR="00ED44A6" w:rsidRPr="00E2352C">
        <w:rPr>
          <w:sz w:val="24"/>
        </w:rPr>
        <w:t xml:space="preserve">nejvýznamnější obchod </w:t>
      </w:r>
      <w:r w:rsidR="00422CF2">
        <w:rPr>
          <w:sz w:val="24"/>
        </w:rPr>
        <w:t xml:space="preserve">v oblasti </w:t>
      </w:r>
      <w:r w:rsidR="00BC17A0">
        <w:rPr>
          <w:sz w:val="24"/>
        </w:rPr>
        <w:t xml:space="preserve">hromadného </w:t>
      </w:r>
      <w:r w:rsidR="00422CF2">
        <w:rPr>
          <w:sz w:val="24"/>
        </w:rPr>
        <w:t xml:space="preserve">bydlení </w:t>
      </w:r>
      <w:r w:rsidRPr="00E2352C">
        <w:rPr>
          <w:sz w:val="24"/>
        </w:rPr>
        <w:t xml:space="preserve">uskutečněn </w:t>
      </w:r>
      <w:r w:rsidR="003E0261" w:rsidRPr="00E2352C">
        <w:rPr>
          <w:sz w:val="24"/>
        </w:rPr>
        <w:t xml:space="preserve">prodejem pozemku </w:t>
      </w:r>
      <w:r w:rsidR="00D50737">
        <w:rPr>
          <w:sz w:val="24"/>
        </w:rPr>
        <w:t>ve Slezské Ostravě</w:t>
      </w:r>
      <w:r w:rsidRPr="00E2352C">
        <w:rPr>
          <w:sz w:val="24"/>
        </w:rPr>
        <w:t xml:space="preserve">, kde celková kupní cena dosáhla </w:t>
      </w:r>
      <w:r w:rsidR="00D52E86">
        <w:rPr>
          <w:sz w:val="24"/>
        </w:rPr>
        <w:t>zmíněných 46</w:t>
      </w:r>
      <w:r w:rsidRPr="00E2352C">
        <w:rPr>
          <w:sz w:val="24"/>
        </w:rPr>
        <w:t> mil. Kč</w:t>
      </w:r>
      <w:r w:rsidR="00904F08">
        <w:rPr>
          <w:sz w:val="24"/>
        </w:rPr>
        <w:t xml:space="preserve"> při ploše </w:t>
      </w:r>
      <w:r w:rsidR="00A5705C">
        <w:rPr>
          <w:sz w:val="24"/>
        </w:rPr>
        <w:t>37,5 tis.</w:t>
      </w:r>
      <w:r w:rsidR="00BD5F38">
        <w:rPr>
          <w:sz w:val="24"/>
        </w:rPr>
        <w:t> </w:t>
      </w:r>
      <w:r w:rsidR="00904F08">
        <w:rPr>
          <w:sz w:val="24"/>
        </w:rPr>
        <w:t>m</w:t>
      </w:r>
      <w:r w:rsidR="00904F08" w:rsidRPr="009011F4">
        <w:rPr>
          <w:sz w:val="24"/>
          <w:vertAlign w:val="superscript"/>
        </w:rPr>
        <w:t>2</w:t>
      </w:r>
      <w:r w:rsidRPr="00E2352C">
        <w:rPr>
          <w:sz w:val="24"/>
        </w:rPr>
        <w:t>. Jednotkov</w:t>
      </w:r>
      <w:r w:rsidR="00E2352C" w:rsidRPr="00E2352C">
        <w:rPr>
          <w:sz w:val="24"/>
        </w:rPr>
        <w:t>á</w:t>
      </w:r>
      <w:r w:rsidRPr="00E2352C">
        <w:rPr>
          <w:sz w:val="24"/>
        </w:rPr>
        <w:t xml:space="preserve"> cen</w:t>
      </w:r>
      <w:r w:rsidR="00E2352C" w:rsidRPr="00E2352C">
        <w:rPr>
          <w:sz w:val="24"/>
        </w:rPr>
        <w:t>a</w:t>
      </w:r>
      <w:r w:rsidRPr="00E2352C">
        <w:rPr>
          <w:sz w:val="24"/>
        </w:rPr>
        <w:t xml:space="preserve"> </w:t>
      </w:r>
      <w:r w:rsidR="00E2352C" w:rsidRPr="00E2352C">
        <w:rPr>
          <w:sz w:val="24"/>
        </w:rPr>
        <w:t xml:space="preserve">při této </w:t>
      </w:r>
      <w:r w:rsidRPr="00E2352C">
        <w:rPr>
          <w:sz w:val="24"/>
        </w:rPr>
        <w:t>transakc</w:t>
      </w:r>
      <w:r w:rsidR="00E2352C" w:rsidRPr="00E2352C">
        <w:rPr>
          <w:sz w:val="24"/>
        </w:rPr>
        <w:t xml:space="preserve">i </w:t>
      </w:r>
      <w:r w:rsidR="00D50737">
        <w:rPr>
          <w:sz w:val="24"/>
        </w:rPr>
        <w:t>dosáhla</w:t>
      </w:r>
      <w:r w:rsidR="00422CF2">
        <w:rPr>
          <w:sz w:val="24"/>
        </w:rPr>
        <w:t xml:space="preserve"> na částku </w:t>
      </w:r>
      <w:r w:rsidR="00A5705C">
        <w:rPr>
          <w:sz w:val="24"/>
        </w:rPr>
        <w:t>1</w:t>
      </w:r>
      <w:r w:rsidR="00BD5F38">
        <w:rPr>
          <w:sz w:val="24"/>
        </w:rPr>
        <w:t> </w:t>
      </w:r>
      <w:r w:rsidR="00A5705C">
        <w:rPr>
          <w:sz w:val="24"/>
        </w:rPr>
        <w:t>235</w:t>
      </w:r>
      <w:r w:rsidRPr="00E2352C">
        <w:rPr>
          <w:sz w:val="24"/>
        </w:rPr>
        <w:t xml:space="preserve"> Kč za m</w:t>
      </w:r>
      <w:r w:rsidRPr="00E2352C">
        <w:rPr>
          <w:sz w:val="24"/>
          <w:vertAlign w:val="superscript"/>
        </w:rPr>
        <w:t>2</w:t>
      </w:r>
      <w:r w:rsidR="00E2352C" w:rsidRPr="00E2352C">
        <w:rPr>
          <w:sz w:val="24"/>
        </w:rPr>
        <w:t xml:space="preserve">, </w:t>
      </w:r>
      <w:r w:rsidR="00D74766">
        <w:rPr>
          <w:sz w:val="24"/>
        </w:rPr>
        <w:t>jednalo se o</w:t>
      </w:r>
      <w:r w:rsidR="00E2352C" w:rsidRPr="00E2352C">
        <w:rPr>
          <w:sz w:val="24"/>
        </w:rPr>
        <w:t xml:space="preserve"> </w:t>
      </w:r>
      <w:r w:rsidR="00A5705C">
        <w:rPr>
          <w:sz w:val="24"/>
        </w:rPr>
        <w:t xml:space="preserve">atraktivní </w:t>
      </w:r>
      <w:r w:rsidR="00BC17A0">
        <w:rPr>
          <w:sz w:val="24"/>
        </w:rPr>
        <w:t>l</w:t>
      </w:r>
      <w:r w:rsidR="00E2352C" w:rsidRPr="00E2352C">
        <w:rPr>
          <w:sz w:val="24"/>
        </w:rPr>
        <w:t>okalit</w:t>
      </w:r>
      <w:r w:rsidR="00D74766">
        <w:rPr>
          <w:sz w:val="24"/>
        </w:rPr>
        <w:t>u</w:t>
      </w:r>
      <w:r w:rsidR="00E2352C" w:rsidRPr="00E2352C">
        <w:rPr>
          <w:sz w:val="24"/>
        </w:rPr>
        <w:t xml:space="preserve"> </w:t>
      </w:r>
      <w:r w:rsidR="00D50737" w:rsidRPr="00E2352C">
        <w:rPr>
          <w:sz w:val="24"/>
        </w:rPr>
        <w:t>v</w:t>
      </w:r>
      <w:r w:rsidR="00D50737">
        <w:rPr>
          <w:sz w:val="24"/>
        </w:rPr>
        <w:t xml:space="preserve"> území navazujícím na centrum města s převažující funkcí bydlení, konkrétně </w:t>
      </w:r>
      <w:r w:rsidR="000C0712">
        <w:rPr>
          <w:sz w:val="24"/>
        </w:rPr>
        <w:t xml:space="preserve">jde </w:t>
      </w:r>
      <w:r w:rsidR="00D50737">
        <w:rPr>
          <w:sz w:val="24"/>
        </w:rPr>
        <w:t>o</w:t>
      </w:r>
      <w:r w:rsidR="00904F08">
        <w:rPr>
          <w:sz w:val="24"/>
        </w:rPr>
        <w:t> </w:t>
      </w:r>
      <w:r w:rsidR="00A5705C">
        <w:rPr>
          <w:sz w:val="24"/>
        </w:rPr>
        <w:t>volné, nezastavěné území</w:t>
      </w:r>
      <w:r w:rsidR="00904F08">
        <w:rPr>
          <w:sz w:val="24"/>
        </w:rPr>
        <w:t xml:space="preserve"> na ul.</w:t>
      </w:r>
      <w:r w:rsidR="009011F4">
        <w:rPr>
          <w:sz w:val="24"/>
        </w:rPr>
        <w:t> </w:t>
      </w:r>
      <w:r w:rsidR="00A5705C">
        <w:rPr>
          <w:sz w:val="24"/>
        </w:rPr>
        <w:t>Hladnovská</w:t>
      </w:r>
      <w:r w:rsidR="000C0712">
        <w:rPr>
          <w:sz w:val="24"/>
        </w:rPr>
        <w:t>, bývalé fotbalové hřiště a navazující okolní plochy</w:t>
      </w:r>
      <w:r w:rsidR="00D50737">
        <w:rPr>
          <w:sz w:val="24"/>
        </w:rPr>
        <w:t xml:space="preserve">. Z hlediska </w:t>
      </w:r>
      <w:r w:rsidR="00861B26">
        <w:rPr>
          <w:sz w:val="24"/>
        </w:rPr>
        <w:t xml:space="preserve">jednotkové </w:t>
      </w:r>
      <w:r w:rsidR="001E6DA9">
        <w:rPr>
          <w:sz w:val="24"/>
        </w:rPr>
        <w:t xml:space="preserve">ceny </w:t>
      </w:r>
      <w:r w:rsidR="00D50737">
        <w:rPr>
          <w:sz w:val="24"/>
        </w:rPr>
        <w:t>byl</w:t>
      </w:r>
      <w:r w:rsidR="000C0712">
        <w:rPr>
          <w:sz w:val="24"/>
        </w:rPr>
        <w:t>a</w:t>
      </w:r>
      <w:r w:rsidR="00D50737">
        <w:rPr>
          <w:sz w:val="24"/>
        </w:rPr>
        <w:t xml:space="preserve"> nejvyšší cen</w:t>
      </w:r>
      <w:r w:rsidR="000C0712">
        <w:rPr>
          <w:sz w:val="24"/>
        </w:rPr>
        <w:t>a</w:t>
      </w:r>
      <w:r w:rsidR="00D50737">
        <w:rPr>
          <w:sz w:val="24"/>
        </w:rPr>
        <w:t xml:space="preserve"> dosažen</w:t>
      </w:r>
      <w:r w:rsidR="000C0712">
        <w:rPr>
          <w:sz w:val="24"/>
        </w:rPr>
        <w:t>a opět</w:t>
      </w:r>
      <w:r w:rsidR="00D50737">
        <w:rPr>
          <w:sz w:val="24"/>
        </w:rPr>
        <w:t xml:space="preserve"> v centrální části města </w:t>
      </w:r>
      <w:r w:rsidR="000C0712">
        <w:rPr>
          <w:sz w:val="24"/>
        </w:rPr>
        <w:t>při prodeji volných pozemků pro výstavbu v proluce zástavby na ul. Škroupova a Stodolní</w:t>
      </w:r>
      <w:r w:rsidR="00D50737">
        <w:rPr>
          <w:sz w:val="24"/>
        </w:rPr>
        <w:t>, a to v</w:t>
      </w:r>
      <w:r w:rsidR="000C0712">
        <w:rPr>
          <w:sz w:val="24"/>
        </w:rPr>
        <w:t> úrovni 1</w:t>
      </w:r>
      <w:r w:rsidR="00D50737">
        <w:rPr>
          <w:sz w:val="24"/>
        </w:rPr>
        <w:t>6</w:t>
      </w:r>
      <w:r w:rsidR="006A2C6B">
        <w:rPr>
          <w:sz w:val="24"/>
        </w:rPr>
        <w:t> </w:t>
      </w:r>
      <w:r w:rsidR="000C0712">
        <w:rPr>
          <w:sz w:val="24"/>
        </w:rPr>
        <w:t>2</w:t>
      </w:r>
      <w:r w:rsidR="00D50737">
        <w:rPr>
          <w:sz w:val="24"/>
        </w:rPr>
        <w:t xml:space="preserve">00 </w:t>
      </w:r>
      <w:r w:rsidR="000C0712">
        <w:rPr>
          <w:sz w:val="24"/>
        </w:rPr>
        <w:t xml:space="preserve">a 16 700 </w:t>
      </w:r>
      <w:r w:rsidR="00D50737">
        <w:rPr>
          <w:sz w:val="24"/>
        </w:rPr>
        <w:t>Kč</w:t>
      </w:r>
      <w:r w:rsidR="006A2C6B" w:rsidRPr="006A2C6B">
        <w:rPr>
          <w:sz w:val="24"/>
        </w:rPr>
        <w:t xml:space="preserve"> </w:t>
      </w:r>
      <w:r w:rsidR="006A2C6B" w:rsidRPr="00E2352C">
        <w:rPr>
          <w:sz w:val="24"/>
        </w:rPr>
        <w:t>za m</w:t>
      </w:r>
      <w:r w:rsidR="006A2C6B" w:rsidRPr="00E2352C">
        <w:rPr>
          <w:sz w:val="24"/>
          <w:vertAlign w:val="superscript"/>
        </w:rPr>
        <w:t>2</w:t>
      </w:r>
      <w:r w:rsidR="00904F08">
        <w:rPr>
          <w:sz w:val="24"/>
        </w:rPr>
        <w:t xml:space="preserve">. </w:t>
      </w:r>
    </w:p>
    <w:p w14:paraId="6B18D929" w14:textId="42B4D44A" w:rsidR="00503CFD" w:rsidRDefault="00A37DDF" w:rsidP="00503CFD">
      <w:pPr>
        <w:spacing w:before="120"/>
        <w:ind w:firstLine="425"/>
        <w:jc w:val="both"/>
        <w:rPr>
          <w:sz w:val="24"/>
        </w:rPr>
      </w:pPr>
      <w:r w:rsidRPr="0098029C">
        <w:rPr>
          <w:sz w:val="24"/>
        </w:rPr>
        <w:lastRenderedPageBreak/>
        <w:t xml:space="preserve">V kategorii hromadného bydlení </w:t>
      </w:r>
      <w:r w:rsidR="00D466A6" w:rsidRPr="0098029C">
        <w:rPr>
          <w:sz w:val="24"/>
        </w:rPr>
        <w:t>jsou dokonč</w:t>
      </w:r>
      <w:r w:rsidR="00E2352C" w:rsidRPr="0098029C">
        <w:rPr>
          <w:sz w:val="24"/>
        </w:rPr>
        <w:t>eny</w:t>
      </w:r>
      <w:r w:rsidRPr="0098029C">
        <w:rPr>
          <w:sz w:val="24"/>
        </w:rPr>
        <w:t xml:space="preserve"> projekty bytových domů v </w:t>
      </w:r>
      <w:r w:rsidR="00B54940">
        <w:rPr>
          <w:sz w:val="24"/>
        </w:rPr>
        <w:t>Moravské Ostravě na ul. Janáčkova</w:t>
      </w:r>
      <w:r w:rsidRPr="0098029C">
        <w:rPr>
          <w:sz w:val="24"/>
        </w:rPr>
        <w:t xml:space="preserve">, </w:t>
      </w:r>
      <w:r w:rsidR="00E2352C" w:rsidRPr="0098029C">
        <w:rPr>
          <w:sz w:val="24"/>
        </w:rPr>
        <w:t>dokončován</w:t>
      </w:r>
      <w:r w:rsidR="00861B26">
        <w:rPr>
          <w:sz w:val="24"/>
        </w:rPr>
        <w:t xml:space="preserve">a je </w:t>
      </w:r>
      <w:r w:rsidR="00D466A6" w:rsidRPr="0098029C">
        <w:rPr>
          <w:sz w:val="24"/>
        </w:rPr>
        <w:t>další etapa zástavby území Nové Karoliny</w:t>
      </w:r>
      <w:r w:rsidR="00D654BB">
        <w:rPr>
          <w:sz w:val="24"/>
        </w:rPr>
        <w:t>,</w:t>
      </w:r>
      <w:r w:rsidR="00E2352C" w:rsidRPr="0098029C">
        <w:rPr>
          <w:sz w:val="24"/>
        </w:rPr>
        <w:t xml:space="preserve"> </w:t>
      </w:r>
      <w:r w:rsidR="00C92DF8">
        <w:rPr>
          <w:sz w:val="24"/>
        </w:rPr>
        <w:t xml:space="preserve">kde je </w:t>
      </w:r>
      <w:r w:rsidR="00861B26">
        <w:rPr>
          <w:sz w:val="24"/>
        </w:rPr>
        <w:t>ve výstavbě</w:t>
      </w:r>
      <w:r w:rsidR="00E2352C" w:rsidRPr="0098029C">
        <w:rPr>
          <w:sz w:val="24"/>
        </w:rPr>
        <w:t xml:space="preserve"> bytový komplex v rámci 3.</w:t>
      </w:r>
      <w:r w:rsidR="00D74766">
        <w:rPr>
          <w:sz w:val="24"/>
        </w:rPr>
        <w:t> </w:t>
      </w:r>
      <w:r w:rsidR="006A2C6B">
        <w:rPr>
          <w:sz w:val="24"/>
        </w:rPr>
        <w:t>e</w:t>
      </w:r>
      <w:r w:rsidR="00B54940">
        <w:rPr>
          <w:sz w:val="24"/>
        </w:rPr>
        <w:t>tapy.</w:t>
      </w:r>
      <w:r w:rsidR="002B2999">
        <w:rPr>
          <w:sz w:val="24"/>
        </w:rPr>
        <w:t xml:space="preserve"> Další </w:t>
      </w:r>
      <w:r w:rsidR="00B54940">
        <w:rPr>
          <w:sz w:val="24"/>
        </w:rPr>
        <w:t xml:space="preserve">bytové </w:t>
      </w:r>
      <w:r w:rsidR="002B2999">
        <w:rPr>
          <w:sz w:val="24"/>
        </w:rPr>
        <w:t xml:space="preserve">projekty </w:t>
      </w:r>
      <w:r w:rsidR="006A2C6B">
        <w:rPr>
          <w:sz w:val="24"/>
        </w:rPr>
        <w:t>se realizují</w:t>
      </w:r>
      <w:r w:rsidR="00B54940">
        <w:rPr>
          <w:sz w:val="24"/>
        </w:rPr>
        <w:t xml:space="preserve"> </w:t>
      </w:r>
      <w:r w:rsidR="002B2999">
        <w:rPr>
          <w:sz w:val="24"/>
        </w:rPr>
        <w:t>v centrální části města, kde budou za</w:t>
      </w:r>
      <w:r w:rsidR="00792344">
        <w:rPr>
          <w:sz w:val="24"/>
        </w:rPr>
        <w:t>plněn</w:t>
      </w:r>
      <w:r w:rsidR="001A7E9A">
        <w:rPr>
          <w:sz w:val="24"/>
        </w:rPr>
        <w:t>a</w:t>
      </w:r>
      <w:r w:rsidR="00792344">
        <w:rPr>
          <w:sz w:val="24"/>
        </w:rPr>
        <w:t xml:space="preserve"> </w:t>
      </w:r>
      <w:r w:rsidR="002B2999">
        <w:rPr>
          <w:sz w:val="24"/>
        </w:rPr>
        <w:t>volná území a proluky v původní zástavbě</w:t>
      </w:r>
      <w:r w:rsidR="001A7E9A">
        <w:rPr>
          <w:sz w:val="24"/>
        </w:rPr>
        <w:t>. J</w:t>
      </w:r>
      <w:r w:rsidR="002B2999">
        <w:rPr>
          <w:sz w:val="24"/>
        </w:rPr>
        <w:t xml:space="preserve">edná se zejména o </w:t>
      </w:r>
      <w:r w:rsidR="0021513B">
        <w:rPr>
          <w:sz w:val="24"/>
        </w:rPr>
        <w:t xml:space="preserve">největší </w:t>
      </w:r>
      <w:r w:rsidR="00EB6533">
        <w:rPr>
          <w:sz w:val="24"/>
        </w:rPr>
        <w:t>realizovaný</w:t>
      </w:r>
      <w:r w:rsidR="002B2999">
        <w:rPr>
          <w:sz w:val="24"/>
        </w:rPr>
        <w:t xml:space="preserve"> projekt v historické části města tzv. Nové </w:t>
      </w:r>
      <w:r w:rsidR="002B2999" w:rsidRPr="009011F4">
        <w:rPr>
          <w:sz w:val="24"/>
        </w:rPr>
        <w:t>Lauby v prostoru ulic Muzejní, Velká a P</w:t>
      </w:r>
      <w:r w:rsidR="0021513B" w:rsidRPr="009011F4">
        <w:rPr>
          <w:sz w:val="24"/>
        </w:rPr>
        <w:t>ivovarská,</w:t>
      </w:r>
      <w:r w:rsidR="00760886">
        <w:rPr>
          <w:sz w:val="24"/>
        </w:rPr>
        <w:t xml:space="preserve"> ale také další bytové komplexy a domy např. na ul. Preslova nebo na ul. Keltičkova a u Staré Elektrárny ve Slezské Ostravě. D</w:t>
      </w:r>
      <w:r w:rsidR="0021513B" w:rsidRPr="009011F4">
        <w:rPr>
          <w:sz w:val="24"/>
        </w:rPr>
        <w:t xml:space="preserve">alší projekty jsou připravovány v centru města na ul. </w:t>
      </w:r>
      <w:r w:rsidR="00904F08" w:rsidRPr="009011F4">
        <w:rPr>
          <w:sz w:val="24"/>
        </w:rPr>
        <w:t>Kostelní</w:t>
      </w:r>
      <w:r w:rsidR="00B54940">
        <w:rPr>
          <w:sz w:val="24"/>
        </w:rPr>
        <w:t xml:space="preserve">, </w:t>
      </w:r>
      <w:r w:rsidR="00760886">
        <w:rPr>
          <w:sz w:val="24"/>
        </w:rPr>
        <w:t xml:space="preserve">ul. Křižíkova, </w:t>
      </w:r>
      <w:r w:rsidR="00EB6533">
        <w:rPr>
          <w:sz w:val="24"/>
        </w:rPr>
        <w:t>ul. Českobratrské</w:t>
      </w:r>
      <w:r w:rsidR="00B54940">
        <w:rPr>
          <w:sz w:val="24"/>
        </w:rPr>
        <w:t xml:space="preserve"> a ul. </w:t>
      </w:r>
      <w:r w:rsidR="00EB6533">
        <w:rPr>
          <w:sz w:val="24"/>
        </w:rPr>
        <w:t>Masné a</w:t>
      </w:r>
      <w:r w:rsidR="003F35CD">
        <w:rPr>
          <w:sz w:val="24"/>
        </w:rPr>
        <w:t> </w:t>
      </w:r>
      <w:r w:rsidR="00B54940">
        <w:rPr>
          <w:sz w:val="24"/>
        </w:rPr>
        <w:t>Stodolní</w:t>
      </w:r>
      <w:r w:rsidR="00760886">
        <w:rPr>
          <w:sz w:val="24"/>
        </w:rPr>
        <w:t xml:space="preserve"> nebo na okraji centra </w:t>
      </w:r>
      <w:r w:rsidR="003F35CD">
        <w:rPr>
          <w:sz w:val="24"/>
        </w:rPr>
        <w:t xml:space="preserve">na </w:t>
      </w:r>
      <w:r w:rsidR="00760886">
        <w:rPr>
          <w:sz w:val="24"/>
        </w:rPr>
        <w:t xml:space="preserve">ul. Hradní ve Slezské Ostravě. </w:t>
      </w:r>
      <w:r w:rsidR="009011F4" w:rsidRPr="009011F4">
        <w:rPr>
          <w:sz w:val="24"/>
        </w:rPr>
        <w:t>V</w:t>
      </w:r>
      <w:r w:rsidR="00861B26">
        <w:rPr>
          <w:sz w:val="24"/>
        </w:rPr>
        <w:t xml:space="preserve"> ostatních </w:t>
      </w:r>
      <w:r w:rsidR="009011F4" w:rsidRPr="009011F4">
        <w:rPr>
          <w:sz w:val="24"/>
        </w:rPr>
        <w:t>částech města j</w:t>
      </w:r>
      <w:r w:rsidR="00FF03D7">
        <w:rPr>
          <w:sz w:val="24"/>
        </w:rPr>
        <w:t>e např.</w:t>
      </w:r>
      <w:r w:rsidR="009011F4" w:rsidRPr="009011F4">
        <w:rPr>
          <w:sz w:val="24"/>
        </w:rPr>
        <w:t xml:space="preserve"> </w:t>
      </w:r>
      <w:r w:rsidR="00FF03D7">
        <w:rPr>
          <w:sz w:val="24"/>
        </w:rPr>
        <w:t>dokončován</w:t>
      </w:r>
      <w:r w:rsidR="00B54940">
        <w:rPr>
          <w:sz w:val="24"/>
        </w:rPr>
        <w:t xml:space="preserve"> </w:t>
      </w:r>
      <w:r w:rsidR="009011F4" w:rsidRPr="009011F4">
        <w:rPr>
          <w:sz w:val="24"/>
        </w:rPr>
        <w:t>projekt v</w:t>
      </w:r>
      <w:r w:rsidR="00861B26">
        <w:rPr>
          <w:sz w:val="24"/>
        </w:rPr>
        <w:t> </w:t>
      </w:r>
      <w:r w:rsidR="009011F4" w:rsidRPr="009011F4">
        <w:rPr>
          <w:sz w:val="24"/>
        </w:rPr>
        <w:t xml:space="preserve">Hrabové. </w:t>
      </w:r>
      <w:r w:rsidR="00B54940">
        <w:rPr>
          <w:sz w:val="24"/>
        </w:rPr>
        <w:t>Význ</w:t>
      </w:r>
      <w:r w:rsidR="0097523D">
        <w:rPr>
          <w:sz w:val="24"/>
        </w:rPr>
        <w:t>amn</w:t>
      </w:r>
      <w:r w:rsidR="00B54940">
        <w:rPr>
          <w:sz w:val="24"/>
        </w:rPr>
        <w:t xml:space="preserve">ý bytový projekt je připravován </w:t>
      </w:r>
      <w:r w:rsidR="0097523D" w:rsidRPr="0097523D">
        <w:rPr>
          <w:sz w:val="24"/>
        </w:rPr>
        <w:t>na pomezí Poruby a Svinova v l</w:t>
      </w:r>
      <w:r w:rsidR="00861B26">
        <w:rPr>
          <w:sz w:val="24"/>
        </w:rPr>
        <w:t>okalitě na východ od ul. Polská</w:t>
      </w:r>
      <w:r w:rsidR="00760886">
        <w:rPr>
          <w:sz w:val="24"/>
        </w:rPr>
        <w:t xml:space="preserve"> nebo na ul. Student</w:t>
      </w:r>
      <w:r w:rsidR="003F35CD">
        <w:rPr>
          <w:sz w:val="24"/>
        </w:rPr>
        <w:t>s</w:t>
      </w:r>
      <w:r w:rsidR="00760886">
        <w:rPr>
          <w:sz w:val="24"/>
        </w:rPr>
        <w:t>ká</w:t>
      </w:r>
      <w:r w:rsidR="00FF03D7">
        <w:rPr>
          <w:sz w:val="24"/>
        </w:rPr>
        <w:t>,</w:t>
      </w:r>
      <w:r w:rsidR="0097523D" w:rsidRPr="0097523D">
        <w:rPr>
          <w:sz w:val="24"/>
        </w:rPr>
        <w:t xml:space="preserve"> a </w:t>
      </w:r>
      <w:r w:rsidR="00861B26">
        <w:rPr>
          <w:sz w:val="24"/>
        </w:rPr>
        <w:t xml:space="preserve">také </w:t>
      </w:r>
      <w:r w:rsidR="0097523D" w:rsidRPr="0097523D">
        <w:rPr>
          <w:sz w:val="24"/>
        </w:rPr>
        <w:t>ve Slezské Ostravě</w:t>
      </w:r>
      <w:r w:rsidR="00861B26">
        <w:rPr>
          <w:sz w:val="24"/>
        </w:rPr>
        <w:t xml:space="preserve"> </w:t>
      </w:r>
      <w:r w:rsidR="003F35CD">
        <w:rPr>
          <w:sz w:val="24"/>
        </w:rPr>
        <w:t xml:space="preserve">v </w:t>
      </w:r>
      <w:r w:rsidR="00861B26">
        <w:rPr>
          <w:sz w:val="24"/>
        </w:rPr>
        <w:t>části Muglinov</w:t>
      </w:r>
      <w:r w:rsidR="0097523D" w:rsidRPr="0097523D">
        <w:rPr>
          <w:sz w:val="24"/>
        </w:rPr>
        <w:t>.</w:t>
      </w:r>
    </w:p>
    <w:p w14:paraId="4F464D65" w14:textId="77777777" w:rsidR="00EB6533" w:rsidRDefault="00EB6533" w:rsidP="00861B26">
      <w:pPr>
        <w:pStyle w:val="Zhlav"/>
        <w:tabs>
          <w:tab w:val="clear" w:pos="4536"/>
          <w:tab w:val="clear" w:pos="9072"/>
        </w:tabs>
      </w:pPr>
    </w:p>
    <w:p w14:paraId="53A0195E" w14:textId="5B06B045" w:rsidR="00ED2536" w:rsidRPr="00ED2536" w:rsidRDefault="00ED2536" w:rsidP="00861B26">
      <w:pPr>
        <w:pStyle w:val="Zhlav"/>
        <w:tabs>
          <w:tab w:val="clear" w:pos="4536"/>
          <w:tab w:val="clear" w:pos="9072"/>
        </w:tabs>
        <w:rPr>
          <w:sz w:val="24"/>
        </w:rPr>
      </w:pPr>
      <w:r w:rsidRPr="00ED2536">
        <w:t>CM 2020</w:t>
      </w:r>
      <w:r w:rsidRPr="00ED2536">
        <w:tab/>
      </w: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61"/>
        <w:gridCol w:w="1842"/>
        <w:gridCol w:w="1843"/>
        <w:gridCol w:w="1985"/>
      </w:tblGrid>
      <w:tr w:rsidR="00ED2536" w:rsidRPr="00ED2536" w14:paraId="0F245A10" w14:textId="77777777" w:rsidTr="00ED2536">
        <w:trPr>
          <w:cantSplit/>
        </w:trPr>
        <w:tc>
          <w:tcPr>
            <w:tcW w:w="3261" w:type="dxa"/>
            <w:vMerge w:val="restart"/>
            <w:tcBorders>
              <w:top w:val="single" w:sz="18" w:space="0" w:color="auto"/>
              <w:left w:val="single" w:sz="18" w:space="0" w:color="auto"/>
              <w:right w:val="single" w:sz="18" w:space="0" w:color="auto"/>
            </w:tcBorders>
            <w:vAlign w:val="center"/>
          </w:tcPr>
          <w:p w14:paraId="3FFA171F" w14:textId="77777777" w:rsidR="00ED2536" w:rsidRPr="00ED2536" w:rsidRDefault="00ED2536" w:rsidP="00ED2536">
            <w:pPr>
              <w:pStyle w:val="Nadpis1"/>
              <w:jc w:val="center"/>
              <w:rPr>
                <w:b/>
              </w:rPr>
            </w:pPr>
            <w:r w:rsidRPr="00ED2536">
              <w:rPr>
                <w:b/>
              </w:rPr>
              <w:t>Poloha</w:t>
            </w:r>
          </w:p>
        </w:tc>
        <w:tc>
          <w:tcPr>
            <w:tcW w:w="5670" w:type="dxa"/>
            <w:gridSpan w:val="3"/>
            <w:tcBorders>
              <w:top w:val="single" w:sz="18" w:space="0" w:color="auto"/>
              <w:left w:val="nil"/>
              <w:bottom w:val="nil"/>
              <w:right w:val="single" w:sz="18" w:space="0" w:color="auto"/>
            </w:tcBorders>
          </w:tcPr>
          <w:p w14:paraId="7855D048" w14:textId="77777777" w:rsidR="00ED2536" w:rsidRPr="00ED2536" w:rsidRDefault="00ED2536" w:rsidP="00ED2536">
            <w:pPr>
              <w:jc w:val="center"/>
              <w:rPr>
                <w:b/>
                <w:sz w:val="24"/>
              </w:rPr>
            </w:pPr>
            <w:r w:rsidRPr="00ED2536">
              <w:rPr>
                <w:b/>
                <w:sz w:val="24"/>
              </w:rPr>
              <w:t>Kč/m</w:t>
            </w:r>
            <w:r w:rsidRPr="00ED2536">
              <w:rPr>
                <w:b/>
                <w:sz w:val="24"/>
                <w:vertAlign w:val="superscript"/>
              </w:rPr>
              <w:t>2</w:t>
            </w:r>
            <w:r w:rsidRPr="00ED2536">
              <w:rPr>
                <w:b/>
                <w:sz w:val="24"/>
              </w:rPr>
              <w:t xml:space="preserve"> </w:t>
            </w:r>
          </w:p>
        </w:tc>
      </w:tr>
      <w:tr w:rsidR="00ED2536" w:rsidRPr="00ED2536" w14:paraId="41A83412" w14:textId="77777777" w:rsidTr="00ED2536">
        <w:tc>
          <w:tcPr>
            <w:tcW w:w="3261" w:type="dxa"/>
            <w:vMerge/>
            <w:tcBorders>
              <w:left w:val="single" w:sz="18" w:space="0" w:color="auto"/>
              <w:bottom w:val="single" w:sz="18" w:space="0" w:color="auto"/>
              <w:right w:val="single" w:sz="18" w:space="0" w:color="auto"/>
            </w:tcBorders>
          </w:tcPr>
          <w:p w14:paraId="009FCDB1" w14:textId="77777777" w:rsidR="00ED2536" w:rsidRPr="00ED2536" w:rsidRDefault="00ED2536" w:rsidP="00ED2536">
            <w:pPr>
              <w:pStyle w:val="Nadpis1"/>
            </w:pPr>
          </w:p>
        </w:tc>
        <w:tc>
          <w:tcPr>
            <w:tcW w:w="1842" w:type="dxa"/>
            <w:tcBorders>
              <w:top w:val="single" w:sz="12" w:space="0" w:color="auto"/>
              <w:left w:val="nil"/>
              <w:bottom w:val="single" w:sz="18" w:space="0" w:color="auto"/>
              <w:right w:val="single" w:sz="6" w:space="0" w:color="auto"/>
            </w:tcBorders>
          </w:tcPr>
          <w:p w14:paraId="0DA2A36B" w14:textId="77777777" w:rsidR="00ED2536" w:rsidRPr="00ED2536" w:rsidRDefault="00ED2536" w:rsidP="00ED2536">
            <w:pPr>
              <w:jc w:val="center"/>
              <w:rPr>
                <w:b/>
                <w:sz w:val="24"/>
              </w:rPr>
            </w:pPr>
            <w:r w:rsidRPr="00ED2536">
              <w:rPr>
                <w:b/>
                <w:sz w:val="24"/>
              </w:rPr>
              <w:t>Průměrná cena</w:t>
            </w:r>
          </w:p>
        </w:tc>
        <w:tc>
          <w:tcPr>
            <w:tcW w:w="1843" w:type="dxa"/>
            <w:tcBorders>
              <w:top w:val="single" w:sz="12" w:space="0" w:color="auto"/>
              <w:left w:val="single" w:sz="6" w:space="0" w:color="auto"/>
              <w:bottom w:val="single" w:sz="18" w:space="0" w:color="auto"/>
              <w:right w:val="single" w:sz="6" w:space="0" w:color="auto"/>
            </w:tcBorders>
          </w:tcPr>
          <w:p w14:paraId="3364087B" w14:textId="77777777" w:rsidR="00ED2536" w:rsidRPr="00ED2536" w:rsidRDefault="00ED2536" w:rsidP="00ED2536">
            <w:pPr>
              <w:jc w:val="center"/>
              <w:rPr>
                <w:b/>
                <w:sz w:val="24"/>
              </w:rPr>
            </w:pPr>
            <w:r w:rsidRPr="00ED2536">
              <w:rPr>
                <w:b/>
                <w:sz w:val="24"/>
              </w:rPr>
              <w:t>Minimální cena</w:t>
            </w:r>
          </w:p>
        </w:tc>
        <w:tc>
          <w:tcPr>
            <w:tcW w:w="1985" w:type="dxa"/>
            <w:tcBorders>
              <w:top w:val="single" w:sz="12" w:space="0" w:color="auto"/>
              <w:left w:val="single" w:sz="6" w:space="0" w:color="auto"/>
              <w:bottom w:val="single" w:sz="18" w:space="0" w:color="auto"/>
              <w:right w:val="single" w:sz="18" w:space="0" w:color="auto"/>
            </w:tcBorders>
          </w:tcPr>
          <w:p w14:paraId="1FA6160A" w14:textId="77777777" w:rsidR="00ED2536" w:rsidRPr="00ED2536" w:rsidRDefault="00ED2536" w:rsidP="00ED2536">
            <w:pPr>
              <w:jc w:val="center"/>
              <w:rPr>
                <w:b/>
                <w:sz w:val="24"/>
              </w:rPr>
            </w:pPr>
            <w:r w:rsidRPr="00ED2536">
              <w:rPr>
                <w:b/>
                <w:sz w:val="24"/>
              </w:rPr>
              <w:t>Maximální cena</w:t>
            </w:r>
          </w:p>
        </w:tc>
      </w:tr>
      <w:tr w:rsidR="00ED2536" w:rsidRPr="00ED2536" w14:paraId="114B26A2" w14:textId="77777777" w:rsidTr="00ED2536">
        <w:tc>
          <w:tcPr>
            <w:tcW w:w="3261" w:type="dxa"/>
            <w:tcBorders>
              <w:top w:val="nil"/>
              <w:left w:val="single" w:sz="18" w:space="0" w:color="auto"/>
              <w:bottom w:val="single" w:sz="6" w:space="0" w:color="auto"/>
              <w:right w:val="single" w:sz="18" w:space="0" w:color="auto"/>
            </w:tcBorders>
          </w:tcPr>
          <w:p w14:paraId="6CE25BBC" w14:textId="77777777" w:rsidR="00ED2536" w:rsidRPr="00ED2536" w:rsidRDefault="00ED2536" w:rsidP="00ED2536">
            <w:pPr>
              <w:rPr>
                <w:sz w:val="24"/>
              </w:rPr>
            </w:pPr>
            <w:r w:rsidRPr="00ED2536">
              <w:rPr>
                <w:sz w:val="24"/>
              </w:rPr>
              <w:t>Vnitřní město</w:t>
            </w:r>
          </w:p>
        </w:tc>
        <w:tc>
          <w:tcPr>
            <w:tcW w:w="1842" w:type="dxa"/>
            <w:tcBorders>
              <w:top w:val="nil"/>
              <w:left w:val="nil"/>
              <w:bottom w:val="single" w:sz="6" w:space="0" w:color="auto"/>
              <w:right w:val="single" w:sz="6" w:space="0" w:color="auto"/>
            </w:tcBorders>
          </w:tcPr>
          <w:p w14:paraId="42E61E81" w14:textId="30E999E9" w:rsidR="00ED2536" w:rsidRPr="00ED2536" w:rsidRDefault="00ED2536" w:rsidP="00ED2536">
            <w:pPr>
              <w:jc w:val="center"/>
              <w:rPr>
                <w:sz w:val="24"/>
              </w:rPr>
            </w:pPr>
            <w:r w:rsidRPr="00ED2536">
              <w:rPr>
                <w:sz w:val="24"/>
              </w:rPr>
              <w:t>3 919</w:t>
            </w:r>
          </w:p>
        </w:tc>
        <w:tc>
          <w:tcPr>
            <w:tcW w:w="1843" w:type="dxa"/>
            <w:tcBorders>
              <w:top w:val="nil"/>
              <w:left w:val="single" w:sz="6" w:space="0" w:color="auto"/>
              <w:bottom w:val="single" w:sz="6" w:space="0" w:color="auto"/>
              <w:right w:val="single" w:sz="6" w:space="0" w:color="auto"/>
            </w:tcBorders>
          </w:tcPr>
          <w:p w14:paraId="112D0139" w14:textId="12639C7A" w:rsidR="00ED2536" w:rsidRPr="00ED2536" w:rsidRDefault="00ED2536" w:rsidP="00ED2536">
            <w:pPr>
              <w:jc w:val="center"/>
              <w:rPr>
                <w:sz w:val="24"/>
              </w:rPr>
            </w:pPr>
            <w:r w:rsidRPr="00ED2536">
              <w:rPr>
                <w:sz w:val="24"/>
              </w:rPr>
              <w:t>20</w:t>
            </w:r>
          </w:p>
        </w:tc>
        <w:tc>
          <w:tcPr>
            <w:tcW w:w="1985" w:type="dxa"/>
            <w:tcBorders>
              <w:top w:val="nil"/>
              <w:left w:val="single" w:sz="6" w:space="0" w:color="auto"/>
              <w:bottom w:val="single" w:sz="6" w:space="0" w:color="auto"/>
              <w:right w:val="single" w:sz="18" w:space="0" w:color="auto"/>
            </w:tcBorders>
          </w:tcPr>
          <w:p w14:paraId="0694B0B1" w14:textId="511535D8" w:rsidR="00ED2536" w:rsidRPr="00ED2536" w:rsidRDefault="00ED2536" w:rsidP="00ED2536">
            <w:pPr>
              <w:jc w:val="center"/>
              <w:rPr>
                <w:sz w:val="24"/>
              </w:rPr>
            </w:pPr>
            <w:r w:rsidRPr="00ED2536">
              <w:rPr>
                <w:sz w:val="24"/>
              </w:rPr>
              <w:t>13 915</w:t>
            </w:r>
          </w:p>
        </w:tc>
      </w:tr>
      <w:tr w:rsidR="00ED2536" w:rsidRPr="00ED2536" w14:paraId="1E1ACC2B" w14:textId="77777777" w:rsidTr="00ED2536">
        <w:tc>
          <w:tcPr>
            <w:tcW w:w="3261" w:type="dxa"/>
            <w:tcBorders>
              <w:top w:val="single" w:sz="6" w:space="0" w:color="auto"/>
              <w:left w:val="single" w:sz="18" w:space="0" w:color="auto"/>
              <w:bottom w:val="single" w:sz="6" w:space="0" w:color="auto"/>
              <w:right w:val="single" w:sz="18" w:space="0" w:color="auto"/>
            </w:tcBorders>
          </w:tcPr>
          <w:p w14:paraId="0B15CE66" w14:textId="77777777" w:rsidR="00ED2536" w:rsidRPr="00ED2536" w:rsidRDefault="00ED2536" w:rsidP="00ED2536">
            <w:pPr>
              <w:rPr>
                <w:sz w:val="24"/>
              </w:rPr>
            </w:pPr>
            <w:r w:rsidRPr="00ED2536">
              <w:rPr>
                <w:sz w:val="24"/>
              </w:rPr>
              <w:t>Okrajová část vnitřního města</w:t>
            </w:r>
          </w:p>
        </w:tc>
        <w:tc>
          <w:tcPr>
            <w:tcW w:w="1842" w:type="dxa"/>
            <w:tcBorders>
              <w:top w:val="single" w:sz="6" w:space="0" w:color="auto"/>
              <w:left w:val="nil"/>
              <w:bottom w:val="single" w:sz="6" w:space="0" w:color="auto"/>
              <w:right w:val="single" w:sz="6" w:space="0" w:color="auto"/>
            </w:tcBorders>
          </w:tcPr>
          <w:p w14:paraId="5E9BE5B6" w14:textId="6A57EDB8" w:rsidR="00ED2536" w:rsidRPr="00ED2536" w:rsidRDefault="00ED2536" w:rsidP="00ED2536">
            <w:pPr>
              <w:jc w:val="center"/>
              <w:rPr>
                <w:sz w:val="24"/>
              </w:rPr>
            </w:pPr>
            <w:r w:rsidRPr="00ED2536">
              <w:rPr>
                <w:sz w:val="24"/>
              </w:rPr>
              <w:t>395</w:t>
            </w:r>
          </w:p>
        </w:tc>
        <w:tc>
          <w:tcPr>
            <w:tcW w:w="1843" w:type="dxa"/>
            <w:tcBorders>
              <w:top w:val="single" w:sz="6" w:space="0" w:color="auto"/>
              <w:left w:val="single" w:sz="6" w:space="0" w:color="auto"/>
              <w:bottom w:val="single" w:sz="6" w:space="0" w:color="auto"/>
              <w:right w:val="single" w:sz="6" w:space="0" w:color="auto"/>
            </w:tcBorders>
          </w:tcPr>
          <w:p w14:paraId="1DC85BF9" w14:textId="07E85F6F" w:rsidR="00ED2536" w:rsidRPr="00ED2536" w:rsidRDefault="00ED2536" w:rsidP="00ED2536">
            <w:pPr>
              <w:jc w:val="center"/>
              <w:rPr>
                <w:sz w:val="24"/>
              </w:rPr>
            </w:pPr>
            <w:r w:rsidRPr="00ED2536">
              <w:rPr>
                <w:sz w:val="24"/>
              </w:rPr>
              <w:t>100</w:t>
            </w:r>
          </w:p>
        </w:tc>
        <w:tc>
          <w:tcPr>
            <w:tcW w:w="1985" w:type="dxa"/>
            <w:tcBorders>
              <w:top w:val="single" w:sz="6" w:space="0" w:color="auto"/>
              <w:left w:val="single" w:sz="6" w:space="0" w:color="auto"/>
              <w:bottom w:val="single" w:sz="6" w:space="0" w:color="auto"/>
              <w:right w:val="single" w:sz="18" w:space="0" w:color="auto"/>
            </w:tcBorders>
          </w:tcPr>
          <w:p w14:paraId="2A7D25AB" w14:textId="7D52216B" w:rsidR="00ED2536" w:rsidRPr="00ED2536" w:rsidRDefault="00ED2536" w:rsidP="00ED2536">
            <w:pPr>
              <w:jc w:val="center"/>
              <w:rPr>
                <w:sz w:val="24"/>
              </w:rPr>
            </w:pPr>
            <w:r w:rsidRPr="00ED2536">
              <w:rPr>
                <w:sz w:val="24"/>
              </w:rPr>
              <w:t>9 308</w:t>
            </w:r>
          </w:p>
        </w:tc>
      </w:tr>
      <w:tr w:rsidR="00ED2536" w:rsidRPr="00ED2536" w14:paraId="6DDAB832" w14:textId="77777777" w:rsidTr="00ED2536">
        <w:tc>
          <w:tcPr>
            <w:tcW w:w="3261" w:type="dxa"/>
            <w:tcBorders>
              <w:top w:val="single" w:sz="6" w:space="0" w:color="auto"/>
              <w:left w:val="single" w:sz="18" w:space="0" w:color="auto"/>
              <w:bottom w:val="single" w:sz="6" w:space="0" w:color="auto"/>
              <w:right w:val="single" w:sz="18" w:space="0" w:color="auto"/>
            </w:tcBorders>
          </w:tcPr>
          <w:p w14:paraId="05174632" w14:textId="77777777" w:rsidR="00ED2536" w:rsidRPr="00ED2536" w:rsidRDefault="00ED2536" w:rsidP="00ED2536">
            <w:pPr>
              <w:rPr>
                <w:sz w:val="24"/>
              </w:rPr>
            </w:pPr>
            <w:r w:rsidRPr="00ED2536">
              <w:rPr>
                <w:sz w:val="24"/>
              </w:rPr>
              <w:t>Průmyslové části</w:t>
            </w:r>
          </w:p>
        </w:tc>
        <w:tc>
          <w:tcPr>
            <w:tcW w:w="1842" w:type="dxa"/>
            <w:tcBorders>
              <w:top w:val="single" w:sz="6" w:space="0" w:color="auto"/>
              <w:left w:val="nil"/>
              <w:bottom w:val="single" w:sz="6" w:space="0" w:color="auto"/>
              <w:right w:val="single" w:sz="6" w:space="0" w:color="auto"/>
            </w:tcBorders>
          </w:tcPr>
          <w:p w14:paraId="68ECA4F5" w14:textId="5E321BE6" w:rsidR="00ED2536" w:rsidRPr="00ED2536" w:rsidRDefault="00ED2536" w:rsidP="00ED2536">
            <w:pPr>
              <w:jc w:val="center"/>
              <w:rPr>
                <w:sz w:val="24"/>
              </w:rPr>
            </w:pPr>
            <w:r w:rsidRPr="00ED2536">
              <w:rPr>
                <w:sz w:val="24"/>
              </w:rPr>
              <w:t>916</w:t>
            </w:r>
          </w:p>
        </w:tc>
        <w:tc>
          <w:tcPr>
            <w:tcW w:w="1843" w:type="dxa"/>
            <w:tcBorders>
              <w:top w:val="single" w:sz="6" w:space="0" w:color="auto"/>
              <w:left w:val="single" w:sz="6" w:space="0" w:color="auto"/>
              <w:bottom w:val="single" w:sz="6" w:space="0" w:color="auto"/>
              <w:right w:val="single" w:sz="6" w:space="0" w:color="auto"/>
            </w:tcBorders>
          </w:tcPr>
          <w:p w14:paraId="59813F11" w14:textId="01DF03F9" w:rsidR="00ED2536" w:rsidRPr="00ED2536" w:rsidRDefault="00ED2536" w:rsidP="00ED2536">
            <w:pPr>
              <w:jc w:val="center"/>
              <w:rPr>
                <w:sz w:val="24"/>
              </w:rPr>
            </w:pPr>
            <w:r w:rsidRPr="00ED2536">
              <w:rPr>
                <w:sz w:val="24"/>
              </w:rPr>
              <w:t>500</w:t>
            </w:r>
          </w:p>
        </w:tc>
        <w:tc>
          <w:tcPr>
            <w:tcW w:w="1985" w:type="dxa"/>
            <w:tcBorders>
              <w:top w:val="single" w:sz="6" w:space="0" w:color="auto"/>
              <w:left w:val="single" w:sz="6" w:space="0" w:color="auto"/>
              <w:bottom w:val="single" w:sz="6" w:space="0" w:color="auto"/>
              <w:right w:val="single" w:sz="18" w:space="0" w:color="auto"/>
            </w:tcBorders>
          </w:tcPr>
          <w:p w14:paraId="4E5D56E0" w14:textId="354C01FF" w:rsidR="00ED2536" w:rsidRPr="00ED2536" w:rsidRDefault="00ED2536" w:rsidP="00ED2536">
            <w:pPr>
              <w:jc w:val="center"/>
              <w:rPr>
                <w:sz w:val="24"/>
              </w:rPr>
            </w:pPr>
            <w:r w:rsidRPr="00ED2536">
              <w:rPr>
                <w:sz w:val="24"/>
              </w:rPr>
              <w:t>1 248</w:t>
            </w:r>
          </w:p>
        </w:tc>
      </w:tr>
      <w:tr w:rsidR="00ED2536" w:rsidRPr="00F75ADA" w14:paraId="24373074" w14:textId="77777777" w:rsidTr="00ED2536">
        <w:tc>
          <w:tcPr>
            <w:tcW w:w="3261" w:type="dxa"/>
            <w:tcBorders>
              <w:top w:val="single" w:sz="6" w:space="0" w:color="auto"/>
              <w:left w:val="single" w:sz="18" w:space="0" w:color="auto"/>
              <w:bottom w:val="single" w:sz="18" w:space="0" w:color="auto"/>
              <w:right w:val="single" w:sz="18" w:space="0" w:color="auto"/>
            </w:tcBorders>
          </w:tcPr>
          <w:p w14:paraId="7AD95AC9" w14:textId="77777777" w:rsidR="00ED2536" w:rsidRPr="00ED2536" w:rsidRDefault="00ED2536" w:rsidP="00ED2536">
            <w:pPr>
              <w:pStyle w:val="Nadpis1"/>
            </w:pPr>
            <w:r w:rsidRPr="00ED2536">
              <w:t>Území mimo kompaktní město</w:t>
            </w:r>
          </w:p>
        </w:tc>
        <w:tc>
          <w:tcPr>
            <w:tcW w:w="1842" w:type="dxa"/>
            <w:tcBorders>
              <w:top w:val="single" w:sz="6" w:space="0" w:color="auto"/>
              <w:left w:val="nil"/>
              <w:bottom w:val="single" w:sz="18" w:space="0" w:color="auto"/>
              <w:right w:val="single" w:sz="6" w:space="0" w:color="auto"/>
            </w:tcBorders>
          </w:tcPr>
          <w:p w14:paraId="7F7CBE56" w14:textId="012AE2D2" w:rsidR="00ED2536" w:rsidRPr="00ED2536" w:rsidRDefault="00ED2536" w:rsidP="00ED2536">
            <w:pPr>
              <w:jc w:val="center"/>
              <w:rPr>
                <w:sz w:val="24"/>
              </w:rPr>
            </w:pPr>
            <w:r w:rsidRPr="00ED2536">
              <w:rPr>
                <w:sz w:val="24"/>
              </w:rPr>
              <w:t>474</w:t>
            </w:r>
          </w:p>
        </w:tc>
        <w:tc>
          <w:tcPr>
            <w:tcW w:w="1843" w:type="dxa"/>
            <w:tcBorders>
              <w:top w:val="single" w:sz="6" w:space="0" w:color="auto"/>
              <w:left w:val="single" w:sz="6" w:space="0" w:color="auto"/>
              <w:bottom w:val="single" w:sz="18" w:space="0" w:color="auto"/>
              <w:right w:val="single" w:sz="6" w:space="0" w:color="auto"/>
            </w:tcBorders>
          </w:tcPr>
          <w:p w14:paraId="6F9EEA0B" w14:textId="1342DB5C" w:rsidR="00ED2536" w:rsidRPr="00ED2536" w:rsidRDefault="00ED2536" w:rsidP="00ED2536">
            <w:pPr>
              <w:jc w:val="center"/>
              <w:rPr>
                <w:sz w:val="24"/>
              </w:rPr>
            </w:pPr>
            <w:r w:rsidRPr="00ED2536">
              <w:rPr>
                <w:sz w:val="24"/>
              </w:rPr>
              <w:t>21</w:t>
            </w:r>
          </w:p>
        </w:tc>
        <w:tc>
          <w:tcPr>
            <w:tcW w:w="1985" w:type="dxa"/>
            <w:tcBorders>
              <w:top w:val="single" w:sz="6" w:space="0" w:color="auto"/>
              <w:left w:val="single" w:sz="6" w:space="0" w:color="auto"/>
              <w:bottom w:val="single" w:sz="18" w:space="0" w:color="auto"/>
              <w:right w:val="single" w:sz="18" w:space="0" w:color="auto"/>
            </w:tcBorders>
          </w:tcPr>
          <w:p w14:paraId="3E858B20" w14:textId="648B7DC3" w:rsidR="00ED2536" w:rsidRPr="00ED2536" w:rsidRDefault="00ED2536" w:rsidP="00ED2536">
            <w:pPr>
              <w:jc w:val="center"/>
              <w:rPr>
                <w:sz w:val="24"/>
              </w:rPr>
            </w:pPr>
            <w:r w:rsidRPr="00ED2536">
              <w:rPr>
                <w:sz w:val="24"/>
              </w:rPr>
              <w:t>1 089</w:t>
            </w:r>
          </w:p>
        </w:tc>
      </w:tr>
    </w:tbl>
    <w:p w14:paraId="7914846A" w14:textId="46F5F142" w:rsidR="00CC087E" w:rsidRPr="00ED2536" w:rsidRDefault="00CC087E" w:rsidP="00CC087E">
      <w:pPr>
        <w:pStyle w:val="Zhlav"/>
        <w:tabs>
          <w:tab w:val="clear" w:pos="4536"/>
          <w:tab w:val="clear" w:pos="9072"/>
        </w:tabs>
        <w:spacing w:before="120"/>
      </w:pPr>
      <w:r w:rsidRPr="00ED2536">
        <w:t>CM 20</w:t>
      </w:r>
      <w:r>
        <w:t>21</w:t>
      </w:r>
    </w:p>
    <w:tbl>
      <w:tblPr>
        <w:tblW w:w="0" w:type="auto"/>
        <w:tblInd w:w="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61"/>
        <w:gridCol w:w="1890"/>
        <w:gridCol w:w="1890"/>
        <w:gridCol w:w="1890"/>
      </w:tblGrid>
      <w:tr w:rsidR="00CC087E" w:rsidRPr="00ED2536" w14:paraId="4D91EE58" w14:textId="77777777" w:rsidTr="00B34694">
        <w:trPr>
          <w:cantSplit/>
        </w:trPr>
        <w:tc>
          <w:tcPr>
            <w:tcW w:w="3261" w:type="dxa"/>
            <w:vMerge w:val="restart"/>
            <w:tcBorders>
              <w:top w:val="single" w:sz="18" w:space="0" w:color="auto"/>
              <w:left w:val="single" w:sz="18" w:space="0" w:color="auto"/>
              <w:right w:val="single" w:sz="18" w:space="0" w:color="auto"/>
            </w:tcBorders>
            <w:vAlign w:val="center"/>
          </w:tcPr>
          <w:p w14:paraId="2328CE18" w14:textId="77777777" w:rsidR="00CC087E" w:rsidRPr="00ED2536" w:rsidRDefault="00CC087E" w:rsidP="00B34694">
            <w:pPr>
              <w:pStyle w:val="Nadpis1"/>
              <w:jc w:val="center"/>
              <w:rPr>
                <w:b/>
              </w:rPr>
            </w:pPr>
            <w:r w:rsidRPr="00ED2536">
              <w:rPr>
                <w:b/>
              </w:rPr>
              <w:t>Poloha</w:t>
            </w:r>
          </w:p>
        </w:tc>
        <w:tc>
          <w:tcPr>
            <w:tcW w:w="5670" w:type="dxa"/>
            <w:gridSpan w:val="3"/>
            <w:tcBorders>
              <w:top w:val="single" w:sz="18" w:space="0" w:color="auto"/>
              <w:left w:val="nil"/>
              <w:bottom w:val="nil"/>
              <w:right w:val="single" w:sz="18" w:space="0" w:color="auto"/>
            </w:tcBorders>
          </w:tcPr>
          <w:p w14:paraId="6F7744A9" w14:textId="77777777" w:rsidR="00CC087E" w:rsidRPr="00ED2536" w:rsidRDefault="00CC087E" w:rsidP="00B34694">
            <w:pPr>
              <w:jc w:val="center"/>
              <w:rPr>
                <w:b/>
                <w:sz w:val="24"/>
              </w:rPr>
            </w:pPr>
            <w:r w:rsidRPr="00ED2536">
              <w:rPr>
                <w:b/>
                <w:sz w:val="24"/>
              </w:rPr>
              <w:t>Kč/m</w:t>
            </w:r>
            <w:r w:rsidRPr="00ED2536">
              <w:rPr>
                <w:b/>
                <w:sz w:val="24"/>
                <w:vertAlign w:val="superscript"/>
              </w:rPr>
              <w:t>2</w:t>
            </w:r>
            <w:r w:rsidRPr="00ED2536">
              <w:rPr>
                <w:b/>
                <w:sz w:val="24"/>
              </w:rPr>
              <w:t xml:space="preserve"> </w:t>
            </w:r>
          </w:p>
        </w:tc>
      </w:tr>
      <w:tr w:rsidR="00CC087E" w:rsidRPr="00ED2536" w14:paraId="1F81462E" w14:textId="77777777" w:rsidTr="00B34694">
        <w:tc>
          <w:tcPr>
            <w:tcW w:w="3261" w:type="dxa"/>
            <w:vMerge/>
            <w:tcBorders>
              <w:left w:val="single" w:sz="18" w:space="0" w:color="auto"/>
              <w:bottom w:val="single" w:sz="18" w:space="0" w:color="auto"/>
              <w:right w:val="single" w:sz="18" w:space="0" w:color="auto"/>
            </w:tcBorders>
          </w:tcPr>
          <w:p w14:paraId="727195D5" w14:textId="77777777" w:rsidR="00CC087E" w:rsidRPr="00ED2536" w:rsidRDefault="00CC087E" w:rsidP="00B34694">
            <w:pPr>
              <w:pStyle w:val="Nadpis1"/>
            </w:pPr>
          </w:p>
        </w:tc>
        <w:tc>
          <w:tcPr>
            <w:tcW w:w="1890" w:type="dxa"/>
            <w:tcBorders>
              <w:top w:val="single" w:sz="12" w:space="0" w:color="auto"/>
              <w:left w:val="nil"/>
              <w:bottom w:val="single" w:sz="18" w:space="0" w:color="auto"/>
              <w:right w:val="single" w:sz="6" w:space="0" w:color="auto"/>
            </w:tcBorders>
          </w:tcPr>
          <w:p w14:paraId="0A8E13DA" w14:textId="77777777" w:rsidR="00CC087E" w:rsidRPr="00ED2536" w:rsidRDefault="00CC087E" w:rsidP="00B34694">
            <w:pPr>
              <w:jc w:val="center"/>
              <w:rPr>
                <w:b/>
                <w:sz w:val="24"/>
              </w:rPr>
            </w:pPr>
            <w:r w:rsidRPr="00ED2536">
              <w:rPr>
                <w:b/>
                <w:sz w:val="24"/>
              </w:rPr>
              <w:t>Průměrná cena</w:t>
            </w:r>
          </w:p>
        </w:tc>
        <w:tc>
          <w:tcPr>
            <w:tcW w:w="1890" w:type="dxa"/>
            <w:tcBorders>
              <w:top w:val="single" w:sz="12" w:space="0" w:color="auto"/>
              <w:left w:val="single" w:sz="6" w:space="0" w:color="auto"/>
              <w:bottom w:val="single" w:sz="18" w:space="0" w:color="auto"/>
              <w:right w:val="single" w:sz="6" w:space="0" w:color="auto"/>
            </w:tcBorders>
          </w:tcPr>
          <w:p w14:paraId="079C5543" w14:textId="77777777" w:rsidR="00CC087E" w:rsidRPr="00ED2536" w:rsidRDefault="00CC087E" w:rsidP="00B34694">
            <w:pPr>
              <w:jc w:val="center"/>
              <w:rPr>
                <w:b/>
                <w:sz w:val="24"/>
              </w:rPr>
            </w:pPr>
            <w:r w:rsidRPr="00ED2536">
              <w:rPr>
                <w:b/>
                <w:sz w:val="24"/>
              </w:rPr>
              <w:t>Minimální cena</w:t>
            </w:r>
          </w:p>
        </w:tc>
        <w:tc>
          <w:tcPr>
            <w:tcW w:w="1890" w:type="dxa"/>
            <w:tcBorders>
              <w:top w:val="single" w:sz="12" w:space="0" w:color="auto"/>
              <w:left w:val="single" w:sz="6" w:space="0" w:color="auto"/>
              <w:bottom w:val="single" w:sz="18" w:space="0" w:color="auto"/>
              <w:right w:val="single" w:sz="18" w:space="0" w:color="auto"/>
            </w:tcBorders>
          </w:tcPr>
          <w:p w14:paraId="137F8E42" w14:textId="77777777" w:rsidR="00CC087E" w:rsidRPr="00ED2536" w:rsidRDefault="00CC087E" w:rsidP="00B34694">
            <w:pPr>
              <w:jc w:val="center"/>
              <w:rPr>
                <w:b/>
                <w:sz w:val="24"/>
              </w:rPr>
            </w:pPr>
            <w:r w:rsidRPr="00ED2536">
              <w:rPr>
                <w:b/>
                <w:sz w:val="24"/>
              </w:rPr>
              <w:t>Maximální cena</w:t>
            </w:r>
          </w:p>
        </w:tc>
      </w:tr>
      <w:tr w:rsidR="00CC087E" w:rsidRPr="00ED2536" w14:paraId="11FE7886" w14:textId="77777777" w:rsidTr="00B34694">
        <w:tc>
          <w:tcPr>
            <w:tcW w:w="3261" w:type="dxa"/>
            <w:tcBorders>
              <w:top w:val="nil"/>
              <w:left w:val="single" w:sz="18" w:space="0" w:color="auto"/>
              <w:bottom w:val="single" w:sz="6" w:space="0" w:color="auto"/>
              <w:right w:val="single" w:sz="18" w:space="0" w:color="auto"/>
            </w:tcBorders>
          </w:tcPr>
          <w:p w14:paraId="3D6E2223" w14:textId="77777777" w:rsidR="00CC087E" w:rsidRPr="00ED2536" w:rsidRDefault="00CC087E" w:rsidP="00B34694">
            <w:pPr>
              <w:rPr>
                <w:sz w:val="24"/>
              </w:rPr>
            </w:pPr>
            <w:r w:rsidRPr="00ED2536">
              <w:rPr>
                <w:sz w:val="24"/>
              </w:rPr>
              <w:t>Vnitřní město</w:t>
            </w:r>
          </w:p>
        </w:tc>
        <w:tc>
          <w:tcPr>
            <w:tcW w:w="1890" w:type="dxa"/>
            <w:tcBorders>
              <w:top w:val="nil"/>
              <w:left w:val="nil"/>
              <w:bottom w:val="single" w:sz="6" w:space="0" w:color="auto"/>
              <w:right w:val="single" w:sz="6" w:space="0" w:color="auto"/>
            </w:tcBorders>
          </w:tcPr>
          <w:p w14:paraId="452060DF" w14:textId="0E029BD3" w:rsidR="00CC087E" w:rsidRPr="00ED2536" w:rsidRDefault="00CC087E" w:rsidP="00CC087E">
            <w:pPr>
              <w:jc w:val="center"/>
              <w:rPr>
                <w:sz w:val="24"/>
              </w:rPr>
            </w:pPr>
            <w:r w:rsidRPr="00ED2536">
              <w:rPr>
                <w:sz w:val="24"/>
              </w:rPr>
              <w:t xml:space="preserve">1 </w:t>
            </w:r>
            <w:r>
              <w:rPr>
                <w:sz w:val="24"/>
              </w:rPr>
              <w:t>480</w:t>
            </w:r>
          </w:p>
        </w:tc>
        <w:tc>
          <w:tcPr>
            <w:tcW w:w="1890" w:type="dxa"/>
            <w:tcBorders>
              <w:top w:val="nil"/>
              <w:left w:val="single" w:sz="6" w:space="0" w:color="auto"/>
              <w:bottom w:val="single" w:sz="6" w:space="0" w:color="auto"/>
              <w:right w:val="single" w:sz="6" w:space="0" w:color="auto"/>
            </w:tcBorders>
          </w:tcPr>
          <w:p w14:paraId="063121C8" w14:textId="130EDCA7" w:rsidR="00CC087E" w:rsidRPr="00ED2536" w:rsidRDefault="00CC087E" w:rsidP="00B34694">
            <w:pPr>
              <w:jc w:val="center"/>
              <w:rPr>
                <w:sz w:val="24"/>
              </w:rPr>
            </w:pPr>
            <w:r w:rsidRPr="00ED2536">
              <w:rPr>
                <w:sz w:val="24"/>
              </w:rPr>
              <w:t>2</w:t>
            </w:r>
            <w:r w:rsidR="00C07819">
              <w:rPr>
                <w:sz w:val="24"/>
              </w:rPr>
              <w:t>00</w:t>
            </w:r>
          </w:p>
        </w:tc>
        <w:tc>
          <w:tcPr>
            <w:tcW w:w="1890" w:type="dxa"/>
            <w:tcBorders>
              <w:top w:val="nil"/>
              <w:left w:val="single" w:sz="6" w:space="0" w:color="auto"/>
              <w:bottom w:val="single" w:sz="6" w:space="0" w:color="auto"/>
              <w:right w:val="single" w:sz="18" w:space="0" w:color="auto"/>
            </w:tcBorders>
          </w:tcPr>
          <w:p w14:paraId="25E9B62C" w14:textId="4E05596C" w:rsidR="00CC087E" w:rsidRPr="00ED2536" w:rsidRDefault="00C07819" w:rsidP="00C07819">
            <w:pPr>
              <w:jc w:val="center"/>
              <w:rPr>
                <w:sz w:val="24"/>
              </w:rPr>
            </w:pPr>
            <w:r>
              <w:rPr>
                <w:sz w:val="24"/>
              </w:rPr>
              <w:t>10</w:t>
            </w:r>
            <w:r w:rsidR="00CC087E" w:rsidRPr="00ED2536">
              <w:rPr>
                <w:sz w:val="24"/>
              </w:rPr>
              <w:t xml:space="preserve"> </w:t>
            </w:r>
            <w:r>
              <w:rPr>
                <w:sz w:val="24"/>
              </w:rPr>
              <w:t>000</w:t>
            </w:r>
          </w:p>
        </w:tc>
      </w:tr>
      <w:tr w:rsidR="00CC087E" w:rsidRPr="00ED2536" w14:paraId="57D4C771" w14:textId="77777777" w:rsidTr="00B34694">
        <w:tc>
          <w:tcPr>
            <w:tcW w:w="3261" w:type="dxa"/>
            <w:tcBorders>
              <w:top w:val="single" w:sz="6" w:space="0" w:color="auto"/>
              <w:left w:val="single" w:sz="18" w:space="0" w:color="auto"/>
              <w:bottom w:val="single" w:sz="6" w:space="0" w:color="auto"/>
              <w:right w:val="single" w:sz="18" w:space="0" w:color="auto"/>
            </w:tcBorders>
          </w:tcPr>
          <w:p w14:paraId="6A626B8B" w14:textId="77777777" w:rsidR="00CC087E" w:rsidRPr="00ED2536" w:rsidRDefault="00CC087E" w:rsidP="00B34694">
            <w:pPr>
              <w:rPr>
                <w:sz w:val="24"/>
              </w:rPr>
            </w:pPr>
            <w:r w:rsidRPr="00ED2536">
              <w:rPr>
                <w:sz w:val="24"/>
              </w:rPr>
              <w:t>Okrajová část vnitřního města</w:t>
            </w:r>
          </w:p>
        </w:tc>
        <w:tc>
          <w:tcPr>
            <w:tcW w:w="1890" w:type="dxa"/>
            <w:tcBorders>
              <w:top w:val="single" w:sz="6" w:space="0" w:color="auto"/>
              <w:left w:val="nil"/>
              <w:bottom w:val="single" w:sz="6" w:space="0" w:color="auto"/>
              <w:right w:val="single" w:sz="6" w:space="0" w:color="auto"/>
            </w:tcBorders>
          </w:tcPr>
          <w:p w14:paraId="5CC49C8B" w14:textId="6C58C187" w:rsidR="00CC087E" w:rsidRPr="00ED2536" w:rsidRDefault="00CC087E" w:rsidP="00C07819">
            <w:pPr>
              <w:jc w:val="center"/>
              <w:rPr>
                <w:sz w:val="24"/>
              </w:rPr>
            </w:pPr>
            <w:r w:rsidRPr="00ED2536">
              <w:rPr>
                <w:sz w:val="24"/>
              </w:rPr>
              <w:t xml:space="preserve">1 </w:t>
            </w:r>
            <w:r w:rsidR="00C07819">
              <w:rPr>
                <w:sz w:val="24"/>
              </w:rPr>
              <w:t>098</w:t>
            </w:r>
          </w:p>
        </w:tc>
        <w:tc>
          <w:tcPr>
            <w:tcW w:w="1890" w:type="dxa"/>
            <w:tcBorders>
              <w:top w:val="single" w:sz="6" w:space="0" w:color="auto"/>
              <w:left w:val="single" w:sz="6" w:space="0" w:color="auto"/>
              <w:bottom w:val="single" w:sz="6" w:space="0" w:color="auto"/>
              <w:right w:val="single" w:sz="6" w:space="0" w:color="auto"/>
            </w:tcBorders>
          </w:tcPr>
          <w:p w14:paraId="7DB673A8" w14:textId="0D07324C" w:rsidR="00CC087E" w:rsidRPr="00ED2536" w:rsidRDefault="00CC087E" w:rsidP="00C07819">
            <w:pPr>
              <w:jc w:val="center"/>
              <w:rPr>
                <w:sz w:val="24"/>
              </w:rPr>
            </w:pPr>
            <w:r w:rsidRPr="00ED2536">
              <w:rPr>
                <w:sz w:val="24"/>
              </w:rPr>
              <w:t>1</w:t>
            </w:r>
            <w:r w:rsidR="00C07819">
              <w:rPr>
                <w:sz w:val="24"/>
              </w:rPr>
              <w:t>31</w:t>
            </w:r>
          </w:p>
        </w:tc>
        <w:tc>
          <w:tcPr>
            <w:tcW w:w="1890" w:type="dxa"/>
            <w:tcBorders>
              <w:top w:val="single" w:sz="6" w:space="0" w:color="auto"/>
              <w:left w:val="single" w:sz="6" w:space="0" w:color="auto"/>
              <w:bottom w:val="single" w:sz="6" w:space="0" w:color="auto"/>
              <w:right w:val="single" w:sz="18" w:space="0" w:color="auto"/>
            </w:tcBorders>
          </w:tcPr>
          <w:p w14:paraId="5B7FFB33" w14:textId="614C52D2" w:rsidR="00CC087E" w:rsidRPr="00ED2536" w:rsidRDefault="00C07819" w:rsidP="00C07819">
            <w:pPr>
              <w:jc w:val="center"/>
              <w:rPr>
                <w:sz w:val="24"/>
              </w:rPr>
            </w:pPr>
            <w:r>
              <w:rPr>
                <w:sz w:val="24"/>
              </w:rPr>
              <w:t>12</w:t>
            </w:r>
            <w:r w:rsidR="00CC087E" w:rsidRPr="00ED2536">
              <w:rPr>
                <w:sz w:val="24"/>
              </w:rPr>
              <w:t xml:space="preserve"> </w:t>
            </w:r>
            <w:r>
              <w:rPr>
                <w:sz w:val="24"/>
              </w:rPr>
              <w:t>500</w:t>
            </w:r>
          </w:p>
        </w:tc>
      </w:tr>
      <w:tr w:rsidR="00CC087E" w:rsidRPr="00ED2536" w14:paraId="7B78708B" w14:textId="77777777" w:rsidTr="00B34694">
        <w:tc>
          <w:tcPr>
            <w:tcW w:w="3261" w:type="dxa"/>
            <w:tcBorders>
              <w:top w:val="single" w:sz="6" w:space="0" w:color="auto"/>
              <w:left w:val="single" w:sz="18" w:space="0" w:color="auto"/>
              <w:bottom w:val="single" w:sz="6" w:space="0" w:color="auto"/>
              <w:right w:val="single" w:sz="18" w:space="0" w:color="auto"/>
            </w:tcBorders>
          </w:tcPr>
          <w:p w14:paraId="18F413D1" w14:textId="77777777" w:rsidR="00CC087E" w:rsidRPr="00ED2536" w:rsidRDefault="00CC087E" w:rsidP="00B34694">
            <w:pPr>
              <w:rPr>
                <w:sz w:val="24"/>
              </w:rPr>
            </w:pPr>
            <w:r w:rsidRPr="00ED2536">
              <w:rPr>
                <w:sz w:val="24"/>
              </w:rPr>
              <w:t>Průmyslové části</w:t>
            </w:r>
          </w:p>
        </w:tc>
        <w:tc>
          <w:tcPr>
            <w:tcW w:w="1890" w:type="dxa"/>
            <w:tcBorders>
              <w:top w:val="single" w:sz="6" w:space="0" w:color="auto"/>
              <w:left w:val="nil"/>
              <w:bottom w:val="single" w:sz="6" w:space="0" w:color="auto"/>
              <w:right w:val="single" w:sz="6" w:space="0" w:color="auto"/>
            </w:tcBorders>
          </w:tcPr>
          <w:p w14:paraId="66A903A1" w14:textId="3EA3D1E3" w:rsidR="00CC087E" w:rsidRPr="00ED2536" w:rsidRDefault="00C07819" w:rsidP="00C07819">
            <w:pPr>
              <w:jc w:val="center"/>
              <w:rPr>
                <w:sz w:val="24"/>
              </w:rPr>
            </w:pPr>
            <w:r>
              <w:rPr>
                <w:sz w:val="24"/>
              </w:rPr>
              <w:t>807</w:t>
            </w:r>
          </w:p>
        </w:tc>
        <w:tc>
          <w:tcPr>
            <w:tcW w:w="1890" w:type="dxa"/>
            <w:tcBorders>
              <w:top w:val="single" w:sz="6" w:space="0" w:color="auto"/>
              <w:left w:val="single" w:sz="6" w:space="0" w:color="auto"/>
              <w:bottom w:val="single" w:sz="6" w:space="0" w:color="auto"/>
              <w:right w:val="single" w:sz="6" w:space="0" w:color="auto"/>
            </w:tcBorders>
          </w:tcPr>
          <w:p w14:paraId="7CFD14FF" w14:textId="35EE6F6C" w:rsidR="00CC087E" w:rsidRPr="00ED2536" w:rsidRDefault="00C07819" w:rsidP="00C07819">
            <w:pPr>
              <w:jc w:val="center"/>
              <w:rPr>
                <w:sz w:val="24"/>
              </w:rPr>
            </w:pPr>
            <w:r>
              <w:rPr>
                <w:sz w:val="24"/>
              </w:rPr>
              <w:t>200</w:t>
            </w:r>
          </w:p>
        </w:tc>
        <w:tc>
          <w:tcPr>
            <w:tcW w:w="1890" w:type="dxa"/>
            <w:tcBorders>
              <w:top w:val="single" w:sz="6" w:space="0" w:color="auto"/>
              <w:left w:val="single" w:sz="6" w:space="0" w:color="auto"/>
              <w:bottom w:val="single" w:sz="6" w:space="0" w:color="auto"/>
              <w:right w:val="single" w:sz="18" w:space="0" w:color="auto"/>
            </w:tcBorders>
          </w:tcPr>
          <w:p w14:paraId="141B6EDA" w14:textId="5C0557B6" w:rsidR="00CC087E" w:rsidRPr="00ED2536" w:rsidRDefault="00C07819" w:rsidP="00C07819">
            <w:pPr>
              <w:jc w:val="center"/>
              <w:rPr>
                <w:sz w:val="24"/>
              </w:rPr>
            </w:pPr>
            <w:r>
              <w:rPr>
                <w:sz w:val="24"/>
              </w:rPr>
              <w:t>5</w:t>
            </w:r>
            <w:r w:rsidR="00CC087E" w:rsidRPr="00ED2536">
              <w:rPr>
                <w:sz w:val="24"/>
              </w:rPr>
              <w:t xml:space="preserve"> </w:t>
            </w:r>
            <w:r>
              <w:rPr>
                <w:sz w:val="24"/>
              </w:rPr>
              <w:t>882</w:t>
            </w:r>
          </w:p>
        </w:tc>
      </w:tr>
      <w:tr w:rsidR="00CC087E" w:rsidRPr="00ED2536" w14:paraId="7771E16F" w14:textId="77777777" w:rsidTr="00B34694">
        <w:tc>
          <w:tcPr>
            <w:tcW w:w="3261" w:type="dxa"/>
            <w:tcBorders>
              <w:top w:val="single" w:sz="6" w:space="0" w:color="auto"/>
              <w:left w:val="single" w:sz="18" w:space="0" w:color="auto"/>
              <w:bottom w:val="single" w:sz="18" w:space="0" w:color="auto"/>
              <w:right w:val="single" w:sz="18" w:space="0" w:color="auto"/>
            </w:tcBorders>
          </w:tcPr>
          <w:p w14:paraId="56826C0C" w14:textId="77777777" w:rsidR="00CC087E" w:rsidRPr="00ED2536" w:rsidRDefault="00CC087E" w:rsidP="00B34694">
            <w:pPr>
              <w:rPr>
                <w:sz w:val="24"/>
              </w:rPr>
            </w:pPr>
            <w:r w:rsidRPr="00ED2536">
              <w:rPr>
                <w:sz w:val="24"/>
              </w:rPr>
              <w:t>Území mimo kompaktní město</w:t>
            </w:r>
          </w:p>
        </w:tc>
        <w:tc>
          <w:tcPr>
            <w:tcW w:w="1890" w:type="dxa"/>
            <w:tcBorders>
              <w:top w:val="single" w:sz="6" w:space="0" w:color="auto"/>
              <w:left w:val="nil"/>
              <w:bottom w:val="single" w:sz="18" w:space="0" w:color="auto"/>
              <w:right w:val="single" w:sz="6" w:space="0" w:color="auto"/>
            </w:tcBorders>
          </w:tcPr>
          <w:p w14:paraId="6477E33F" w14:textId="39F30255" w:rsidR="00CC087E" w:rsidRPr="00ED2536" w:rsidRDefault="00C07819" w:rsidP="00B34694">
            <w:pPr>
              <w:jc w:val="center"/>
              <w:rPr>
                <w:sz w:val="24"/>
              </w:rPr>
            </w:pPr>
            <w:r>
              <w:rPr>
                <w:sz w:val="24"/>
              </w:rPr>
              <w:t>972</w:t>
            </w:r>
          </w:p>
        </w:tc>
        <w:tc>
          <w:tcPr>
            <w:tcW w:w="1890" w:type="dxa"/>
            <w:tcBorders>
              <w:top w:val="single" w:sz="6" w:space="0" w:color="auto"/>
              <w:left w:val="single" w:sz="6" w:space="0" w:color="auto"/>
              <w:bottom w:val="single" w:sz="18" w:space="0" w:color="auto"/>
              <w:right w:val="single" w:sz="6" w:space="0" w:color="auto"/>
            </w:tcBorders>
          </w:tcPr>
          <w:p w14:paraId="6655CE63" w14:textId="23695243" w:rsidR="00CC087E" w:rsidRPr="00ED2536" w:rsidRDefault="00CC087E" w:rsidP="00B34694">
            <w:pPr>
              <w:jc w:val="center"/>
              <w:rPr>
                <w:sz w:val="24"/>
              </w:rPr>
            </w:pPr>
            <w:r w:rsidRPr="00ED2536">
              <w:rPr>
                <w:sz w:val="24"/>
              </w:rPr>
              <w:t>3</w:t>
            </w:r>
            <w:r w:rsidR="00C07819">
              <w:rPr>
                <w:sz w:val="24"/>
              </w:rPr>
              <w:t>42</w:t>
            </w:r>
          </w:p>
        </w:tc>
        <w:tc>
          <w:tcPr>
            <w:tcW w:w="1890" w:type="dxa"/>
            <w:tcBorders>
              <w:top w:val="single" w:sz="6" w:space="0" w:color="auto"/>
              <w:left w:val="single" w:sz="6" w:space="0" w:color="auto"/>
              <w:bottom w:val="single" w:sz="18" w:space="0" w:color="auto"/>
              <w:right w:val="single" w:sz="18" w:space="0" w:color="auto"/>
            </w:tcBorders>
          </w:tcPr>
          <w:p w14:paraId="04DB9864" w14:textId="09199452" w:rsidR="00CC087E" w:rsidRPr="00ED2536" w:rsidRDefault="00C07819" w:rsidP="00C07819">
            <w:pPr>
              <w:jc w:val="center"/>
              <w:rPr>
                <w:sz w:val="24"/>
              </w:rPr>
            </w:pPr>
            <w:r>
              <w:rPr>
                <w:sz w:val="24"/>
              </w:rPr>
              <w:t>4</w:t>
            </w:r>
            <w:r w:rsidR="00CC087E" w:rsidRPr="00ED2536">
              <w:rPr>
                <w:sz w:val="24"/>
              </w:rPr>
              <w:t xml:space="preserve"> </w:t>
            </w:r>
            <w:r>
              <w:rPr>
                <w:sz w:val="24"/>
              </w:rPr>
              <w:t>690</w:t>
            </w:r>
          </w:p>
        </w:tc>
      </w:tr>
    </w:tbl>
    <w:p w14:paraId="5713F41B" w14:textId="4659C6B3" w:rsidR="00EB6533" w:rsidRPr="00ED2536" w:rsidRDefault="00EB6533" w:rsidP="00EB6533">
      <w:pPr>
        <w:pStyle w:val="Zhlav"/>
        <w:tabs>
          <w:tab w:val="clear" w:pos="4536"/>
          <w:tab w:val="clear" w:pos="9072"/>
        </w:tabs>
        <w:spacing w:before="120"/>
        <w:rPr>
          <w:sz w:val="24"/>
        </w:rPr>
      </w:pPr>
      <w:r w:rsidRPr="00ED2536">
        <w:t>CM 20</w:t>
      </w:r>
      <w:r>
        <w:t>22</w:t>
      </w: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61"/>
        <w:gridCol w:w="1842"/>
        <w:gridCol w:w="1843"/>
        <w:gridCol w:w="1985"/>
      </w:tblGrid>
      <w:tr w:rsidR="00EB6533" w:rsidRPr="00ED2536" w14:paraId="21D15368" w14:textId="77777777" w:rsidTr="00344957">
        <w:trPr>
          <w:cantSplit/>
        </w:trPr>
        <w:tc>
          <w:tcPr>
            <w:tcW w:w="3261" w:type="dxa"/>
            <w:vMerge w:val="restart"/>
            <w:tcBorders>
              <w:top w:val="single" w:sz="18" w:space="0" w:color="auto"/>
              <w:left w:val="single" w:sz="18" w:space="0" w:color="auto"/>
              <w:right w:val="single" w:sz="18" w:space="0" w:color="auto"/>
            </w:tcBorders>
            <w:vAlign w:val="center"/>
          </w:tcPr>
          <w:p w14:paraId="33889689" w14:textId="77777777" w:rsidR="00EB6533" w:rsidRPr="00ED2536" w:rsidRDefault="00EB6533" w:rsidP="00344957">
            <w:pPr>
              <w:pStyle w:val="Nadpis1"/>
              <w:jc w:val="center"/>
              <w:rPr>
                <w:b/>
              </w:rPr>
            </w:pPr>
            <w:r w:rsidRPr="00ED2536">
              <w:rPr>
                <w:b/>
              </w:rPr>
              <w:t>Poloha</w:t>
            </w:r>
          </w:p>
        </w:tc>
        <w:tc>
          <w:tcPr>
            <w:tcW w:w="5670" w:type="dxa"/>
            <w:gridSpan w:val="3"/>
            <w:tcBorders>
              <w:top w:val="single" w:sz="18" w:space="0" w:color="auto"/>
              <w:left w:val="nil"/>
              <w:bottom w:val="nil"/>
              <w:right w:val="single" w:sz="18" w:space="0" w:color="auto"/>
            </w:tcBorders>
          </w:tcPr>
          <w:p w14:paraId="1A03E0BC" w14:textId="77777777" w:rsidR="00EB6533" w:rsidRPr="00ED2536" w:rsidRDefault="00EB6533" w:rsidP="00344957">
            <w:pPr>
              <w:jc w:val="center"/>
              <w:rPr>
                <w:b/>
                <w:sz w:val="24"/>
              </w:rPr>
            </w:pPr>
            <w:r w:rsidRPr="00ED2536">
              <w:rPr>
                <w:b/>
                <w:sz w:val="24"/>
              </w:rPr>
              <w:t>Kč/m</w:t>
            </w:r>
            <w:r w:rsidRPr="00ED2536">
              <w:rPr>
                <w:b/>
                <w:sz w:val="24"/>
                <w:vertAlign w:val="superscript"/>
              </w:rPr>
              <w:t>2</w:t>
            </w:r>
            <w:r w:rsidRPr="00ED2536">
              <w:rPr>
                <w:b/>
                <w:sz w:val="24"/>
              </w:rPr>
              <w:t xml:space="preserve"> </w:t>
            </w:r>
          </w:p>
        </w:tc>
      </w:tr>
      <w:tr w:rsidR="00EB6533" w:rsidRPr="00ED2536" w14:paraId="7C6C4AAF" w14:textId="77777777" w:rsidTr="00344957">
        <w:tc>
          <w:tcPr>
            <w:tcW w:w="3261" w:type="dxa"/>
            <w:vMerge/>
            <w:tcBorders>
              <w:left w:val="single" w:sz="18" w:space="0" w:color="auto"/>
              <w:bottom w:val="single" w:sz="18" w:space="0" w:color="auto"/>
              <w:right w:val="single" w:sz="18" w:space="0" w:color="auto"/>
            </w:tcBorders>
          </w:tcPr>
          <w:p w14:paraId="76797EB7" w14:textId="77777777" w:rsidR="00EB6533" w:rsidRPr="00ED2536" w:rsidRDefault="00EB6533" w:rsidP="00344957">
            <w:pPr>
              <w:pStyle w:val="Nadpis1"/>
            </w:pPr>
          </w:p>
        </w:tc>
        <w:tc>
          <w:tcPr>
            <w:tcW w:w="1842" w:type="dxa"/>
            <w:tcBorders>
              <w:top w:val="single" w:sz="12" w:space="0" w:color="auto"/>
              <w:left w:val="nil"/>
              <w:bottom w:val="single" w:sz="18" w:space="0" w:color="auto"/>
              <w:right w:val="single" w:sz="6" w:space="0" w:color="auto"/>
            </w:tcBorders>
          </w:tcPr>
          <w:p w14:paraId="2DFF2CB1" w14:textId="77777777" w:rsidR="00EB6533" w:rsidRPr="00ED2536" w:rsidRDefault="00EB6533" w:rsidP="00344957">
            <w:pPr>
              <w:jc w:val="center"/>
              <w:rPr>
                <w:b/>
                <w:sz w:val="24"/>
              </w:rPr>
            </w:pPr>
            <w:r w:rsidRPr="00ED2536">
              <w:rPr>
                <w:b/>
                <w:sz w:val="24"/>
              </w:rPr>
              <w:t>Průměrná cena</w:t>
            </w:r>
          </w:p>
        </w:tc>
        <w:tc>
          <w:tcPr>
            <w:tcW w:w="1843" w:type="dxa"/>
            <w:tcBorders>
              <w:top w:val="single" w:sz="12" w:space="0" w:color="auto"/>
              <w:left w:val="single" w:sz="6" w:space="0" w:color="auto"/>
              <w:bottom w:val="single" w:sz="18" w:space="0" w:color="auto"/>
              <w:right w:val="single" w:sz="6" w:space="0" w:color="auto"/>
            </w:tcBorders>
          </w:tcPr>
          <w:p w14:paraId="31623FAB" w14:textId="77777777" w:rsidR="00EB6533" w:rsidRPr="00ED2536" w:rsidRDefault="00EB6533" w:rsidP="00344957">
            <w:pPr>
              <w:jc w:val="center"/>
              <w:rPr>
                <w:b/>
                <w:sz w:val="24"/>
              </w:rPr>
            </w:pPr>
            <w:r w:rsidRPr="00ED2536">
              <w:rPr>
                <w:b/>
                <w:sz w:val="24"/>
              </w:rPr>
              <w:t>Minimální cena</w:t>
            </w:r>
          </w:p>
        </w:tc>
        <w:tc>
          <w:tcPr>
            <w:tcW w:w="1985" w:type="dxa"/>
            <w:tcBorders>
              <w:top w:val="single" w:sz="12" w:space="0" w:color="auto"/>
              <w:left w:val="single" w:sz="6" w:space="0" w:color="auto"/>
              <w:bottom w:val="single" w:sz="18" w:space="0" w:color="auto"/>
              <w:right w:val="single" w:sz="18" w:space="0" w:color="auto"/>
            </w:tcBorders>
          </w:tcPr>
          <w:p w14:paraId="213153E5" w14:textId="77777777" w:rsidR="00EB6533" w:rsidRPr="00ED2536" w:rsidRDefault="00EB6533" w:rsidP="00344957">
            <w:pPr>
              <w:jc w:val="center"/>
              <w:rPr>
                <w:b/>
                <w:sz w:val="24"/>
              </w:rPr>
            </w:pPr>
            <w:r w:rsidRPr="00ED2536">
              <w:rPr>
                <w:b/>
                <w:sz w:val="24"/>
              </w:rPr>
              <w:t>Maximální cena</w:t>
            </w:r>
          </w:p>
        </w:tc>
      </w:tr>
      <w:tr w:rsidR="00EB6533" w:rsidRPr="00ED2536" w14:paraId="2C2C2995" w14:textId="77777777" w:rsidTr="00344957">
        <w:tc>
          <w:tcPr>
            <w:tcW w:w="3261" w:type="dxa"/>
            <w:tcBorders>
              <w:top w:val="nil"/>
              <w:left w:val="single" w:sz="18" w:space="0" w:color="auto"/>
              <w:bottom w:val="single" w:sz="6" w:space="0" w:color="auto"/>
              <w:right w:val="single" w:sz="18" w:space="0" w:color="auto"/>
            </w:tcBorders>
          </w:tcPr>
          <w:p w14:paraId="617A1B40" w14:textId="77777777" w:rsidR="00EB6533" w:rsidRPr="00ED2536" w:rsidRDefault="00EB6533" w:rsidP="00344957">
            <w:pPr>
              <w:rPr>
                <w:sz w:val="24"/>
              </w:rPr>
            </w:pPr>
            <w:r w:rsidRPr="00ED2536">
              <w:rPr>
                <w:sz w:val="24"/>
              </w:rPr>
              <w:t>Vnitřní město</w:t>
            </w:r>
          </w:p>
        </w:tc>
        <w:tc>
          <w:tcPr>
            <w:tcW w:w="1842" w:type="dxa"/>
            <w:tcBorders>
              <w:top w:val="nil"/>
              <w:left w:val="nil"/>
              <w:bottom w:val="single" w:sz="6" w:space="0" w:color="auto"/>
              <w:right w:val="single" w:sz="6" w:space="0" w:color="auto"/>
            </w:tcBorders>
          </w:tcPr>
          <w:p w14:paraId="247453DF" w14:textId="78A19C19" w:rsidR="00EB6533" w:rsidRPr="00ED2536" w:rsidRDefault="00EB6533" w:rsidP="00EB6533">
            <w:pPr>
              <w:jc w:val="center"/>
              <w:rPr>
                <w:sz w:val="24"/>
              </w:rPr>
            </w:pPr>
            <w:r>
              <w:rPr>
                <w:sz w:val="24"/>
              </w:rPr>
              <w:t>2 441</w:t>
            </w:r>
          </w:p>
        </w:tc>
        <w:tc>
          <w:tcPr>
            <w:tcW w:w="1843" w:type="dxa"/>
            <w:tcBorders>
              <w:top w:val="nil"/>
              <w:left w:val="single" w:sz="6" w:space="0" w:color="auto"/>
              <w:bottom w:val="single" w:sz="6" w:space="0" w:color="auto"/>
              <w:right w:val="single" w:sz="6" w:space="0" w:color="auto"/>
            </w:tcBorders>
          </w:tcPr>
          <w:p w14:paraId="1DC261E3" w14:textId="1BC2B6B4" w:rsidR="00EB6533" w:rsidRPr="00ED2536" w:rsidRDefault="00EB6533" w:rsidP="00EB6533">
            <w:pPr>
              <w:jc w:val="center"/>
              <w:rPr>
                <w:sz w:val="24"/>
              </w:rPr>
            </w:pPr>
            <w:r w:rsidRPr="00ED2536">
              <w:rPr>
                <w:sz w:val="24"/>
              </w:rPr>
              <w:t>1</w:t>
            </w:r>
            <w:r>
              <w:rPr>
                <w:sz w:val="24"/>
              </w:rPr>
              <w:t>04</w:t>
            </w:r>
          </w:p>
        </w:tc>
        <w:tc>
          <w:tcPr>
            <w:tcW w:w="1985" w:type="dxa"/>
            <w:tcBorders>
              <w:top w:val="nil"/>
              <w:left w:val="single" w:sz="6" w:space="0" w:color="auto"/>
              <w:bottom w:val="single" w:sz="6" w:space="0" w:color="auto"/>
              <w:right w:val="single" w:sz="18" w:space="0" w:color="auto"/>
            </w:tcBorders>
          </w:tcPr>
          <w:p w14:paraId="45320D11" w14:textId="3B6D2381" w:rsidR="00EB6533" w:rsidRPr="00ED2536" w:rsidRDefault="00EB6533" w:rsidP="00EB6533">
            <w:pPr>
              <w:jc w:val="center"/>
              <w:rPr>
                <w:sz w:val="24"/>
              </w:rPr>
            </w:pPr>
            <w:r>
              <w:rPr>
                <w:sz w:val="24"/>
              </w:rPr>
              <w:t>16</w:t>
            </w:r>
            <w:r w:rsidRPr="00ED2536">
              <w:rPr>
                <w:sz w:val="24"/>
              </w:rPr>
              <w:t xml:space="preserve"> </w:t>
            </w:r>
            <w:r>
              <w:rPr>
                <w:sz w:val="24"/>
              </w:rPr>
              <w:t>667</w:t>
            </w:r>
          </w:p>
        </w:tc>
      </w:tr>
      <w:tr w:rsidR="00EB6533" w:rsidRPr="00ED2536" w14:paraId="22067585" w14:textId="77777777" w:rsidTr="00344957">
        <w:tc>
          <w:tcPr>
            <w:tcW w:w="3261" w:type="dxa"/>
            <w:tcBorders>
              <w:top w:val="single" w:sz="6" w:space="0" w:color="auto"/>
              <w:left w:val="single" w:sz="18" w:space="0" w:color="auto"/>
              <w:bottom w:val="single" w:sz="6" w:space="0" w:color="auto"/>
              <w:right w:val="single" w:sz="18" w:space="0" w:color="auto"/>
            </w:tcBorders>
          </w:tcPr>
          <w:p w14:paraId="3543FBE4" w14:textId="77777777" w:rsidR="00EB6533" w:rsidRPr="00ED2536" w:rsidRDefault="00EB6533" w:rsidP="00344957">
            <w:pPr>
              <w:rPr>
                <w:sz w:val="24"/>
              </w:rPr>
            </w:pPr>
            <w:r w:rsidRPr="00ED2536">
              <w:rPr>
                <w:sz w:val="24"/>
              </w:rPr>
              <w:t>Okrajová část vnitřního města</w:t>
            </w:r>
          </w:p>
        </w:tc>
        <w:tc>
          <w:tcPr>
            <w:tcW w:w="1842" w:type="dxa"/>
            <w:tcBorders>
              <w:top w:val="single" w:sz="6" w:space="0" w:color="auto"/>
              <w:left w:val="nil"/>
              <w:bottom w:val="single" w:sz="6" w:space="0" w:color="auto"/>
              <w:right w:val="single" w:sz="6" w:space="0" w:color="auto"/>
            </w:tcBorders>
          </w:tcPr>
          <w:p w14:paraId="0C232D9A" w14:textId="683D4CAE" w:rsidR="00EB6533" w:rsidRPr="00ED2536" w:rsidRDefault="00EB6533" w:rsidP="00EB6533">
            <w:pPr>
              <w:jc w:val="center"/>
              <w:rPr>
                <w:sz w:val="24"/>
              </w:rPr>
            </w:pPr>
            <w:r w:rsidRPr="00ED2536">
              <w:rPr>
                <w:sz w:val="24"/>
              </w:rPr>
              <w:t xml:space="preserve">1 </w:t>
            </w:r>
            <w:r>
              <w:rPr>
                <w:sz w:val="24"/>
              </w:rPr>
              <w:t>252</w:t>
            </w:r>
          </w:p>
        </w:tc>
        <w:tc>
          <w:tcPr>
            <w:tcW w:w="1843" w:type="dxa"/>
            <w:tcBorders>
              <w:top w:val="single" w:sz="6" w:space="0" w:color="auto"/>
              <w:left w:val="single" w:sz="6" w:space="0" w:color="auto"/>
              <w:bottom w:val="single" w:sz="6" w:space="0" w:color="auto"/>
              <w:right w:val="single" w:sz="6" w:space="0" w:color="auto"/>
            </w:tcBorders>
          </w:tcPr>
          <w:p w14:paraId="3C992345" w14:textId="3CFE44D5" w:rsidR="00EB6533" w:rsidRPr="00ED2536" w:rsidRDefault="00EB6533" w:rsidP="00344957">
            <w:pPr>
              <w:jc w:val="center"/>
              <w:rPr>
                <w:sz w:val="24"/>
              </w:rPr>
            </w:pPr>
            <w:r>
              <w:rPr>
                <w:sz w:val="24"/>
              </w:rPr>
              <w:t>66</w:t>
            </w:r>
          </w:p>
        </w:tc>
        <w:tc>
          <w:tcPr>
            <w:tcW w:w="1985" w:type="dxa"/>
            <w:tcBorders>
              <w:top w:val="single" w:sz="6" w:space="0" w:color="auto"/>
              <w:left w:val="single" w:sz="6" w:space="0" w:color="auto"/>
              <w:bottom w:val="single" w:sz="6" w:space="0" w:color="auto"/>
              <w:right w:val="single" w:sz="18" w:space="0" w:color="auto"/>
            </w:tcBorders>
          </w:tcPr>
          <w:p w14:paraId="59EADBFE" w14:textId="284749AF" w:rsidR="00EB6533" w:rsidRPr="00ED2536" w:rsidRDefault="00EB6533" w:rsidP="00EB6533">
            <w:pPr>
              <w:jc w:val="center"/>
              <w:rPr>
                <w:sz w:val="24"/>
              </w:rPr>
            </w:pPr>
            <w:r>
              <w:rPr>
                <w:sz w:val="24"/>
              </w:rPr>
              <w:t>4</w:t>
            </w:r>
            <w:r w:rsidRPr="00ED2536">
              <w:rPr>
                <w:sz w:val="24"/>
              </w:rPr>
              <w:t xml:space="preserve"> </w:t>
            </w:r>
            <w:r>
              <w:rPr>
                <w:sz w:val="24"/>
              </w:rPr>
              <w:t>930</w:t>
            </w:r>
          </w:p>
        </w:tc>
      </w:tr>
      <w:tr w:rsidR="00EB6533" w:rsidRPr="00ED2536" w14:paraId="281B3F3C" w14:textId="77777777" w:rsidTr="00344957">
        <w:tc>
          <w:tcPr>
            <w:tcW w:w="3261" w:type="dxa"/>
            <w:tcBorders>
              <w:top w:val="single" w:sz="6" w:space="0" w:color="auto"/>
              <w:left w:val="single" w:sz="18" w:space="0" w:color="auto"/>
              <w:bottom w:val="single" w:sz="6" w:space="0" w:color="auto"/>
              <w:right w:val="single" w:sz="18" w:space="0" w:color="auto"/>
            </w:tcBorders>
          </w:tcPr>
          <w:p w14:paraId="6CD7256A" w14:textId="77777777" w:rsidR="00EB6533" w:rsidRPr="00ED2536" w:rsidRDefault="00EB6533" w:rsidP="00344957">
            <w:pPr>
              <w:rPr>
                <w:sz w:val="24"/>
              </w:rPr>
            </w:pPr>
            <w:r w:rsidRPr="00ED2536">
              <w:rPr>
                <w:sz w:val="24"/>
              </w:rPr>
              <w:t>Průmyslové části</w:t>
            </w:r>
          </w:p>
        </w:tc>
        <w:tc>
          <w:tcPr>
            <w:tcW w:w="1842" w:type="dxa"/>
            <w:tcBorders>
              <w:top w:val="single" w:sz="6" w:space="0" w:color="auto"/>
              <w:left w:val="nil"/>
              <w:bottom w:val="single" w:sz="6" w:space="0" w:color="auto"/>
              <w:right w:val="single" w:sz="6" w:space="0" w:color="auto"/>
            </w:tcBorders>
          </w:tcPr>
          <w:p w14:paraId="14C332E5" w14:textId="43AA7BD7" w:rsidR="00EB6533" w:rsidRPr="00ED2536" w:rsidRDefault="00EB6533" w:rsidP="00EB6533">
            <w:pPr>
              <w:jc w:val="center"/>
              <w:rPr>
                <w:sz w:val="24"/>
              </w:rPr>
            </w:pPr>
            <w:r w:rsidRPr="00ED2536">
              <w:rPr>
                <w:sz w:val="24"/>
              </w:rPr>
              <w:t xml:space="preserve">1 </w:t>
            </w:r>
            <w:r>
              <w:rPr>
                <w:sz w:val="24"/>
              </w:rPr>
              <w:t>728</w:t>
            </w:r>
          </w:p>
        </w:tc>
        <w:tc>
          <w:tcPr>
            <w:tcW w:w="1843" w:type="dxa"/>
            <w:tcBorders>
              <w:top w:val="single" w:sz="6" w:space="0" w:color="auto"/>
              <w:left w:val="single" w:sz="6" w:space="0" w:color="auto"/>
              <w:bottom w:val="single" w:sz="6" w:space="0" w:color="auto"/>
              <w:right w:val="single" w:sz="6" w:space="0" w:color="auto"/>
            </w:tcBorders>
          </w:tcPr>
          <w:p w14:paraId="1F843783" w14:textId="45A76190" w:rsidR="00EB6533" w:rsidRPr="00ED2536" w:rsidRDefault="00EB6533" w:rsidP="00344957">
            <w:pPr>
              <w:jc w:val="center"/>
              <w:rPr>
                <w:sz w:val="24"/>
              </w:rPr>
            </w:pPr>
            <w:r>
              <w:rPr>
                <w:sz w:val="24"/>
              </w:rPr>
              <w:t>244</w:t>
            </w:r>
          </w:p>
        </w:tc>
        <w:tc>
          <w:tcPr>
            <w:tcW w:w="1985" w:type="dxa"/>
            <w:tcBorders>
              <w:top w:val="single" w:sz="6" w:space="0" w:color="auto"/>
              <w:left w:val="single" w:sz="6" w:space="0" w:color="auto"/>
              <w:bottom w:val="single" w:sz="6" w:space="0" w:color="auto"/>
              <w:right w:val="single" w:sz="18" w:space="0" w:color="auto"/>
            </w:tcBorders>
          </w:tcPr>
          <w:p w14:paraId="2E525889" w14:textId="4AD451E0" w:rsidR="00EB6533" w:rsidRPr="00ED2536" w:rsidRDefault="00EB6533" w:rsidP="00EB6533">
            <w:pPr>
              <w:jc w:val="center"/>
              <w:rPr>
                <w:sz w:val="24"/>
              </w:rPr>
            </w:pPr>
            <w:r>
              <w:rPr>
                <w:sz w:val="24"/>
              </w:rPr>
              <w:t>3</w:t>
            </w:r>
            <w:r w:rsidRPr="00ED2536">
              <w:rPr>
                <w:sz w:val="24"/>
              </w:rPr>
              <w:t xml:space="preserve"> </w:t>
            </w:r>
            <w:r>
              <w:rPr>
                <w:sz w:val="24"/>
              </w:rPr>
              <w:t>2</w:t>
            </w:r>
            <w:r w:rsidRPr="00ED2536">
              <w:rPr>
                <w:sz w:val="24"/>
              </w:rPr>
              <w:t>00</w:t>
            </w:r>
          </w:p>
        </w:tc>
      </w:tr>
      <w:tr w:rsidR="00EB6533" w:rsidRPr="00ED2536" w14:paraId="0BE87B5D" w14:textId="77777777" w:rsidTr="00344957">
        <w:tc>
          <w:tcPr>
            <w:tcW w:w="3261" w:type="dxa"/>
            <w:tcBorders>
              <w:top w:val="single" w:sz="6" w:space="0" w:color="auto"/>
              <w:left w:val="single" w:sz="18" w:space="0" w:color="auto"/>
              <w:bottom w:val="single" w:sz="18" w:space="0" w:color="auto"/>
              <w:right w:val="single" w:sz="18" w:space="0" w:color="auto"/>
            </w:tcBorders>
          </w:tcPr>
          <w:p w14:paraId="3855B4DE" w14:textId="77777777" w:rsidR="00EB6533" w:rsidRPr="00ED2536" w:rsidRDefault="00EB6533" w:rsidP="00344957">
            <w:pPr>
              <w:pStyle w:val="Nadpis1"/>
            </w:pPr>
            <w:r w:rsidRPr="00ED2536">
              <w:t>Území mimo kompaktní město</w:t>
            </w:r>
          </w:p>
        </w:tc>
        <w:tc>
          <w:tcPr>
            <w:tcW w:w="1842" w:type="dxa"/>
            <w:tcBorders>
              <w:top w:val="single" w:sz="6" w:space="0" w:color="auto"/>
              <w:left w:val="nil"/>
              <w:bottom w:val="single" w:sz="18" w:space="0" w:color="auto"/>
              <w:right w:val="single" w:sz="6" w:space="0" w:color="auto"/>
            </w:tcBorders>
          </w:tcPr>
          <w:p w14:paraId="4B087AD8" w14:textId="5BA61B42" w:rsidR="00EB6533" w:rsidRPr="00ED2536" w:rsidRDefault="00EB6533" w:rsidP="00344957">
            <w:pPr>
              <w:jc w:val="center"/>
              <w:rPr>
                <w:sz w:val="24"/>
              </w:rPr>
            </w:pPr>
            <w:r w:rsidRPr="00ED2536">
              <w:rPr>
                <w:sz w:val="24"/>
              </w:rPr>
              <w:t>5</w:t>
            </w:r>
            <w:r>
              <w:rPr>
                <w:sz w:val="24"/>
              </w:rPr>
              <w:t>66</w:t>
            </w:r>
          </w:p>
        </w:tc>
        <w:tc>
          <w:tcPr>
            <w:tcW w:w="1843" w:type="dxa"/>
            <w:tcBorders>
              <w:top w:val="single" w:sz="6" w:space="0" w:color="auto"/>
              <w:left w:val="single" w:sz="6" w:space="0" w:color="auto"/>
              <w:bottom w:val="single" w:sz="18" w:space="0" w:color="auto"/>
              <w:right w:val="single" w:sz="6" w:space="0" w:color="auto"/>
            </w:tcBorders>
          </w:tcPr>
          <w:p w14:paraId="1F5D9447" w14:textId="665B6D71" w:rsidR="00EB6533" w:rsidRPr="00ED2536" w:rsidRDefault="00EB6533" w:rsidP="00344957">
            <w:pPr>
              <w:jc w:val="center"/>
              <w:rPr>
                <w:sz w:val="24"/>
              </w:rPr>
            </w:pPr>
            <w:r>
              <w:rPr>
                <w:sz w:val="24"/>
              </w:rPr>
              <w:t>234</w:t>
            </w:r>
          </w:p>
        </w:tc>
        <w:tc>
          <w:tcPr>
            <w:tcW w:w="1985" w:type="dxa"/>
            <w:tcBorders>
              <w:top w:val="single" w:sz="6" w:space="0" w:color="auto"/>
              <w:left w:val="single" w:sz="6" w:space="0" w:color="auto"/>
              <w:bottom w:val="single" w:sz="18" w:space="0" w:color="auto"/>
              <w:right w:val="single" w:sz="18" w:space="0" w:color="auto"/>
            </w:tcBorders>
          </w:tcPr>
          <w:p w14:paraId="640E192B" w14:textId="7B7C5935" w:rsidR="00EB6533" w:rsidRPr="00ED2536" w:rsidRDefault="00EB6533" w:rsidP="00EB6533">
            <w:pPr>
              <w:jc w:val="center"/>
              <w:rPr>
                <w:sz w:val="24"/>
              </w:rPr>
            </w:pPr>
            <w:r w:rsidRPr="00ED2536">
              <w:rPr>
                <w:sz w:val="24"/>
              </w:rPr>
              <w:t xml:space="preserve">2 </w:t>
            </w:r>
            <w:r>
              <w:rPr>
                <w:sz w:val="24"/>
              </w:rPr>
              <w:t>779</w:t>
            </w:r>
          </w:p>
        </w:tc>
      </w:tr>
    </w:tbl>
    <w:p w14:paraId="7C2C258C" w14:textId="77777777" w:rsidR="008B401E" w:rsidRDefault="008B401E" w:rsidP="00360526">
      <w:pPr>
        <w:pStyle w:val="Nadpis2"/>
        <w:numPr>
          <w:ilvl w:val="0"/>
          <w:numId w:val="0"/>
        </w:numPr>
        <w:tabs>
          <w:tab w:val="clear" w:pos="576"/>
        </w:tabs>
        <w:spacing w:before="120"/>
      </w:pPr>
    </w:p>
    <w:p w14:paraId="44A95AD4" w14:textId="77777777" w:rsidR="00360526" w:rsidRPr="00CE06D0" w:rsidRDefault="00360526" w:rsidP="00360526">
      <w:pPr>
        <w:pStyle w:val="Nadpis2"/>
        <w:numPr>
          <w:ilvl w:val="0"/>
          <w:numId w:val="0"/>
        </w:numPr>
        <w:tabs>
          <w:tab w:val="clear" w:pos="576"/>
        </w:tabs>
        <w:spacing w:before="120"/>
      </w:pPr>
      <w:r w:rsidRPr="00CE06D0">
        <w:t xml:space="preserve">Pozemky pro individuální bytovou výstavbu </w:t>
      </w:r>
    </w:p>
    <w:p w14:paraId="4E982EE6" w14:textId="3329F829" w:rsidR="00594D1F" w:rsidRDefault="00A37DDF" w:rsidP="00594D1F">
      <w:pPr>
        <w:spacing w:before="240"/>
        <w:ind w:firstLine="425"/>
        <w:jc w:val="both"/>
        <w:rPr>
          <w:sz w:val="24"/>
        </w:rPr>
      </w:pPr>
      <w:r w:rsidRPr="00860B21">
        <w:rPr>
          <w:sz w:val="24"/>
        </w:rPr>
        <w:t>V oblasti individuálního bydlení</w:t>
      </w:r>
      <w:r w:rsidR="00C6176B" w:rsidRPr="00860B21">
        <w:rPr>
          <w:sz w:val="24"/>
        </w:rPr>
        <w:t xml:space="preserve"> </w:t>
      </w:r>
      <w:r w:rsidRPr="00860B21">
        <w:rPr>
          <w:sz w:val="24"/>
        </w:rPr>
        <w:t xml:space="preserve">průměrná cena v rámci města oproti minulému </w:t>
      </w:r>
      <w:r w:rsidR="003D605C" w:rsidRPr="00860B21">
        <w:rPr>
          <w:sz w:val="24"/>
        </w:rPr>
        <w:t xml:space="preserve">období </w:t>
      </w:r>
      <w:r w:rsidR="0063564D">
        <w:rPr>
          <w:sz w:val="24"/>
        </w:rPr>
        <w:t>vzrostla</w:t>
      </w:r>
      <w:r w:rsidRPr="00860B21">
        <w:rPr>
          <w:sz w:val="24"/>
        </w:rPr>
        <w:t xml:space="preserve"> </w:t>
      </w:r>
      <w:r w:rsidR="00CE06D0" w:rsidRPr="00860B21">
        <w:rPr>
          <w:sz w:val="24"/>
        </w:rPr>
        <w:t>z</w:t>
      </w:r>
      <w:r w:rsidR="007450CD">
        <w:rPr>
          <w:sz w:val="24"/>
        </w:rPr>
        <w:t>e</w:t>
      </w:r>
      <w:r w:rsidR="00CE06D0" w:rsidRPr="00860B21">
        <w:rPr>
          <w:sz w:val="24"/>
        </w:rPr>
        <w:t xml:space="preserve"> </w:t>
      </w:r>
      <w:r w:rsidR="0063564D">
        <w:rPr>
          <w:sz w:val="24"/>
        </w:rPr>
        <w:t>7</w:t>
      </w:r>
      <w:r w:rsidR="00457DB4">
        <w:rPr>
          <w:sz w:val="24"/>
        </w:rPr>
        <w:t>92</w:t>
      </w:r>
      <w:r w:rsidR="009011F4" w:rsidRPr="00860B21">
        <w:rPr>
          <w:sz w:val="24"/>
        </w:rPr>
        <w:t xml:space="preserve"> </w:t>
      </w:r>
      <w:r w:rsidRPr="00860B21">
        <w:rPr>
          <w:sz w:val="24"/>
        </w:rPr>
        <w:t>Kč</w:t>
      </w:r>
      <w:r w:rsidR="00CE06D0" w:rsidRPr="00860B21">
        <w:rPr>
          <w:sz w:val="24"/>
        </w:rPr>
        <w:t xml:space="preserve"> </w:t>
      </w:r>
      <w:r w:rsidRPr="00860B21">
        <w:rPr>
          <w:sz w:val="24"/>
        </w:rPr>
        <w:t>na</w:t>
      </w:r>
      <w:r w:rsidR="003D605C" w:rsidRPr="00860B21">
        <w:rPr>
          <w:sz w:val="24"/>
        </w:rPr>
        <w:t> </w:t>
      </w:r>
      <w:r w:rsidR="00457DB4">
        <w:rPr>
          <w:sz w:val="24"/>
        </w:rPr>
        <w:t>1 023</w:t>
      </w:r>
      <w:r w:rsidRPr="00860B21">
        <w:rPr>
          <w:sz w:val="24"/>
        </w:rPr>
        <w:t xml:space="preserve"> Kč za m</w:t>
      </w:r>
      <w:r w:rsidRPr="00860B21">
        <w:rPr>
          <w:sz w:val="24"/>
          <w:vertAlign w:val="superscript"/>
        </w:rPr>
        <w:t>2</w:t>
      </w:r>
      <w:r w:rsidR="001A7E9A">
        <w:rPr>
          <w:sz w:val="24"/>
        </w:rPr>
        <w:t>.</w:t>
      </w:r>
      <w:r w:rsidR="00795793">
        <w:rPr>
          <w:sz w:val="24"/>
        </w:rPr>
        <w:t xml:space="preserve"> </w:t>
      </w:r>
      <w:r w:rsidR="001A7E9A">
        <w:rPr>
          <w:sz w:val="24"/>
        </w:rPr>
        <w:t>Z</w:t>
      </w:r>
      <w:r w:rsidR="0042075B" w:rsidRPr="00860B21">
        <w:rPr>
          <w:sz w:val="24"/>
        </w:rPr>
        <w:t xml:space="preserve">aznamenán </w:t>
      </w:r>
      <w:r w:rsidR="00096EBC" w:rsidRPr="00860B21">
        <w:rPr>
          <w:sz w:val="24"/>
        </w:rPr>
        <w:t xml:space="preserve">byl </w:t>
      </w:r>
      <w:r w:rsidR="00457DB4">
        <w:rPr>
          <w:sz w:val="24"/>
        </w:rPr>
        <w:t xml:space="preserve">výrazný </w:t>
      </w:r>
      <w:r w:rsidR="00096EBC">
        <w:rPr>
          <w:sz w:val="24"/>
        </w:rPr>
        <w:t>nárůst</w:t>
      </w:r>
      <w:r w:rsidR="00795793">
        <w:rPr>
          <w:sz w:val="24"/>
        </w:rPr>
        <w:t xml:space="preserve"> </w:t>
      </w:r>
      <w:r w:rsidR="0042075B" w:rsidRPr="00A3209E">
        <w:rPr>
          <w:sz w:val="24"/>
        </w:rPr>
        <w:t>objemu převodů</w:t>
      </w:r>
      <w:r w:rsidR="00795793" w:rsidRPr="00A3209E">
        <w:rPr>
          <w:sz w:val="24"/>
        </w:rPr>
        <w:t xml:space="preserve"> a</w:t>
      </w:r>
      <w:r w:rsidR="0063564D">
        <w:rPr>
          <w:sz w:val="24"/>
        </w:rPr>
        <w:t xml:space="preserve">ž </w:t>
      </w:r>
      <w:r w:rsidR="0042075B" w:rsidRPr="00A3209E">
        <w:rPr>
          <w:sz w:val="24"/>
        </w:rPr>
        <w:t>o</w:t>
      </w:r>
      <w:r w:rsidR="003D605C" w:rsidRPr="00A3209E">
        <w:rPr>
          <w:sz w:val="24"/>
        </w:rPr>
        <w:t> </w:t>
      </w:r>
      <w:r w:rsidR="00457DB4">
        <w:rPr>
          <w:sz w:val="24"/>
        </w:rPr>
        <w:t>129</w:t>
      </w:r>
      <w:r w:rsidR="0063564D">
        <w:rPr>
          <w:sz w:val="24"/>
        </w:rPr>
        <w:t xml:space="preserve"> </w:t>
      </w:r>
      <w:r w:rsidR="0042075B" w:rsidRPr="00A3209E">
        <w:rPr>
          <w:sz w:val="24"/>
        </w:rPr>
        <w:t>mil. Kč, tj. </w:t>
      </w:r>
      <w:r w:rsidR="00795793" w:rsidRPr="00A3209E">
        <w:rPr>
          <w:sz w:val="24"/>
        </w:rPr>
        <w:t xml:space="preserve">o </w:t>
      </w:r>
      <w:r w:rsidR="00457DB4">
        <w:rPr>
          <w:sz w:val="24"/>
        </w:rPr>
        <w:t>37</w:t>
      </w:r>
      <w:r w:rsidR="00795793" w:rsidRPr="00A3209E">
        <w:rPr>
          <w:sz w:val="24"/>
        </w:rPr>
        <w:t> %</w:t>
      </w:r>
      <w:r w:rsidR="0042075B" w:rsidRPr="00A3209E">
        <w:rPr>
          <w:sz w:val="24"/>
        </w:rPr>
        <w:t xml:space="preserve">, </w:t>
      </w:r>
      <w:r w:rsidR="0063564D">
        <w:rPr>
          <w:sz w:val="24"/>
        </w:rPr>
        <w:t xml:space="preserve">při </w:t>
      </w:r>
      <w:r w:rsidR="00457DB4">
        <w:rPr>
          <w:sz w:val="24"/>
        </w:rPr>
        <w:t>nárůstu</w:t>
      </w:r>
      <w:r w:rsidR="0063564D">
        <w:rPr>
          <w:sz w:val="24"/>
        </w:rPr>
        <w:t xml:space="preserve"> </w:t>
      </w:r>
      <w:r w:rsidR="00096EBC">
        <w:rPr>
          <w:sz w:val="24"/>
        </w:rPr>
        <w:t>počtu uskute</w:t>
      </w:r>
      <w:r w:rsidR="0042075B" w:rsidRPr="00A3209E">
        <w:rPr>
          <w:sz w:val="24"/>
        </w:rPr>
        <w:t>čněných transakcí o</w:t>
      </w:r>
      <w:r w:rsidR="00096EBC">
        <w:rPr>
          <w:sz w:val="24"/>
        </w:rPr>
        <w:t> </w:t>
      </w:r>
      <w:r w:rsidR="0042075B" w:rsidRPr="00A3209E">
        <w:rPr>
          <w:sz w:val="24"/>
        </w:rPr>
        <w:t> </w:t>
      </w:r>
      <w:r w:rsidR="00457DB4">
        <w:rPr>
          <w:sz w:val="24"/>
        </w:rPr>
        <w:t>2</w:t>
      </w:r>
      <w:r w:rsidR="0063564D">
        <w:rPr>
          <w:sz w:val="24"/>
        </w:rPr>
        <w:t xml:space="preserve">7 </w:t>
      </w:r>
      <w:r w:rsidR="0042075B" w:rsidRPr="00A3209E">
        <w:rPr>
          <w:sz w:val="24"/>
        </w:rPr>
        <w:t xml:space="preserve">%, </w:t>
      </w:r>
      <w:r w:rsidR="00795793" w:rsidRPr="00A3209E">
        <w:rPr>
          <w:sz w:val="24"/>
        </w:rPr>
        <w:t xml:space="preserve">s tím, že celkem bylo zobchodováno </w:t>
      </w:r>
      <w:r w:rsidR="00457DB4">
        <w:rPr>
          <w:sz w:val="24"/>
        </w:rPr>
        <w:t>681</w:t>
      </w:r>
      <w:r w:rsidR="00795793" w:rsidRPr="00A3209E">
        <w:rPr>
          <w:sz w:val="24"/>
        </w:rPr>
        <w:t xml:space="preserve"> pozemků</w:t>
      </w:r>
      <w:r w:rsidR="0042075B" w:rsidRPr="00A3209E">
        <w:rPr>
          <w:sz w:val="24"/>
        </w:rPr>
        <w:t xml:space="preserve">. V rámci čtyř sledovaných </w:t>
      </w:r>
      <w:r w:rsidR="00ED44A6" w:rsidRPr="00A3209E">
        <w:rPr>
          <w:sz w:val="24"/>
        </w:rPr>
        <w:t>polohových tříd</w:t>
      </w:r>
      <w:r w:rsidR="0042075B" w:rsidRPr="00A3209E">
        <w:rPr>
          <w:sz w:val="24"/>
        </w:rPr>
        <w:t xml:space="preserve"> </w:t>
      </w:r>
      <w:r w:rsidR="00780ED3">
        <w:rPr>
          <w:sz w:val="24"/>
        </w:rPr>
        <w:t>došlo k výrazným změnám v</w:t>
      </w:r>
      <w:r w:rsidR="0063564D">
        <w:rPr>
          <w:sz w:val="24"/>
        </w:rPr>
        <w:t> </w:t>
      </w:r>
      <w:r w:rsidR="0042075B" w:rsidRPr="00A3209E">
        <w:rPr>
          <w:sz w:val="24"/>
        </w:rPr>
        <w:t>objemu</w:t>
      </w:r>
      <w:r w:rsidR="0063564D">
        <w:rPr>
          <w:sz w:val="24"/>
        </w:rPr>
        <w:t xml:space="preserve"> obchodů především na </w:t>
      </w:r>
      <w:r w:rsidR="00457DB4">
        <w:rPr>
          <w:sz w:val="24"/>
        </w:rPr>
        <w:t>periferii města mimo kompaktní území</w:t>
      </w:r>
      <w:r w:rsidR="0063564D">
        <w:rPr>
          <w:sz w:val="24"/>
        </w:rPr>
        <w:t xml:space="preserve">, </w:t>
      </w:r>
      <w:r w:rsidR="0063564D" w:rsidRPr="00FF03D7">
        <w:rPr>
          <w:sz w:val="24"/>
        </w:rPr>
        <w:t xml:space="preserve">kde objem převodů narostl o </w:t>
      </w:r>
      <w:r w:rsidR="00457DB4" w:rsidRPr="00FF03D7">
        <w:rPr>
          <w:sz w:val="24"/>
        </w:rPr>
        <w:t>119</w:t>
      </w:r>
      <w:r w:rsidR="00594D1F" w:rsidRPr="00FF03D7">
        <w:rPr>
          <w:sz w:val="24"/>
        </w:rPr>
        <w:t xml:space="preserve"> mil. na celkových </w:t>
      </w:r>
      <w:r w:rsidR="00457DB4" w:rsidRPr="00FF03D7">
        <w:rPr>
          <w:sz w:val="24"/>
        </w:rPr>
        <w:t>396</w:t>
      </w:r>
      <w:r w:rsidR="006A2C6B" w:rsidRPr="00FF03D7">
        <w:rPr>
          <w:sz w:val="24"/>
        </w:rPr>
        <w:t> </w:t>
      </w:r>
      <w:r w:rsidR="00594D1F" w:rsidRPr="00FF03D7">
        <w:rPr>
          <w:sz w:val="24"/>
        </w:rPr>
        <w:t>mil.</w:t>
      </w:r>
      <w:r w:rsidR="006A2C6B" w:rsidRPr="00FF03D7">
        <w:rPr>
          <w:sz w:val="24"/>
        </w:rPr>
        <w:t> </w:t>
      </w:r>
      <w:r w:rsidR="00594D1F" w:rsidRPr="00FF03D7">
        <w:rPr>
          <w:sz w:val="24"/>
        </w:rPr>
        <w:t xml:space="preserve">Kč (nárůst o </w:t>
      </w:r>
      <w:r w:rsidR="004F7CA9" w:rsidRPr="00FF03D7">
        <w:rPr>
          <w:sz w:val="24"/>
        </w:rPr>
        <w:t>43</w:t>
      </w:r>
      <w:r w:rsidR="00603090" w:rsidRPr="00FF03D7">
        <w:rPr>
          <w:sz w:val="24"/>
        </w:rPr>
        <w:t> </w:t>
      </w:r>
      <w:r w:rsidR="00594D1F" w:rsidRPr="00FF03D7">
        <w:rPr>
          <w:sz w:val="24"/>
        </w:rPr>
        <w:t xml:space="preserve">%), při </w:t>
      </w:r>
      <w:r w:rsidR="004F7CA9" w:rsidRPr="00FF03D7">
        <w:rPr>
          <w:sz w:val="24"/>
        </w:rPr>
        <w:t xml:space="preserve">větším </w:t>
      </w:r>
      <w:r w:rsidR="00594D1F">
        <w:rPr>
          <w:sz w:val="24"/>
        </w:rPr>
        <w:t>počtu převodů</w:t>
      </w:r>
      <w:r w:rsidR="004F7CA9">
        <w:rPr>
          <w:sz w:val="24"/>
        </w:rPr>
        <w:t xml:space="preserve"> (496 pozemků)</w:t>
      </w:r>
      <w:r w:rsidR="00594D1F">
        <w:rPr>
          <w:sz w:val="24"/>
        </w:rPr>
        <w:t xml:space="preserve">. </w:t>
      </w:r>
      <w:r w:rsidR="00B35BE3">
        <w:rPr>
          <w:sz w:val="24"/>
        </w:rPr>
        <w:t>Nadále jsou v oblasti individuálního bydlení stěžejní okrajové části vnitřního města a území mimo kompaktní město, kde se uskutečn</w:t>
      </w:r>
      <w:r w:rsidR="004F7CA9">
        <w:rPr>
          <w:sz w:val="24"/>
        </w:rPr>
        <w:t>ila</w:t>
      </w:r>
      <w:r w:rsidR="00B35BE3">
        <w:rPr>
          <w:sz w:val="24"/>
        </w:rPr>
        <w:t xml:space="preserve"> většina p</w:t>
      </w:r>
      <w:r w:rsidR="000A4779">
        <w:rPr>
          <w:sz w:val="24"/>
        </w:rPr>
        <w:t xml:space="preserve">řevodů </w:t>
      </w:r>
      <w:r w:rsidR="00B35BE3">
        <w:rPr>
          <w:sz w:val="24"/>
        </w:rPr>
        <w:t>v rámci města (</w:t>
      </w:r>
      <w:r w:rsidR="00594D1F">
        <w:rPr>
          <w:sz w:val="24"/>
        </w:rPr>
        <w:t>9</w:t>
      </w:r>
      <w:r w:rsidR="004F7CA9">
        <w:rPr>
          <w:sz w:val="24"/>
        </w:rPr>
        <w:t>6</w:t>
      </w:r>
      <w:r w:rsidR="00B35BE3">
        <w:rPr>
          <w:sz w:val="24"/>
        </w:rPr>
        <w:t> % transakcí z hlediska počtu i</w:t>
      </w:r>
      <w:r w:rsidR="006A2C6B">
        <w:rPr>
          <w:sz w:val="24"/>
        </w:rPr>
        <w:t> </w:t>
      </w:r>
      <w:r w:rsidR="00B35BE3">
        <w:rPr>
          <w:sz w:val="24"/>
        </w:rPr>
        <w:t xml:space="preserve">objemu </w:t>
      </w:r>
      <w:r w:rsidR="007450CD">
        <w:rPr>
          <w:sz w:val="24"/>
        </w:rPr>
        <w:t>obchodů</w:t>
      </w:r>
      <w:r w:rsidR="00B35BE3">
        <w:rPr>
          <w:sz w:val="24"/>
        </w:rPr>
        <w:t>)</w:t>
      </w:r>
      <w:r w:rsidR="0042075B" w:rsidRPr="00820404">
        <w:rPr>
          <w:sz w:val="24"/>
        </w:rPr>
        <w:t xml:space="preserve">. </w:t>
      </w:r>
    </w:p>
    <w:p w14:paraId="10E16E09" w14:textId="6E2EBCC7" w:rsidR="00503BDE" w:rsidRDefault="004253EE" w:rsidP="00594D1F">
      <w:pPr>
        <w:spacing w:before="240"/>
        <w:ind w:firstLine="425"/>
        <w:jc w:val="both"/>
        <w:rPr>
          <w:sz w:val="24"/>
        </w:rPr>
      </w:pPr>
      <w:r>
        <w:rPr>
          <w:sz w:val="24"/>
        </w:rPr>
        <w:lastRenderedPageBreak/>
        <w:t>V k</w:t>
      </w:r>
      <w:r w:rsidR="00503BDE">
        <w:rPr>
          <w:sz w:val="24"/>
        </w:rPr>
        <w:t>ategori</w:t>
      </w:r>
      <w:r>
        <w:rPr>
          <w:sz w:val="24"/>
        </w:rPr>
        <w:t>i</w:t>
      </w:r>
      <w:r w:rsidR="00503BDE">
        <w:rPr>
          <w:sz w:val="24"/>
        </w:rPr>
        <w:t xml:space="preserve"> pozemků pro rodinné bydlení</w:t>
      </w:r>
      <w:r w:rsidR="004F7CA9">
        <w:rPr>
          <w:sz w:val="24"/>
        </w:rPr>
        <w:t xml:space="preserve"> </w:t>
      </w:r>
      <w:r>
        <w:rPr>
          <w:sz w:val="24"/>
        </w:rPr>
        <w:t>byla v roce 2021 rovněž zaznamenána</w:t>
      </w:r>
      <w:r w:rsidR="004F7CA9">
        <w:rPr>
          <w:sz w:val="24"/>
        </w:rPr>
        <w:t xml:space="preserve"> </w:t>
      </w:r>
      <w:r>
        <w:rPr>
          <w:sz w:val="24"/>
        </w:rPr>
        <w:t>zvýšená</w:t>
      </w:r>
      <w:r w:rsidR="004F7CA9">
        <w:rPr>
          <w:sz w:val="24"/>
        </w:rPr>
        <w:t xml:space="preserve"> </w:t>
      </w:r>
      <w:r>
        <w:rPr>
          <w:sz w:val="24"/>
        </w:rPr>
        <w:t xml:space="preserve">aktivita, obdobně jako u všech ostatních </w:t>
      </w:r>
      <w:r w:rsidR="00B867CD">
        <w:rPr>
          <w:sz w:val="24"/>
        </w:rPr>
        <w:t>kategorií</w:t>
      </w:r>
      <w:r>
        <w:rPr>
          <w:sz w:val="24"/>
        </w:rPr>
        <w:t xml:space="preserve"> pozemků v Ostravě. </w:t>
      </w:r>
      <w:r w:rsidR="00503BDE">
        <w:rPr>
          <w:sz w:val="24"/>
        </w:rPr>
        <w:t>Jedná se o</w:t>
      </w:r>
      <w:r w:rsidR="00002430">
        <w:rPr>
          <w:sz w:val="24"/>
        </w:rPr>
        <w:t> </w:t>
      </w:r>
      <w:r w:rsidR="00503BDE">
        <w:rPr>
          <w:sz w:val="24"/>
        </w:rPr>
        <w:t>nejstabilnější segment trhu s nejmenšími výkyvy cen</w:t>
      </w:r>
      <w:r w:rsidR="00A66F3A">
        <w:rPr>
          <w:sz w:val="24"/>
        </w:rPr>
        <w:t xml:space="preserve"> a kontinuálně</w:t>
      </w:r>
      <w:r w:rsidR="00503BDE">
        <w:rPr>
          <w:sz w:val="24"/>
        </w:rPr>
        <w:t xml:space="preserve"> rostoucím objemem obchodů</w:t>
      </w:r>
      <w:r>
        <w:rPr>
          <w:sz w:val="24"/>
        </w:rPr>
        <w:t xml:space="preserve"> i vzrůstající průměrnou cenou</w:t>
      </w:r>
      <w:r w:rsidR="00503BDE">
        <w:rPr>
          <w:sz w:val="24"/>
        </w:rPr>
        <w:t>, což dokazuje přetrvávající zájem o</w:t>
      </w:r>
      <w:r w:rsidR="006A2C6B">
        <w:rPr>
          <w:sz w:val="24"/>
        </w:rPr>
        <w:t> </w:t>
      </w:r>
      <w:r w:rsidR="00503BDE">
        <w:rPr>
          <w:sz w:val="24"/>
        </w:rPr>
        <w:t xml:space="preserve">individuální bydlení. </w:t>
      </w:r>
    </w:p>
    <w:p w14:paraId="3332D9C2" w14:textId="4F8E1CC5" w:rsidR="00A66F3A" w:rsidRPr="00A66F3A" w:rsidRDefault="00820404" w:rsidP="0086659E">
      <w:pPr>
        <w:spacing w:before="120"/>
        <w:ind w:firstLine="425"/>
        <w:jc w:val="both"/>
        <w:rPr>
          <w:sz w:val="24"/>
        </w:rPr>
      </w:pPr>
      <w:r w:rsidRPr="00820404">
        <w:rPr>
          <w:sz w:val="24"/>
        </w:rPr>
        <w:t xml:space="preserve">Při vyhodnocení pohybů </w:t>
      </w:r>
      <w:r w:rsidR="004D7BE8" w:rsidRPr="00820404">
        <w:rPr>
          <w:sz w:val="24"/>
        </w:rPr>
        <w:t xml:space="preserve">průměrné ceny </w:t>
      </w:r>
      <w:r w:rsidRPr="00820404">
        <w:rPr>
          <w:sz w:val="24"/>
        </w:rPr>
        <w:t xml:space="preserve">v této kategorii byl zjištěn </w:t>
      </w:r>
      <w:r w:rsidR="00B54FB4">
        <w:rPr>
          <w:sz w:val="24"/>
        </w:rPr>
        <w:t xml:space="preserve">nárůst </w:t>
      </w:r>
      <w:r w:rsidRPr="00820404">
        <w:rPr>
          <w:sz w:val="24"/>
        </w:rPr>
        <w:t xml:space="preserve">ve všech </w:t>
      </w:r>
      <w:r w:rsidRPr="007450CD">
        <w:rPr>
          <w:sz w:val="24"/>
        </w:rPr>
        <w:t xml:space="preserve">částech města s výjimkou </w:t>
      </w:r>
      <w:r w:rsidR="00471702">
        <w:rPr>
          <w:sz w:val="24"/>
        </w:rPr>
        <w:t>vnitřního města</w:t>
      </w:r>
      <w:r w:rsidR="00A66F3A" w:rsidRPr="007450CD">
        <w:rPr>
          <w:sz w:val="24"/>
        </w:rPr>
        <w:t xml:space="preserve">, kde </w:t>
      </w:r>
      <w:r w:rsidR="00471702">
        <w:rPr>
          <w:sz w:val="24"/>
        </w:rPr>
        <w:t xml:space="preserve">byly </w:t>
      </w:r>
      <w:r w:rsidR="00A66F3A" w:rsidRPr="007450CD">
        <w:rPr>
          <w:sz w:val="24"/>
        </w:rPr>
        <w:t>pozemky pro bydlení obchod</w:t>
      </w:r>
      <w:r w:rsidR="00471702">
        <w:rPr>
          <w:sz w:val="24"/>
        </w:rPr>
        <w:t xml:space="preserve">ovány </w:t>
      </w:r>
      <w:r w:rsidR="006A2C6B" w:rsidRPr="007450CD">
        <w:rPr>
          <w:sz w:val="24"/>
        </w:rPr>
        <w:t>v</w:t>
      </w:r>
      <w:r w:rsidR="00A66F3A" w:rsidRPr="007450CD">
        <w:rPr>
          <w:sz w:val="24"/>
        </w:rPr>
        <w:t> nejmenším rozsahu. Nejvyšší nárůst byl sledován v</w:t>
      </w:r>
      <w:r w:rsidR="003623CC">
        <w:rPr>
          <w:sz w:val="24"/>
        </w:rPr>
        <w:t> okrajových částech vnitřního města</w:t>
      </w:r>
      <w:r w:rsidR="00A66F3A" w:rsidRPr="007450CD">
        <w:rPr>
          <w:sz w:val="24"/>
        </w:rPr>
        <w:t xml:space="preserve">, a to </w:t>
      </w:r>
      <w:r w:rsidR="00603090" w:rsidRPr="007450CD">
        <w:rPr>
          <w:sz w:val="24"/>
        </w:rPr>
        <w:t xml:space="preserve">o </w:t>
      </w:r>
      <w:r w:rsidR="00A66F3A" w:rsidRPr="007450CD">
        <w:rPr>
          <w:sz w:val="24"/>
        </w:rPr>
        <w:t xml:space="preserve">více jak </w:t>
      </w:r>
      <w:r w:rsidR="003623CC">
        <w:rPr>
          <w:sz w:val="24"/>
        </w:rPr>
        <w:t>66</w:t>
      </w:r>
      <w:r w:rsidR="00D67A41" w:rsidRPr="007450CD">
        <w:rPr>
          <w:sz w:val="24"/>
        </w:rPr>
        <w:t> </w:t>
      </w:r>
      <w:r w:rsidR="00A66F3A" w:rsidRPr="007450CD">
        <w:rPr>
          <w:sz w:val="24"/>
        </w:rPr>
        <w:t>%</w:t>
      </w:r>
      <w:r w:rsidR="00A66F3A">
        <w:rPr>
          <w:sz w:val="24"/>
        </w:rPr>
        <w:t xml:space="preserve"> s</w:t>
      </w:r>
      <w:r w:rsidR="00630F3F">
        <w:rPr>
          <w:sz w:val="24"/>
        </w:rPr>
        <w:t xml:space="preserve"> dosaženou, </w:t>
      </w:r>
      <w:r w:rsidR="00A66F3A">
        <w:rPr>
          <w:sz w:val="24"/>
        </w:rPr>
        <w:t xml:space="preserve">průměrnou cenou </w:t>
      </w:r>
      <w:r w:rsidR="003623CC">
        <w:rPr>
          <w:sz w:val="24"/>
        </w:rPr>
        <w:t>1</w:t>
      </w:r>
      <w:r w:rsidR="00A66F3A">
        <w:rPr>
          <w:sz w:val="24"/>
        </w:rPr>
        <w:t> </w:t>
      </w:r>
      <w:r w:rsidR="003623CC">
        <w:rPr>
          <w:sz w:val="24"/>
        </w:rPr>
        <w:t>113</w:t>
      </w:r>
      <w:r w:rsidR="00A66F3A">
        <w:rPr>
          <w:sz w:val="24"/>
        </w:rPr>
        <w:t xml:space="preserve"> Kč za m</w:t>
      </w:r>
      <w:r w:rsidR="00A66F3A">
        <w:rPr>
          <w:sz w:val="24"/>
          <w:vertAlign w:val="superscript"/>
        </w:rPr>
        <w:t>2</w:t>
      </w:r>
      <w:r w:rsidR="00630F3F">
        <w:rPr>
          <w:sz w:val="24"/>
        </w:rPr>
        <w:t>, průměrná cena u pozemků pro bydlení narostla také v oblasti s největším objemem obchodů</w:t>
      </w:r>
      <w:r w:rsidR="00603090">
        <w:rPr>
          <w:sz w:val="24"/>
        </w:rPr>
        <w:t>,</w:t>
      </w:r>
      <w:r w:rsidR="00630F3F">
        <w:rPr>
          <w:sz w:val="24"/>
        </w:rPr>
        <w:t xml:space="preserve"> tj. mimo kompaktní město, a to na částku </w:t>
      </w:r>
      <w:r w:rsidR="003623CC">
        <w:rPr>
          <w:sz w:val="24"/>
        </w:rPr>
        <w:t>1 000</w:t>
      </w:r>
      <w:r w:rsidR="00630F3F">
        <w:rPr>
          <w:sz w:val="24"/>
        </w:rPr>
        <w:t xml:space="preserve"> Kč za m</w:t>
      </w:r>
      <w:r w:rsidR="00630F3F">
        <w:rPr>
          <w:sz w:val="24"/>
          <w:vertAlign w:val="superscript"/>
        </w:rPr>
        <w:t>2</w:t>
      </w:r>
      <w:r w:rsidR="00630F3F">
        <w:rPr>
          <w:sz w:val="24"/>
        </w:rPr>
        <w:t xml:space="preserve"> </w:t>
      </w:r>
      <w:r w:rsidR="00630F3F" w:rsidRPr="00820404">
        <w:rPr>
          <w:sz w:val="24"/>
        </w:rPr>
        <w:t xml:space="preserve">(tj. o </w:t>
      </w:r>
      <w:r w:rsidR="00630F3F">
        <w:rPr>
          <w:sz w:val="24"/>
        </w:rPr>
        <w:t>3</w:t>
      </w:r>
      <w:r w:rsidR="003623CC">
        <w:rPr>
          <w:sz w:val="24"/>
        </w:rPr>
        <w:t>4</w:t>
      </w:r>
      <w:r w:rsidR="00630F3F" w:rsidRPr="00820404">
        <w:rPr>
          <w:sz w:val="24"/>
        </w:rPr>
        <w:t> %). </w:t>
      </w:r>
    </w:p>
    <w:p w14:paraId="3051F275" w14:textId="120D0685" w:rsidR="00A37DDF" w:rsidRDefault="00A37DDF" w:rsidP="0086659E">
      <w:pPr>
        <w:spacing w:before="120"/>
        <w:ind w:firstLine="425"/>
        <w:jc w:val="both"/>
        <w:rPr>
          <w:sz w:val="24"/>
        </w:rPr>
      </w:pPr>
      <w:r w:rsidRPr="00820404">
        <w:rPr>
          <w:sz w:val="24"/>
        </w:rPr>
        <w:t>V</w:t>
      </w:r>
      <w:r w:rsidR="00F15812" w:rsidRPr="00820404">
        <w:rPr>
          <w:sz w:val="24"/>
        </w:rPr>
        <w:t> </w:t>
      </w:r>
      <w:r w:rsidRPr="00820404">
        <w:rPr>
          <w:sz w:val="24"/>
        </w:rPr>
        <w:t>následující</w:t>
      </w:r>
      <w:r w:rsidR="00F15812" w:rsidRPr="00820404">
        <w:rPr>
          <w:sz w:val="24"/>
        </w:rPr>
        <w:t>m grafu</w:t>
      </w:r>
      <w:r w:rsidRPr="00820404">
        <w:rPr>
          <w:sz w:val="24"/>
        </w:rPr>
        <w:t xml:space="preserve"> je zachycen vývoj objemu převodů </w:t>
      </w:r>
      <w:r w:rsidR="00C6176B" w:rsidRPr="00820404">
        <w:rPr>
          <w:sz w:val="24"/>
        </w:rPr>
        <w:t xml:space="preserve">pozemků pro individuální bydlení </w:t>
      </w:r>
      <w:r w:rsidR="00630F3F">
        <w:rPr>
          <w:sz w:val="24"/>
        </w:rPr>
        <w:t>za posledních 10 let</w:t>
      </w:r>
      <w:r w:rsidRPr="00820404">
        <w:rPr>
          <w:sz w:val="24"/>
        </w:rPr>
        <w:t>, ze kterého je patrn</w:t>
      </w:r>
      <w:r w:rsidR="000425C9" w:rsidRPr="00820404">
        <w:rPr>
          <w:sz w:val="24"/>
        </w:rPr>
        <w:t xml:space="preserve">ý stálý zájem o pozemky pro </w:t>
      </w:r>
      <w:r w:rsidR="00892333">
        <w:rPr>
          <w:sz w:val="24"/>
        </w:rPr>
        <w:t xml:space="preserve">rodinné </w:t>
      </w:r>
      <w:r w:rsidR="00BB79C9" w:rsidRPr="00820404">
        <w:rPr>
          <w:sz w:val="24"/>
        </w:rPr>
        <w:t>bydlení.</w:t>
      </w:r>
      <w:r w:rsidR="00234199">
        <w:rPr>
          <w:sz w:val="24"/>
        </w:rPr>
        <w:t xml:space="preserve"> </w:t>
      </w:r>
      <w:r w:rsidR="007450CD">
        <w:rPr>
          <w:sz w:val="24"/>
        </w:rPr>
        <w:t>V</w:t>
      </w:r>
      <w:r w:rsidR="00D77CE2">
        <w:rPr>
          <w:sz w:val="24"/>
        </w:rPr>
        <w:t> grafickém vyjádření</w:t>
      </w:r>
      <w:r w:rsidR="00234199">
        <w:rPr>
          <w:sz w:val="24"/>
        </w:rPr>
        <w:t xml:space="preserve"> </w:t>
      </w:r>
      <w:r w:rsidR="007450CD">
        <w:rPr>
          <w:sz w:val="24"/>
        </w:rPr>
        <w:t xml:space="preserve">je možné </w:t>
      </w:r>
      <w:r w:rsidR="00892333">
        <w:rPr>
          <w:sz w:val="24"/>
        </w:rPr>
        <w:t xml:space="preserve">sledovat </w:t>
      </w:r>
      <w:r w:rsidR="00234199">
        <w:rPr>
          <w:sz w:val="24"/>
        </w:rPr>
        <w:t xml:space="preserve">od roku 2016 </w:t>
      </w:r>
      <w:r w:rsidR="00D77CE2">
        <w:rPr>
          <w:sz w:val="24"/>
        </w:rPr>
        <w:t>stabiliz</w:t>
      </w:r>
      <w:r w:rsidR="007450CD">
        <w:rPr>
          <w:sz w:val="24"/>
        </w:rPr>
        <w:t>aci úrovně</w:t>
      </w:r>
      <w:r w:rsidR="00D77CE2">
        <w:rPr>
          <w:sz w:val="24"/>
        </w:rPr>
        <w:t xml:space="preserve"> obje</w:t>
      </w:r>
      <w:r w:rsidR="007450CD">
        <w:rPr>
          <w:sz w:val="24"/>
        </w:rPr>
        <w:t>mů</w:t>
      </w:r>
      <w:r w:rsidR="00234199">
        <w:rPr>
          <w:sz w:val="24"/>
        </w:rPr>
        <w:t xml:space="preserve"> transakcí pro rodinné bydlení, které se </w:t>
      </w:r>
      <w:r w:rsidR="007450CD">
        <w:rPr>
          <w:sz w:val="24"/>
        </w:rPr>
        <w:t>obchodují</w:t>
      </w:r>
      <w:r w:rsidR="00234199">
        <w:rPr>
          <w:sz w:val="24"/>
        </w:rPr>
        <w:t xml:space="preserve"> přibližně v úrovni od 250 do 300</w:t>
      </w:r>
      <w:r w:rsidR="00D77CE2">
        <w:rPr>
          <w:sz w:val="24"/>
        </w:rPr>
        <w:t> </w:t>
      </w:r>
      <w:r w:rsidR="00234199">
        <w:rPr>
          <w:sz w:val="24"/>
        </w:rPr>
        <w:t>mil.</w:t>
      </w:r>
      <w:r w:rsidR="00D77CE2">
        <w:rPr>
          <w:sz w:val="24"/>
        </w:rPr>
        <w:t> </w:t>
      </w:r>
      <w:r w:rsidR="00234199">
        <w:rPr>
          <w:sz w:val="24"/>
        </w:rPr>
        <w:t>Kč</w:t>
      </w:r>
      <w:r w:rsidR="007450CD">
        <w:rPr>
          <w:sz w:val="24"/>
        </w:rPr>
        <w:t xml:space="preserve"> za rok</w:t>
      </w:r>
      <w:r w:rsidR="001F4B82">
        <w:rPr>
          <w:sz w:val="24"/>
        </w:rPr>
        <w:t>, s výjimkou posledních</w:t>
      </w:r>
      <w:r w:rsidR="00630F3F">
        <w:rPr>
          <w:sz w:val="24"/>
        </w:rPr>
        <w:t xml:space="preserve"> </w:t>
      </w:r>
      <w:r w:rsidR="001F4B82">
        <w:rPr>
          <w:sz w:val="24"/>
        </w:rPr>
        <w:t>dvou let</w:t>
      </w:r>
      <w:r w:rsidR="00603090">
        <w:rPr>
          <w:sz w:val="24"/>
        </w:rPr>
        <w:t>,</w:t>
      </w:r>
      <w:r w:rsidR="001F4B82">
        <w:rPr>
          <w:sz w:val="24"/>
        </w:rPr>
        <w:t xml:space="preserve"> </w:t>
      </w:r>
      <w:r w:rsidR="00630F3F">
        <w:rPr>
          <w:sz w:val="24"/>
        </w:rPr>
        <w:t xml:space="preserve">kdy objem narostl až na </w:t>
      </w:r>
      <w:r w:rsidR="00002430">
        <w:rPr>
          <w:sz w:val="24"/>
        </w:rPr>
        <w:t xml:space="preserve">350, resp. </w:t>
      </w:r>
      <w:r w:rsidR="001F4B82">
        <w:rPr>
          <w:sz w:val="24"/>
        </w:rPr>
        <w:t>480</w:t>
      </w:r>
      <w:r w:rsidR="00630F3F">
        <w:rPr>
          <w:sz w:val="24"/>
        </w:rPr>
        <w:t xml:space="preserve"> mil.</w:t>
      </w:r>
      <w:r w:rsidR="00DA0674">
        <w:rPr>
          <w:sz w:val="24"/>
        </w:rPr>
        <w:t xml:space="preserve"> </w:t>
      </w:r>
      <w:r w:rsidR="00630F3F">
        <w:rPr>
          <w:sz w:val="24"/>
        </w:rPr>
        <w:t>Kč</w:t>
      </w:r>
      <w:r w:rsidR="001F4B82">
        <w:rPr>
          <w:sz w:val="24"/>
        </w:rPr>
        <w:t xml:space="preserve"> za rok.</w:t>
      </w:r>
    </w:p>
    <w:p w14:paraId="52CF332B" w14:textId="0D851525" w:rsidR="00DF40DD" w:rsidRDefault="00EE363F" w:rsidP="00564A5C">
      <w:pPr>
        <w:spacing w:before="120"/>
        <w:jc w:val="both"/>
        <w:rPr>
          <w:sz w:val="24"/>
        </w:rPr>
      </w:pPr>
      <w:r>
        <w:rPr>
          <w:noProof/>
          <w:sz w:val="24"/>
        </w:rPr>
        <w:drawing>
          <wp:inline distT="0" distB="0" distL="0" distR="0" wp14:anchorId="4588D221" wp14:editId="14BDBEC8">
            <wp:extent cx="5760085" cy="4012565"/>
            <wp:effectExtent l="0" t="0" r="5715" b="635"/>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brázek 16"/>
                    <pic:cNvPicPr/>
                  </pic:nvPicPr>
                  <pic:blipFill>
                    <a:blip r:embed="rId17">
                      <a:extLst>
                        <a:ext uri="{28A0092B-C50C-407E-A947-70E740481C1C}">
                          <a14:useLocalDpi xmlns:a14="http://schemas.microsoft.com/office/drawing/2010/main" val="0"/>
                        </a:ext>
                      </a:extLst>
                    </a:blip>
                    <a:stretch>
                      <a:fillRect/>
                    </a:stretch>
                  </pic:blipFill>
                  <pic:spPr>
                    <a:xfrm>
                      <a:off x="0" y="0"/>
                      <a:ext cx="5760085" cy="4012565"/>
                    </a:xfrm>
                    <a:prstGeom prst="rect">
                      <a:avLst/>
                    </a:prstGeom>
                  </pic:spPr>
                </pic:pic>
              </a:graphicData>
            </a:graphic>
          </wp:inline>
        </w:drawing>
      </w:r>
    </w:p>
    <w:p w14:paraId="3DE745EF" w14:textId="124673D3" w:rsidR="00285ADE" w:rsidRDefault="00650A6A" w:rsidP="00232628">
      <w:pPr>
        <w:spacing w:before="120"/>
        <w:ind w:firstLine="425"/>
        <w:jc w:val="both"/>
        <w:rPr>
          <w:sz w:val="24"/>
        </w:rPr>
      </w:pPr>
      <w:r w:rsidRPr="008A4C29">
        <w:rPr>
          <w:sz w:val="24"/>
        </w:rPr>
        <w:t xml:space="preserve">Nejvýznamnější obchod </w:t>
      </w:r>
      <w:r w:rsidR="003D4C4F" w:rsidRPr="008A4C29">
        <w:rPr>
          <w:sz w:val="24"/>
        </w:rPr>
        <w:t>soubor</w:t>
      </w:r>
      <w:r w:rsidR="00D77CE2">
        <w:rPr>
          <w:sz w:val="24"/>
        </w:rPr>
        <w:t>u</w:t>
      </w:r>
      <w:r w:rsidRPr="008A4C29">
        <w:rPr>
          <w:sz w:val="24"/>
        </w:rPr>
        <w:t xml:space="preserve"> </w:t>
      </w:r>
      <w:r w:rsidR="003D4C4F" w:rsidRPr="008A4C29">
        <w:rPr>
          <w:sz w:val="24"/>
        </w:rPr>
        <w:t>pozemků pro individuální výstavbu z hlediska absolutní dosažené částky byl</w:t>
      </w:r>
      <w:r w:rsidR="00846431">
        <w:rPr>
          <w:sz w:val="24"/>
        </w:rPr>
        <w:t xml:space="preserve"> ve sledovaném období </w:t>
      </w:r>
      <w:r w:rsidR="00E46C0E">
        <w:rPr>
          <w:sz w:val="24"/>
        </w:rPr>
        <w:t xml:space="preserve">uskutečněn v městském obvodu </w:t>
      </w:r>
      <w:r w:rsidR="00EE664C">
        <w:rPr>
          <w:sz w:val="24"/>
        </w:rPr>
        <w:t xml:space="preserve">Hošťálkovice </w:t>
      </w:r>
      <w:r w:rsidR="00971C8D">
        <w:rPr>
          <w:sz w:val="24"/>
        </w:rPr>
        <w:t xml:space="preserve">na </w:t>
      </w:r>
      <w:r w:rsidR="00EE664C">
        <w:rPr>
          <w:sz w:val="24"/>
        </w:rPr>
        <w:t xml:space="preserve">jeho </w:t>
      </w:r>
      <w:r w:rsidR="00F05F21">
        <w:rPr>
          <w:sz w:val="24"/>
        </w:rPr>
        <w:t>severo</w:t>
      </w:r>
      <w:r w:rsidR="00971C8D">
        <w:rPr>
          <w:sz w:val="24"/>
        </w:rPr>
        <w:t xml:space="preserve">západním </w:t>
      </w:r>
      <w:r w:rsidR="00F05F21">
        <w:rPr>
          <w:sz w:val="24"/>
        </w:rPr>
        <w:t>okraji v lokalitě u televizního vysílače Ostrava v ul.</w:t>
      </w:r>
      <w:r w:rsidR="00603090">
        <w:rPr>
          <w:sz w:val="24"/>
        </w:rPr>
        <w:t> </w:t>
      </w:r>
      <w:r w:rsidR="00F05F21">
        <w:rPr>
          <w:sz w:val="24"/>
        </w:rPr>
        <w:t>Aleje</w:t>
      </w:r>
      <w:r w:rsidR="00E46C0E">
        <w:rPr>
          <w:sz w:val="24"/>
        </w:rPr>
        <w:t>, kde byl zobchodován pozemkov</w:t>
      </w:r>
      <w:r w:rsidR="00D77CE2">
        <w:rPr>
          <w:sz w:val="24"/>
        </w:rPr>
        <w:t>ý</w:t>
      </w:r>
      <w:r w:rsidR="00E46C0E">
        <w:rPr>
          <w:sz w:val="24"/>
        </w:rPr>
        <w:t xml:space="preserve"> </w:t>
      </w:r>
      <w:r w:rsidR="00E46C0E" w:rsidRPr="00C04F4B">
        <w:rPr>
          <w:sz w:val="24"/>
        </w:rPr>
        <w:t>cel</w:t>
      </w:r>
      <w:r w:rsidR="00D77CE2">
        <w:rPr>
          <w:sz w:val="24"/>
        </w:rPr>
        <w:t>e</w:t>
      </w:r>
      <w:r w:rsidR="00E46C0E" w:rsidRPr="00C04F4B">
        <w:rPr>
          <w:sz w:val="24"/>
        </w:rPr>
        <w:t>k určen</w:t>
      </w:r>
      <w:r w:rsidR="00285ADE">
        <w:rPr>
          <w:sz w:val="24"/>
        </w:rPr>
        <w:t>ý</w:t>
      </w:r>
      <w:r w:rsidR="00E46C0E" w:rsidRPr="00C04F4B">
        <w:rPr>
          <w:sz w:val="24"/>
        </w:rPr>
        <w:t xml:space="preserve"> pro budoucí výstavbu. </w:t>
      </w:r>
      <w:r w:rsidR="00D77CE2">
        <w:rPr>
          <w:sz w:val="24"/>
        </w:rPr>
        <w:t xml:space="preserve">Jednalo </w:t>
      </w:r>
      <w:r w:rsidR="00E46C0E" w:rsidRPr="00C04F4B">
        <w:rPr>
          <w:sz w:val="24"/>
        </w:rPr>
        <w:t xml:space="preserve">se </w:t>
      </w:r>
      <w:r w:rsidR="003D4C4F" w:rsidRPr="00C04F4B">
        <w:rPr>
          <w:sz w:val="24"/>
        </w:rPr>
        <w:t xml:space="preserve">o převod </w:t>
      </w:r>
      <w:r w:rsidR="00D77CE2">
        <w:rPr>
          <w:sz w:val="24"/>
        </w:rPr>
        <w:t>cca</w:t>
      </w:r>
      <w:r w:rsidR="00603090">
        <w:rPr>
          <w:sz w:val="24"/>
        </w:rPr>
        <w:t> </w:t>
      </w:r>
      <w:r w:rsidR="00F05F21">
        <w:rPr>
          <w:sz w:val="24"/>
        </w:rPr>
        <w:t>12,3</w:t>
      </w:r>
      <w:r w:rsidR="00603090">
        <w:rPr>
          <w:sz w:val="24"/>
        </w:rPr>
        <w:t> </w:t>
      </w:r>
      <w:r w:rsidR="001C2518">
        <w:rPr>
          <w:sz w:val="24"/>
        </w:rPr>
        <w:t>tis.</w:t>
      </w:r>
      <w:r w:rsidR="00603090">
        <w:rPr>
          <w:sz w:val="24"/>
        </w:rPr>
        <w:t> </w:t>
      </w:r>
      <w:r w:rsidR="001C2518">
        <w:rPr>
          <w:sz w:val="24"/>
        </w:rPr>
        <w:t>m</w:t>
      </w:r>
      <w:r w:rsidR="001C2518">
        <w:rPr>
          <w:sz w:val="24"/>
          <w:vertAlign w:val="superscript"/>
        </w:rPr>
        <w:t>2</w:t>
      </w:r>
      <w:r w:rsidR="003D4C4F" w:rsidRPr="00C04F4B">
        <w:rPr>
          <w:sz w:val="24"/>
        </w:rPr>
        <w:t xml:space="preserve"> pozemků za cenu </w:t>
      </w:r>
      <w:r w:rsidR="00F05F21">
        <w:rPr>
          <w:sz w:val="24"/>
        </w:rPr>
        <w:t>15,3</w:t>
      </w:r>
      <w:r w:rsidR="003D4C4F" w:rsidRPr="00C04F4B">
        <w:rPr>
          <w:sz w:val="24"/>
        </w:rPr>
        <w:t> mil.</w:t>
      </w:r>
      <w:r w:rsidR="0053320D" w:rsidRPr="00C04F4B">
        <w:rPr>
          <w:sz w:val="24"/>
        </w:rPr>
        <w:t> </w:t>
      </w:r>
      <w:r w:rsidR="003D4C4F" w:rsidRPr="00C04F4B">
        <w:rPr>
          <w:sz w:val="24"/>
        </w:rPr>
        <w:t>Kč, s</w:t>
      </w:r>
      <w:r w:rsidR="00D77CE2">
        <w:rPr>
          <w:sz w:val="24"/>
        </w:rPr>
        <w:t> </w:t>
      </w:r>
      <w:r w:rsidR="007E189E" w:rsidRPr="00C04F4B">
        <w:rPr>
          <w:sz w:val="24"/>
        </w:rPr>
        <w:t>dosažen</w:t>
      </w:r>
      <w:r w:rsidR="00D77CE2">
        <w:rPr>
          <w:sz w:val="24"/>
        </w:rPr>
        <w:t xml:space="preserve">ou </w:t>
      </w:r>
      <w:r w:rsidR="003D4C4F" w:rsidRPr="00C04F4B">
        <w:rPr>
          <w:sz w:val="24"/>
        </w:rPr>
        <w:t>jednotkov</w:t>
      </w:r>
      <w:r w:rsidR="00D77CE2">
        <w:rPr>
          <w:sz w:val="24"/>
        </w:rPr>
        <w:t>ou</w:t>
      </w:r>
      <w:r w:rsidR="007E189E" w:rsidRPr="00C04F4B">
        <w:rPr>
          <w:sz w:val="24"/>
        </w:rPr>
        <w:t xml:space="preserve"> </w:t>
      </w:r>
      <w:r w:rsidR="003D4C4F" w:rsidRPr="00C04F4B">
        <w:rPr>
          <w:sz w:val="24"/>
        </w:rPr>
        <w:t>cen</w:t>
      </w:r>
      <w:r w:rsidR="00D77CE2">
        <w:rPr>
          <w:sz w:val="24"/>
        </w:rPr>
        <w:t>ou</w:t>
      </w:r>
      <w:r w:rsidR="007E189E" w:rsidRPr="00C04F4B">
        <w:rPr>
          <w:sz w:val="24"/>
        </w:rPr>
        <w:t xml:space="preserve"> </w:t>
      </w:r>
      <w:r w:rsidR="00F05F21">
        <w:rPr>
          <w:sz w:val="24"/>
        </w:rPr>
        <w:t>1</w:t>
      </w:r>
      <w:r w:rsidR="00603090">
        <w:rPr>
          <w:sz w:val="24"/>
        </w:rPr>
        <w:t> </w:t>
      </w:r>
      <w:r w:rsidR="001C2518">
        <w:rPr>
          <w:sz w:val="24"/>
        </w:rPr>
        <w:t>2</w:t>
      </w:r>
      <w:r w:rsidR="00F05F21">
        <w:rPr>
          <w:sz w:val="24"/>
        </w:rPr>
        <w:t>42</w:t>
      </w:r>
      <w:r w:rsidR="00603090">
        <w:rPr>
          <w:sz w:val="24"/>
        </w:rPr>
        <w:t> </w:t>
      </w:r>
      <w:r w:rsidR="007E189E" w:rsidRPr="00C04F4B">
        <w:rPr>
          <w:sz w:val="24"/>
        </w:rPr>
        <w:t>Kč</w:t>
      </w:r>
      <w:r w:rsidR="00FC7250" w:rsidRPr="00C04F4B">
        <w:rPr>
          <w:sz w:val="24"/>
        </w:rPr>
        <w:t> za </w:t>
      </w:r>
      <w:r w:rsidR="003D4C4F" w:rsidRPr="00C04F4B">
        <w:rPr>
          <w:sz w:val="24"/>
        </w:rPr>
        <w:t>m</w:t>
      </w:r>
      <w:r w:rsidR="003D4C4F" w:rsidRPr="00C04F4B">
        <w:rPr>
          <w:sz w:val="24"/>
          <w:vertAlign w:val="superscript"/>
        </w:rPr>
        <w:t>2</w:t>
      </w:r>
      <w:r w:rsidR="00D77CE2">
        <w:rPr>
          <w:sz w:val="24"/>
        </w:rPr>
        <w:t xml:space="preserve">. </w:t>
      </w:r>
      <w:r w:rsidR="00285ADE">
        <w:rPr>
          <w:sz w:val="24"/>
        </w:rPr>
        <w:t>D</w:t>
      </w:r>
      <w:r w:rsidR="00D77CE2">
        <w:rPr>
          <w:sz w:val="24"/>
        </w:rPr>
        <w:t>alší</w:t>
      </w:r>
      <w:r w:rsidR="007E189E" w:rsidRPr="00C04F4B">
        <w:rPr>
          <w:sz w:val="24"/>
        </w:rPr>
        <w:t xml:space="preserve"> </w:t>
      </w:r>
      <w:r w:rsidR="001C2518">
        <w:rPr>
          <w:sz w:val="24"/>
        </w:rPr>
        <w:t xml:space="preserve">nejvýznamnější </w:t>
      </w:r>
      <w:r w:rsidR="00285ADE">
        <w:rPr>
          <w:sz w:val="24"/>
        </w:rPr>
        <w:t xml:space="preserve">převody </w:t>
      </w:r>
      <w:r w:rsidR="001C2518">
        <w:rPr>
          <w:sz w:val="24"/>
        </w:rPr>
        <w:t>pozemkových celků pro developerskou výstavbu v úrovni 10 mil.</w:t>
      </w:r>
      <w:r w:rsidR="00D67A41">
        <w:rPr>
          <w:sz w:val="24"/>
        </w:rPr>
        <w:t> </w:t>
      </w:r>
      <w:r w:rsidR="001C2518">
        <w:rPr>
          <w:sz w:val="24"/>
        </w:rPr>
        <w:t xml:space="preserve">Kč </w:t>
      </w:r>
      <w:r w:rsidR="00285ADE">
        <w:rPr>
          <w:sz w:val="24"/>
        </w:rPr>
        <w:t>se realizovaly</w:t>
      </w:r>
      <w:r w:rsidR="00D77CE2">
        <w:rPr>
          <w:sz w:val="24"/>
        </w:rPr>
        <w:t xml:space="preserve"> </w:t>
      </w:r>
      <w:r w:rsidR="001C2518">
        <w:rPr>
          <w:sz w:val="24"/>
        </w:rPr>
        <w:t>v městských částech Plesná (za 1</w:t>
      </w:r>
      <w:r w:rsidR="00F05F21">
        <w:rPr>
          <w:sz w:val="24"/>
        </w:rPr>
        <w:t>1</w:t>
      </w:r>
      <w:r w:rsidR="001C2518">
        <w:rPr>
          <w:sz w:val="24"/>
        </w:rPr>
        <w:t xml:space="preserve"> mil. Kč s jednotkovou cenou 2 2</w:t>
      </w:r>
      <w:r w:rsidR="00F05F21">
        <w:rPr>
          <w:sz w:val="24"/>
        </w:rPr>
        <w:t>92</w:t>
      </w:r>
      <w:r w:rsidR="001C2518">
        <w:rPr>
          <w:sz w:val="24"/>
        </w:rPr>
        <w:t xml:space="preserve"> Kč za m</w:t>
      </w:r>
      <w:r w:rsidR="001C2518">
        <w:rPr>
          <w:sz w:val="24"/>
          <w:vertAlign w:val="superscript"/>
        </w:rPr>
        <w:t>2</w:t>
      </w:r>
      <w:r w:rsidR="001C2518">
        <w:rPr>
          <w:sz w:val="24"/>
        </w:rPr>
        <w:t>)</w:t>
      </w:r>
      <w:r w:rsidR="00B34694">
        <w:rPr>
          <w:sz w:val="24"/>
        </w:rPr>
        <w:t>,</w:t>
      </w:r>
      <w:r w:rsidR="001C2518">
        <w:rPr>
          <w:sz w:val="24"/>
        </w:rPr>
        <w:t xml:space="preserve"> </w:t>
      </w:r>
      <w:r w:rsidR="005418DF">
        <w:rPr>
          <w:sz w:val="24"/>
        </w:rPr>
        <w:t xml:space="preserve">Radvanice </w:t>
      </w:r>
      <w:r w:rsidR="001C2518">
        <w:rPr>
          <w:sz w:val="24"/>
        </w:rPr>
        <w:t xml:space="preserve">(za </w:t>
      </w:r>
      <w:r w:rsidR="005418DF">
        <w:rPr>
          <w:sz w:val="24"/>
        </w:rPr>
        <w:t>9</w:t>
      </w:r>
      <w:r w:rsidR="001C2518">
        <w:rPr>
          <w:sz w:val="24"/>
        </w:rPr>
        <w:t xml:space="preserve"> mil. Kč s jednotkovou cenou </w:t>
      </w:r>
      <w:r w:rsidR="005418DF">
        <w:rPr>
          <w:sz w:val="24"/>
        </w:rPr>
        <w:t>428</w:t>
      </w:r>
      <w:r w:rsidR="001C2518">
        <w:rPr>
          <w:sz w:val="24"/>
        </w:rPr>
        <w:t xml:space="preserve"> Kč za m</w:t>
      </w:r>
      <w:r w:rsidR="001C2518">
        <w:rPr>
          <w:sz w:val="24"/>
          <w:vertAlign w:val="superscript"/>
        </w:rPr>
        <w:t>2</w:t>
      </w:r>
      <w:r w:rsidR="001C2518">
        <w:rPr>
          <w:sz w:val="24"/>
        </w:rPr>
        <w:t>)</w:t>
      </w:r>
      <w:r w:rsidR="00B34694">
        <w:rPr>
          <w:sz w:val="24"/>
        </w:rPr>
        <w:t xml:space="preserve"> a </w:t>
      </w:r>
      <w:r w:rsidR="005418DF">
        <w:rPr>
          <w:sz w:val="24"/>
        </w:rPr>
        <w:t xml:space="preserve">Lhotka </w:t>
      </w:r>
      <w:r w:rsidR="00B34694">
        <w:rPr>
          <w:sz w:val="24"/>
        </w:rPr>
        <w:t xml:space="preserve">(za </w:t>
      </w:r>
      <w:r w:rsidR="005418DF">
        <w:rPr>
          <w:sz w:val="24"/>
        </w:rPr>
        <w:t>8,2</w:t>
      </w:r>
      <w:r w:rsidR="00B34694">
        <w:rPr>
          <w:sz w:val="24"/>
        </w:rPr>
        <w:t xml:space="preserve"> mil. Kč s jednotkovou cenou </w:t>
      </w:r>
      <w:r w:rsidR="005418DF">
        <w:rPr>
          <w:sz w:val="24"/>
        </w:rPr>
        <w:t>915</w:t>
      </w:r>
      <w:r w:rsidR="00B34694">
        <w:rPr>
          <w:sz w:val="24"/>
        </w:rPr>
        <w:t xml:space="preserve"> Kč za m</w:t>
      </w:r>
      <w:r w:rsidR="00B34694">
        <w:rPr>
          <w:sz w:val="24"/>
          <w:vertAlign w:val="superscript"/>
        </w:rPr>
        <w:t>2</w:t>
      </w:r>
      <w:r w:rsidR="00B34694">
        <w:rPr>
          <w:sz w:val="24"/>
        </w:rPr>
        <w:t>)</w:t>
      </w:r>
      <w:r w:rsidR="001C2518">
        <w:rPr>
          <w:sz w:val="24"/>
        </w:rPr>
        <w:t xml:space="preserve">. Dále byla uskutečněna řada převodů v cenové úrovni </w:t>
      </w:r>
      <w:r w:rsidR="00532196">
        <w:rPr>
          <w:sz w:val="24"/>
        </w:rPr>
        <w:t xml:space="preserve">od </w:t>
      </w:r>
      <w:r w:rsidR="00D77CE2">
        <w:rPr>
          <w:sz w:val="24"/>
        </w:rPr>
        <w:t xml:space="preserve">5 </w:t>
      </w:r>
      <w:r w:rsidR="00532196">
        <w:rPr>
          <w:sz w:val="24"/>
        </w:rPr>
        <w:t xml:space="preserve">do </w:t>
      </w:r>
      <w:r w:rsidR="005418DF">
        <w:rPr>
          <w:sz w:val="24"/>
        </w:rPr>
        <w:t>8</w:t>
      </w:r>
      <w:r w:rsidR="00D77CE2">
        <w:rPr>
          <w:sz w:val="24"/>
        </w:rPr>
        <w:t> mil. Kč</w:t>
      </w:r>
      <w:r w:rsidR="00532196">
        <w:rPr>
          <w:sz w:val="24"/>
        </w:rPr>
        <w:t xml:space="preserve"> za jeden celek</w:t>
      </w:r>
      <w:r w:rsidR="00D77CE2">
        <w:rPr>
          <w:sz w:val="24"/>
        </w:rPr>
        <w:t xml:space="preserve">, </w:t>
      </w:r>
      <w:r w:rsidR="001C2518">
        <w:rPr>
          <w:sz w:val="24"/>
        </w:rPr>
        <w:t xml:space="preserve">kde </w:t>
      </w:r>
      <w:r w:rsidR="00532196">
        <w:rPr>
          <w:sz w:val="24"/>
        </w:rPr>
        <w:t xml:space="preserve">se </w:t>
      </w:r>
      <w:r w:rsidR="001C2518">
        <w:rPr>
          <w:sz w:val="24"/>
        </w:rPr>
        <w:t xml:space="preserve">jedná </w:t>
      </w:r>
      <w:r w:rsidR="00532196">
        <w:rPr>
          <w:sz w:val="24"/>
        </w:rPr>
        <w:t xml:space="preserve">o </w:t>
      </w:r>
      <w:r w:rsidR="001C2518">
        <w:rPr>
          <w:sz w:val="24"/>
        </w:rPr>
        <w:t xml:space="preserve">převážně </w:t>
      </w:r>
      <w:r w:rsidR="001C2518">
        <w:rPr>
          <w:sz w:val="24"/>
        </w:rPr>
        <w:lastRenderedPageBreak/>
        <w:t>o</w:t>
      </w:r>
      <w:r w:rsidR="00603090">
        <w:rPr>
          <w:sz w:val="24"/>
        </w:rPr>
        <w:t> </w:t>
      </w:r>
      <w:r w:rsidR="001C2518">
        <w:rPr>
          <w:sz w:val="24"/>
        </w:rPr>
        <w:t>individuální proje</w:t>
      </w:r>
      <w:r w:rsidR="00805093">
        <w:rPr>
          <w:sz w:val="24"/>
        </w:rPr>
        <w:t>k</w:t>
      </w:r>
      <w:r w:rsidR="001C2518">
        <w:rPr>
          <w:sz w:val="24"/>
        </w:rPr>
        <w:t xml:space="preserve">ty </w:t>
      </w:r>
      <w:r w:rsidR="00532196">
        <w:rPr>
          <w:sz w:val="24"/>
        </w:rPr>
        <w:t xml:space="preserve">s dosaženými jednotkovými cenami </w:t>
      </w:r>
      <w:r w:rsidR="00805093">
        <w:rPr>
          <w:sz w:val="24"/>
        </w:rPr>
        <w:t>v</w:t>
      </w:r>
      <w:r w:rsidR="00532196">
        <w:rPr>
          <w:sz w:val="24"/>
        </w:rPr>
        <w:t xml:space="preserve"> cenovém rozmezí</w:t>
      </w:r>
      <w:r w:rsidR="00805093">
        <w:rPr>
          <w:sz w:val="24"/>
        </w:rPr>
        <w:t xml:space="preserve"> </w:t>
      </w:r>
      <w:r w:rsidR="00532196">
        <w:rPr>
          <w:sz w:val="24"/>
        </w:rPr>
        <w:t>od 1 </w:t>
      </w:r>
      <w:r w:rsidR="005418DF">
        <w:rPr>
          <w:sz w:val="24"/>
        </w:rPr>
        <w:t>0</w:t>
      </w:r>
      <w:r w:rsidR="00532196">
        <w:rPr>
          <w:sz w:val="24"/>
        </w:rPr>
        <w:t xml:space="preserve">00 do </w:t>
      </w:r>
      <w:r w:rsidR="005418DF">
        <w:rPr>
          <w:sz w:val="24"/>
        </w:rPr>
        <w:t>4</w:t>
      </w:r>
      <w:r w:rsidR="00532196">
        <w:rPr>
          <w:sz w:val="24"/>
        </w:rPr>
        <w:t> </w:t>
      </w:r>
      <w:r w:rsidR="005418DF">
        <w:rPr>
          <w:sz w:val="24"/>
        </w:rPr>
        <w:t>700</w:t>
      </w:r>
      <w:r w:rsidR="00532196">
        <w:rPr>
          <w:sz w:val="24"/>
        </w:rPr>
        <w:t xml:space="preserve"> Kč za m</w:t>
      </w:r>
      <w:r w:rsidR="00532196">
        <w:rPr>
          <w:sz w:val="24"/>
          <w:vertAlign w:val="superscript"/>
        </w:rPr>
        <w:t>2</w:t>
      </w:r>
      <w:r w:rsidR="00532196">
        <w:rPr>
          <w:sz w:val="24"/>
        </w:rPr>
        <w:t xml:space="preserve">. Tyto převody byly </w:t>
      </w:r>
      <w:r w:rsidR="00D77CE2">
        <w:rPr>
          <w:sz w:val="24"/>
        </w:rPr>
        <w:t xml:space="preserve">uskutečněny </w:t>
      </w:r>
      <w:r w:rsidR="00532196">
        <w:rPr>
          <w:sz w:val="24"/>
        </w:rPr>
        <w:t xml:space="preserve">zejména v jihozápadním segmentu okraje Ostravy, a to </w:t>
      </w:r>
      <w:r w:rsidR="00D77CE2">
        <w:rPr>
          <w:sz w:val="24"/>
        </w:rPr>
        <w:t>v</w:t>
      </w:r>
      <w:r w:rsidR="00025867">
        <w:rPr>
          <w:sz w:val="24"/>
        </w:rPr>
        <w:t xml:space="preserve"> uvedených </w:t>
      </w:r>
      <w:r w:rsidR="00532196">
        <w:rPr>
          <w:sz w:val="24"/>
        </w:rPr>
        <w:t xml:space="preserve">městských </w:t>
      </w:r>
      <w:r w:rsidR="00D77CE2">
        <w:rPr>
          <w:sz w:val="24"/>
        </w:rPr>
        <w:t xml:space="preserve">částech </w:t>
      </w:r>
      <w:r w:rsidR="00B34694">
        <w:rPr>
          <w:sz w:val="24"/>
        </w:rPr>
        <w:t xml:space="preserve">s těmito dosaženými jednotkovými cenami </w:t>
      </w:r>
      <w:r w:rsidR="00D77CE2">
        <w:rPr>
          <w:sz w:val="24"/>
        </w:rPr>
        <w:t>–</w:t>
      </w:r>
      <w:r w:rsidR="00825B84">
        <w:rPr>
          <w:sz w:val="24"/>
        </w:rPr>
        <w:t xml:space="preserve"> </w:t>
      </w:r>
      <w:r w:rsidR="005418DF">
        <w:rPr>
          <w:sz w:val="24"/>
        </w:rPr>
        <w:t xml:space="preserve">Krásné Pole </w:t>
      </w:r>
      <w:r w:rsidR="00532196">
        <w:rPr>
          <w:sz w:val="24"/>
        </w:rPr>
        <w:t>(</w:t>
      </w:r>
      <w:r w:rsidR="005418DF">
        <w:rPr>
          <w:sz w:val="24"/>
        </w:rPr>
        <w:t>2 800 a 3 000</w:t>
      </w:r>
      <w:r w:rsidR="00532196">
        <w:rPr>
          <w:sz w:val="24"/>
        </w:rPr>
        <w:t xml:space="preserve"> </w:t>
      </w:r>
      <w:r w:rsidR="005418DF">
        <w:rPr>
          <w:sz w:val="24"/>
        </w:rPr>
        <w:t xml:space="preserve">Kč </w:t>
      </w:r>
      <w:r w:rsidR="00532196">
        <w:rPr>
          <w:sz w:val="24"/>
        </w:rPr>
        <w:t>za m</w:t>
      </w:r>
      <w:r w:rsidR="00532196" w:rsidRPr="00825B84">
        <w:rPr>
          <w:sz w:val="24"/>
          <w:vertAlign w:val="superscript"/>
        </w:rPr>
        <w:t>2</w:t>
      </w:r>
      <w:r w:rsidR="00532196">
        <w:rPr>
          <w:sz w:val="24"/>
        </w:rPr>
        <w:t xml:space="preserve">), </w:t>
      </w:r>
      <w:r w:rsidR="005418DF">
        <w:rPr>
          <w:sz w:val="24"/>
        </w:rPr>
        <w:t xml:space="preserve">Lhotka </w:t>
      </w:r>
      <w:r w:rsidR="00532196">
        <w:rPr>
          <w:sz w:val="24"/>
        </w:rPr>
        <w:t>(</w:t>
      </w:r>
      <w:r w:rsidR="005418DF">
        <w:rPr>
          <w:sz w:val="24"/>
        </w:rPr>
        <w:t>1 300</w:t>
      </w:r>
      <w:r w:rsidR="00532196">
        <w:rPr>
          <w:sz w:val="24"/>
        </w:rPr>
        <w:t xml:space="preserve"> </w:t>
      </w:r>
      <w:r w:rsidR="00E56FB2">
        <w:rPr>
          <w:sz w:val="24"/>
        </w:rPr>
        <w:t xml:space="preserve">a 2 970 </w:t>
      </w:r>
      <w:r w:rsidR="00532196">
        <w:rPr>
          <w:sz w:val="24"/>
        </w:rPr>
        <w:t>Kč za m</w:t>
      </w:r>
      <w:r w:rsidR="00532196" w:rsidRPr="00825B84">
        <w:rPr>
          <w:sz w:val="24"/>
          <w:vertAlign w:val="superscript"/>
        </w:rPr>
        <w:t>2</w:t>
      </w:r>
      <w:r w:rsidR="00532196">
        <w:rPr>
          <w:sz w:val="24"/>
        </w:rPr>
        <w:t xml:space="preserve">), </w:t>
      </w:r>
      <w:r w:rsidR="005418DF">
        <w:rPr>
          <w:sz w:val="24"/>
        </w:rPr>
        <w:t>Stará Bělá</w:t>
      </w:r>
      <w:r w:rsidR="00B34694">
        <w:rPr>
          <w:sz w:val="24"/>
        </w:rPr>
        <w:t xml:space="preserve"> </w:t>
      </w:r>
      <w:r w:rsidR="00825B84">
        <w:rPr>
          <w:sz w:val="24"/>
        </w:rPr>
        <w:t>(</w:t>
      </w:r>
      <w:r w:rsidR="00E56FB2">
        <w:rPr>
          <w:sz w:val="24"/>
        </w:rPr>
        <w:t>2</w:t>
      </w:r>
      <w:r w:rsidR="00025867">
        <w:rPr>
          <w:sz w:val="24"/>
        </w:rPr>
        <w:t> </w:t>
      </w:r>
      <w:r w:rsidR="00E56FB2">
        <w:rPr>
          <w:sz w:val="24"/>
        </w:rPr>
        <w:t>681</w:t>
      </w:r>
      <w:r w:rsidR="00025867">
        <w:rPr>
          <w:sz w:val="24"/>
        </w:rPr>
        <w:t> </w:t>
      </w:r>
      <w:r w:rsidR="00E56FB2">
        <w:rPr>
          <w:sz w:val="24"/>
        </w:rPr>
        <w:t>a</w:t>
      </w:r>
      <w:r w:rsidR="00025867">
        <w:rPr>
          <w:sz w:val="24"/>
        </w:rPr>
        <w:t> </w:t>
      </w:r>
      <w:r w:rsidR="00E56FB2">
        <w:rPr>
          <w:sz w:val="24"/>
        </w:rPr>
        <w:t>2</w:t>
      </w:r>
      <w:r w:rsidR="00025867">
        <w:rPr>
          <w:sz w:val="24"/>
        </w:rPr>
        <w:t> </w:t>
      </w:r>
      <w:r w:rsidR="00E56FB2">
        <w:rPr>
          <w:sz w:val="24"/>
        </w:rPr>
        <w:t>950</w:t>
      </w:r>
      <w:r w:rsidR="00285ADE">
        <w:rPr>
          <w:sz w:val="24"/>
        </w:rPr>
        <w:t> </w:t>
      </w:r>
      <w:r w:rsidR="00825B84">
        <w:rPr>
          <w:sz w:val="24"/>
        </w:rPr>
        <w:t>Kč za m</w:t>
      </w:r>
      <w:r w:rsidR="00825B84" w:rsidRPr="00825B84">
        <w:rPr>
          <w:sz w:val="24"/>
          <w:vertAlign w:val="superscript"/>
        </w:rPr>
        <w:t>2</w:t>
      </w:r>
      <w:r w:rsidR="00825B84">
        <w:rPr>
          <w:sz w:val="24"/>
        </w:rPr>
        <w:t xml:space="preserve">), </w:t>
      </w:r>
      <w:r w:rsidR="00B34694">
        <w:rPr>
          <w:sz w:val="24"/>
        </w:rPr>
        <w:t xml:space="preserve">ale také v městských částech při severním okraji města </w:t>
      </w:r>
      <w:r w:rsidR="005418DF">
        <w:rPr>
          <w:sz w:val="24"/>
        </w:rPr>
        <w:t>–</w:t>
      </w:r>
      <w:r w:rsidR="00B34694">
        <w:rPr>
          <w:sz w:val="24"/>
        </w:rPr>
        <w:t xml:space="preserve"> </w:t>
      </w:r>
      <w:r w:rsidR="005418DF">
        <w:rPr>
          <w:sz w:val="24"/>
        </w:rPr>
        <w:t>Heřmanice (781</w:t>
      </w:r>
      <w:r w:rsidR="00025867">
        <w:rPr>
          <w:sz w:val="24"/>
        </w:rPr>
        <w:t> </w:t>
      </w:r>
      <w:r w:rsidR="005418DF">
        <w:rPr>
          <w:sz w:val="24"/>
        </w:rPr>
        <w:t>Kč za m</w:t>
      </w:r>
      <w:r w:rsidR="005418DF" w:rsidRPr="00D77CE2">
        <w:rPr>
          <w:sz w:val="24"/>
          <w:vertAlign w:val="superscript"/>
        </w:rPr>
        <w:t>2</w:t>
      </w:r>
      <w:r w:rsidR="005418DF">
        <w:rPr>
          <w:sz w:val="24"/>
        </w:rPr>
        <w:t xml:space="preserve">), </w:t>
      </w:r>
      <w:r w:rsidR="00025867">
        <w:rPr>
          <w:sz w:val="24"/>
        </w:rPr>
        <w:t xml:space="preserve">resp. </w:t>
      </w:r>
      <w:r w:rsidR="00B34694">
        <w:rPr>
          <w:sz w:val="24"/>
        </w:rPr>
        <w:t>Radvanice</w:t>
      </w:r>
      <w:r w:rsidR="005418DF">
        <w:rPr>
          <w:sz w:val="24"/>
        </w:rPr>
        <w:t xml:space="preserve"> a Bartovice</w:t>
      </w:r>
      <w:r w:rsidR="00B34694">
        <w:rPr>
          <w:sz w:val="24"/>
        </w:rPr>
        <w:t xml:space="preserve"> </w:t>
      </w:r>
      <w:r w:rsidR="00825B84">
        <w:rPr>
          <w:sz w:val="24"/>
        </w:rPr>
        <w:t>(</w:t>
      </w:r>
      <w:r w:rsidR="00E56FB2">
        <w:rPr>
          <w:sz w:val="24"/>
        </w:rPr>
        <w:t>1 190</w:t>
      </w:r>
      <w:r w:rsidR="00825B84">
        <w:rPr>
          <w:sz w:val="24"/>
        </w:rPr>
        <w:t xml:space="preserve"> Kč za </w:t>
      </w:r>
      <w:r w:rsidR="00825B84" w:rsidRPr="00825B84">
        <w:rPr>
          <w:sz w:val="24"/>
        </w:rPr>
        <w:t>m</w:t>
      </w:r>
      <w:r w:rsidR="00825B84" w:rsidRPr="00825B84">
        <w:rPr>
          <w:sz w:val="24"/>
          <w:vertAlign w:val="superscript"/>
        </w:rPr>
        <w:t>2</w:t>
      </w:r>
      <w:r w:rsidR="00825B84">
        <w:rPr>
          <w:sz w:val="24"/>
        </w:rPr>
        <w:t>)</w:t>
      </w:r>
      <w:r w:rsidR="00E56FB2">
        <w:rPr>
          <w:sz w:val="24"/>
        </w:rPr>
        <w:t>.</w:t>
      </w:r>
    </w:p>
    <w:p w14:paraId="203D3544" w14:textId="0DF422FE" w:rsidR="00A37DDF" w:rsidRPr="00231ABC" w:rsidRDefault="00A37DDF" w:rsidP="00232628">
      <w:pPr>
        <w:spacing w:before="120"/>
        <w:ind w:firstLine="425"/>
        <w:jc w:val="both"/>
        <w:rPr>
          <w:sz w:val="24"/>
        </w:rPr>
      </w:pPr>
      <w:r w:rsidRPr="008D10AB">
        <w:rPr>
          <w:sz w:val="24"/>
        </w:rPr>
        <w:t xml:space="preserve">Přetrvávající zájem o pozemky pro individuální bytovou výstavbu je sledován v území mimo kompaktní město, v žádaných okrajových částech při západní </w:t>
      </w:r>
      <w:r w:rsidR="00282D5C" w:rsidRPr="008D10AB">
        <w:rPr>
          <w:sz w:val="24"/>
        </w:rPr>
        <w:t xml:space="preserve">a jižní </w:t>
      </w:r>
      <w:r w:rsidRPr="008D10AB">
        <w:rPr>
          <w:sz w:val="24"/>
        </w:rPr>
        <w:t>hranici města – Plesná, Stará Bělá</w:t>
      </w:r>
      <w:r w:rsidR="00686F9E" w:rsidRPr="008D10AB">
        <w:rPr>
          <w:sz w:val="24"/>
        </w:rPr>
        <w:t xml:space="preserve">, Nová Bělá, </w:t>
      </w:r>
      <w:r w:rsidR="00A65022" w:rsidRPr="008D10AB">
        <w:rPr>
          <w:sz w:val="24"/>
        </w:rPr>
        <w:t>Výškovic</w:t>
      </w:r>
      <w:r w:rsidR="008D10AB" w:rsidRPr="008D10AB">
        <w:rPr>
          <w:sz w:val="24"/>
        </w:rPr>
        <w:t xml:space="preserve">e, </w:t>
      </w:r>
      <w:r w:rsidR="00686F9E" w:rsidRPr="008D10AB">
        <w:rPr>
          <w:sz w:val="24"/>
        </w:rPr>
        <w:t>Krásné Pole</w:t>
      </w:r>
      <w:r w:rsidRPr="008D10AB">
        <w:rPr>
          <w:sz w:val="24"/>
        </w:rPr>
        <w:t xml:space="preserve"> a Polanka, v</w:t>
      </w:r>
      <w:r w:rsidR="008D10AB" w:rsidRPr="008D10AB">
        <w:rPr>
          <w:sz w:val="24"/>
        </w:rPr>
        <w:t> </w:t>
      </w:r>
      <w:r w:rsidRPr="008D10AB">
        <w:rPr>
          <w:sz w:val="24"/>
        </w:rPr>
        <w:t xml:space="preserve">okrajových částech </w:t>
      </w:r>
      <w:r w:rsidR="00E4679C" w:rsidRPr="008D10AB">
        <w:rPr>
          <w:sz w:val="24"/>
        </w:rPr>
        <w:t>na severu</w:t>
      </w:r>
      <w:r w:rsidR="00232628">
        <w:rPr>
          <w:sz w:val="24"/>
        </w:rPr>
        <w:t xml:space="preserve"> a východě</w:t>
      </w:r>
      <w:r w:rsidR="00E4679C" w:rsidRPr="008D10AB">
        <w:rPr>
          <w:sz w:val="24"/>
        </w:rPr>
        <w:t xml:space="preserve"> města</w:t>
      </w:r>
      <w:r w:rsidRPr="008D10AB">
        <w:rPr>
          <w:sz w:val="24"/>
        </w:rPr>
        <w:t xml:space="preserve"> </w:t>
      </w:r>
      <w:r w:rsidR="008D10AB" w:rsidRPr="008D10AB">
        <w:rPr>
          <w:sz w:val="24"/>
        </w:rPr>
        <w:t>–</w:t>
      </w:r>
      <w:r w:rsidR="00E4679C" w:rsidRPr="008D10AB">
        <w:rPr>
          <w:sz w:val="24"/>
        </w:rPr>
        <w:t xml:space="preserve"> </w:t>
      </w:r>
      <w:r w:rsidR="00232628">
        <w:rPr>
          <w:sz w:val="24"/>
        </w:rPr>
        <w:t xml:space="preserve">Heřmanice, Michálkovice, </w:t>
      </w:r>
      <w:r w:rsidR="008D10AB" w:rsidRPr="008D10AB">
        <w:rPr>
          <w:sz w:val="24"/>
        </w:rPr>
        <w:t>Lhotka</w:t>
      </w:r>
      <w:r w:rsidR="00282D5C" w:rsidRPr="008D10AB">
        <w:rPr>
          <w:sz w:val="24"/>
        </w:rPr>
        <w:t xml:space="preserve"> nebo </w:t>
      </w:r>
      <w:r w:rsidR="008D10AB" w:rsidRPr="008D10AB">
        <w:rPr>
          <w:sz w:val="24"/>
        </w:rPr>
        <w:t>Koblov</w:t>
      </w:r>
      <w:r w:rsidR="008D10AB">
        <w:rPr>
          <w:sz w:val="24"/>
        </w:rPr>
        <w:t xml:space="preserve">, </w:t>
      </w:r>
      <w:r w:rsidR="008D10AB" w:rsidRPr="008D10AB">
        <w:rPr>
          <w:sz w:val="24"/>
        </w:rPr>
        <w:t>a dále</w:t>
      </w:r>
      <w:r w:rsidR="008D10AB">
        <w:rPr>
          <w:sz w:val="24"/>
        </w:rPr>
        <w:t xml:space="preserve"> také v místech navazujících na centrální část města – </w:t>
      </w:r>
      <w:r w:rsidR="00232628">
        <w:rPr>
          <w:sz w:val="24"/>
        </w:rPr>
        <w:t xml:space="preserve">Svinov, </w:t>
      </w:r>
      <w:r w:rsidR="008D10AB">
        <w:rPr>
          <w:sz w:val="24"/>
        </w:rPr>
        <w:t xml:space="preserve">Muglinov, </w:t>
      </w:r>
      <w:r w:rsidR="00232628">
        <w:rPr>
          <w:sz w:val="24"/>
        </w:rPr>
        <w:t>Pustkovec</w:t>
      </w:r>
      <w:r w:rsidR="008D10AB">
        <w:rPr>
          <w:sz w:val="24"/>
        </w:rPr>
        <w:t>, Slezsk</w:t>
      </w:r>
      <w:r w:rsidR="00232628">
        <w:rPr>
          <w:sz w:val="24"/>
        </w:rPr>
        <w:t>á</w:t>
      </w:r>
      <w:r w:rsidR="008D10AB">
        <w:rPr>
          <w:sz w:val="24"/>
        </w:rPr>
        <w:t xml:space="preserve"> Ostrav</w:t>
      </w:r>
      <w:r w:rsidR="00232628">
        <w:rPr>
          <w:sz w:val="24"/>
        </w:rPr>
        <w:t>a a</w:t>
      </w:r>
      <w:r w:rsidR="008D10AB">
        <w:rPr>
          <w:sz w:val="24"/>
        </w:rPr>
        <w:t xml:space="preserve"> </w:t>
      </w:r>
      <w:r w:rsidR="00232628">
        <w:rPr>
          <w:sz w:val="24"/>
        </w:rPr>
        <w:t>Výškovice</w:t>
      </w:r>
      <w:r w:rsidR="008D10AB">
        <w:rPr>
          <w:sz w:val="24"/>
        </w:rPr>
        <w:t>.</w:t>
      </w:r>
      <w:r w:rsidRPr="008D10AB">
        <w:rPr>
          <w:sz w:val="24"/>
        </w:rPr>
        <w:t xml:space="preserve"> V rámci </w:t>
      </w:r>
      <w:r w:rsidR="00B56D30">
        <w:rPr>
          <w:sz w:val="24"/>
        </w:rPr>
        <w:t xml:space="preserve">území </w:t>
      </w:r>
      <w:r w:rsidRPr="008D10AB">
        <w:rPr>
          <w:sz w:val="24"/>
        </w:rPr>
        <w:t>celého</w:t>
      </w:r>
      <w:r w:rsidRPr="00A65022">
        <w:rPr>
          <w:sz w:val="24"/>
        </w:rPr>
        <w:t xml:space="preserve"> města se nejvýraznější měrou na objemu převodů </w:t>
      </w:r>
      <w:r w:rsidR="00285ADE">
        <w:rPr>
          <w:sz w:val="24"/>
        </w:rPr>
        <w:t xml:space="preserve">v této kategorii </w:t>
      </w:r>
      <w:r w:rsidRPr="00A65022">
        <w:rPr>
          <w:sz w:val="24"/>
        </w:rPr>
        <w:t>podílel</w:t>
      </w:r>
      <w:r w:rsidR="00F137D4">
        <w:rPr>
          <w:sz w:val="24"/>
        </w:rPr>
        <w:t>a</w:t>
      </w:r>
      <w:r w:rsidR="00A65022" w:rsidRPr="00A65022">
        <w:rPr>
          <w:sz w:val="24"/>
        </w:rPr>
        <w:t xml:space="preserve"> </w:t>
      </w:r>
      <w:r w:rsidR="00B56D30">
        <w:rPr>
          <w:sz w:val="24"/>
        </w:rPr>
        <w:t>městská část</w:t>
      </w:r>
      <w:r w:rsidR="00C47C91">
        <w:rPr>
          <w:sz w:val="24"/>
        </w:rPr>
        <w:t xml:space="preserve"> Krásné Pole</w:t>
      </w:r>
      <w:r w:rsidR="00B56D30">
        <w:rPr>
          <w:sz w:val="24"/>
        </w:rPr>
        <w:t xml:space="preserve"> </w:t>
      </w:r>
      <w:r w:rsidRPr="00A65022">
        <w:rPr>
          <w:sz w:val="24"/>
        </w:rPr>
        <w:t>(cca </w:t>
      </w:r>
      <w:r w:rsidR="00232628">
        <w:rPr>
          <w:sz w:val="24"/>
        </w:rPr>
        <w:t>1</w:t>
      </w:r>
      <w:r w:rsidR="00F241F8">
        <w:rPr>
          <w:sz w:val="24"/>
        </w:rPr>
        <w:t>1</w:t>
      </w:r>
      <w:r w:rsidRPr="00A65022">
        <w:rPr>
          <w:sz w:val="24"/>
        </w:rPr>
        <w:t xml:space="preserve"> % z celku), </w:t>
      </w:r>
      <w:r w:rsidR="00B56D30">
        <w:rPr>
          <w:sz w:val="24"/>
        </w:rPr>
        <w:t xml:space="preserve">kde se zobchodovaly pozemky </w:t>
      </w:r>
      <w:r w:rsidRPr="00A65022">
        <w:rPr>
          <w:sz w:val="24"/>
        </w:rPr>
        <w:t xml:space="preserve">v souhrnné výši </w:t>
      </w:r>
      <w:r w:rsidR="00A65022" w:rsidRPr="00A65022">
        <w:rPr>
          <w:sz w:val="24"/>
        </w:rPr>
        <w:t>cca </w:t>
      </w:r>
      <w:r w:rsidR="00AA0F00">
        <w:rPr>
          <w:sz w:val="24"/>
        </w:rPr>
        <w:t>3</w:t>
      </w:r>
      <w:r w:rsidR="00F241F8">
        <w:rPr>
          <w:sz w:val="24"/>
        </w:rPr>
        <w:t>8</w:t>
      </w:r>
      <w:r w:rsidR="00A65022" w:rsidRPr="00A65022">
        <w:rPr>
          <w:sz w:val="24"/>
        </w:rPr>
        <w:t> </w:t>
      </w:r>
      <w:r w:rsidRPr="00A65022">
        <w:rPr>
          <w:sz w:val="24"/>
        </w:rPr>
        <w:t>mil.</w:t>
      </w:r>
      <w:r w:rsidR="00F137D4">
        <w:rPr>
          <w:sz w:val="24"/>
        </w:rPr>
        <w:t> </w:t>
      </w:r>
      <w:r w:rsidRPr="00A65022">
        <w:rPr>
          <w:sz w:val="24"/>
        </w:rPr>
        <w:t xml:space="preserve">Kč. </w:t>
      </w:r>
      <w:r w:rsidR="00002430">
        <w:rPr>
          <w:sz w:val="24"/>
        </w:rPr>
        <w:t>Nejv</w:t>
      </w:r>
      <w:r w:rsidR="00A65022" w:rsidRPr="00A65022">
        <w:rPr>
          <w:sz w:val="24"/>
        </w:rPr>
        <w:t>ý</w:t>
      </w:r>
      <w:r w:rsidR="00F137D4">
        <w:rPr>
          <w:sz w:val="24"/>
        </w:rPr>
        <w:t>znamn</w:t>
      </w:r>
      <w:r w:rsidR="00002430">
        <w:rPr>
          <w:sz w:val="24"/>
        </w:rPr>
        <w:t>ější</w:t>
      </w:r>
      <w:r w:rsidR="00F137D4">
        <w:rPr>
          <w:sz w:val="24"/>
        </w:rPr>
        <w:t xml:space="preserve"> podíl na trhu </w:t>
      </w:r>
      <w:r w:rsidR="00002430">
        <w:rPr>
          <w:sz w:val="24"/>
        </w:rPr>
        <w:t xml:space="preserve">v rámci jednotlivých polohových tříd </w:t>
      </w:r>
      <w:r w:rsidR="00C04F4B">
        <w:rPr>
          <w:sz w:val="24"/>
        </w:rPr>
        <w:t>m</w:t>
      </w:r>
      <w:r w:rsidR="00285ADE">
        <w:rPr>
          <w:sz w:val="24"/>
        </w:rPr>
        <w:t>ěly</w:t>
      </w:r>
      <w:r w:rsidR="009F4705">
        <w:rPr>
          <w:sz w:val="24"/>
        </w:rPr>
        <w:t xml:space="preserve"> </w:t>
      </w:r>
      <w:r w:rsidR="00B56D30">
        <w:rPr>
          <w:sz w:val="24"/>
        </w:rPr>
        <w:t>městsk</w:t>
      </w:r>
      <w:r w:rsidR="009F4705">
        <w:rPr>
          <w:sz w:val="24"/>
        </w:rPr>
        <w:t>é</w:t>
      </w:r>
      <w:r w:rsidR="00B56D30">
        <w:rPr>
          <w:sz w:val="24"/>
        </w:rPr>
        <w:t xml:space="preserve"> část</w:t>
      </w:r>
      <w:r w:rsidR="009F4705">
        <w:rPr>
          <w:sz w:val="24"/>
        </w:rPr>
        <w:t>i</w:t>
      </w:r>
      <w:r w:rsidR="00C04F4B">
        <w:rPr>
          <w:sz w:val="24"/>
        </w:rPr>
        <w:t xml:space="preserve"> </w:t>
      </w:r>
      <w:r w:rsidR="00C87193">
        <w:rPr>
          <w:sz w:val="24"/>
        </w:rPr>
        <w:t xml:space="preserve">mimo kompaktní město – </w:t>
      </w:r>
      <w:r w:rsidR="00F241F8">
        <w:rPr>
          <w:sz w:val="24"/>
        </w:rPr>
        <w:t>Krásné Pole</w:t>
      </w:r>
      <w:r w:rsidR="00F241F8" w:rsidRPr="00A65022">
        <w:rPr>
          <w:sz w:val="24"/>
        </w:rPr>
        <w:t xml:space="preserve"> s podílem </w:t>
      </w:r>
      <w:r w:rsidR="00C47C91">
        <w:rPr>
          <w:sz w:val="24"/>
        </w:rPr>
        <w:t>12</w:t>
      </w:r>
      <w:r w:rsidR="00F241F8">
        <w:rPr>
          <w:sz w:val="24"/>
        </w:rPr>
        <w:t>,</w:t>
      </w:r>
      <w:r w:rsidR="00C47C91">
        <w:rPr>
          <w:sz w:val="24"/>
        </w:rPr>
        <w:t xml:space="preserve">2 </w:t>
      </w:r>
      <w:r w:rsidR="00F241F8" w:rsidRPr="00A65022">
        <w:rPr>
          <w:sz w:val="24"/>
        </w:rPr>
        <w:t>%</w:t>
      </w:r>
      <w:r w:rsidR="00F241F8">
        <w:rPr>
          <w:sz w:val="24"/>
        </w:rPr>
        <w:t xml:space="preserve"> </w:t>
      </w:r>
      <w:r w:rsidR="00F241F8" w:rsidRPr="00A65022">
        <w:rPr>
          <w:sz w:val="24"/>
        </w:rPr>
        <w:t>a</w:t>
      </w:r>
      <w:r w:rsidR="00F241F8">
        <w:rPr>
          <w:sz w:val="24"/>
        </w:rPr>
        <w:t> </w:t>
      </w:r>
      <w:r w:rsidR="00F241F8" w:rsidRPr="00A65022">
        <w:rPr>
          <w:sz w:val="24"/>
        </w:rPr>
        <w:t xml:space="preserve">objemem </w:t>
      </w:r>
      <w:r w:rsidR="00C47C91">
        <w:rPr>
          <w:sz w:val="24"/>
        </w:rPr>
        <w:t>58</w:t>
      </w:r>
      <w:r w:rsidR="00F241F8">
        <w:rPr>
          <w:sz w:val="24"/>
        </w:rPr>
        <w:t>,</w:t>
      </w:r>
      <w:r w:rsidR="00C47C91">
        <w:rPr>
          <w:sz w:val="24"/>
        </w:rPr>
        <w:t>3</w:t>
      </w:r>
      <w:r w:rsidR="00F241F8">
        <w:rPr>
          <w:sz w:val="24"/>
        </w:rPr>
        <w:t> </w:t>
      </w:r>
      <w:r w:rsidR="00F241F8" w:rsidRPr="00A65022">
        <w:rPr>
          <w:sz w:val="24"/>
        </w:rPr>
        <w:t>mil. Kč</w:t>
      </w:r>
      <w:r w:rsidR="00F241F8">
        <w:rPr>
          <w:sz w:val="24"/>
        </w:rPr>
        <w:t xml:space="preserve">, </w:t>
      </w:r>
      <w:r w:rsidR="00C47C91">
        <w:rPr>
          <w:sz w:val="24"/>
        </w:rPr>
        <w:t xml:space="preserve">Radvanice </w:t>
      </w:r>
      <w:r w:rsidR="00C47C91" w:rsidRPr="00A65022">
        <w:rPr>
          <w:sz w:val="24"/>
        </w:rPr>
        <w:t xml:space="preserve">s podílem </w:t>
      </w:r>
      <w:r w:rsidR="00C47C91">
        <w:rPr>
          <w:sz w:val="24"/>
        </w:rPr>
        <w:t>9,8</w:t>
      </w:r>
      <w:r w:rsidR="00C47C91" w:rsidRPr="00A65022">
        <w:rPr>
          <w:sz w:val="24"/>
        </w:rPr>
        <w:t> %</w:t>
      </w:r>
      <w:r w:rsidR="00C47C91">
        <w:rPr>
          <w:sz w:val="24"/>
        </w:rPr>
        <w:t xml:space="preserve"> </w:t>
      </w:r>
      <w:r w:rsidR="00C47C91" w:rsidRPr="00A65022">
        <w:rPr>
          <w:sz w:val="24"/>
        </w:rPr>
        <w:t>a</w:t>
      </w:r>
      <w:r w:rsidR="00C47C91">
        <w:rPr>
          <w:sz w:val="24"/>
        </w:rPr>
        <w:t> </w:t>
      </w:r>
      <w:r w:rsidR="00C47C91" w:rsidRPr="00A65022">
        <w:rPr>
          <w:sz w:val="24"/>
        </w:rPr>
        <w:t xml:space="preserve">objemem </w:t>
      </w:r>
      <w:r w:rsidR="00C47C91">
        <w:rPr>
          <w:sz w:val="24"/>
        </w:rPr>
        <w:t xml:space="preserve">47 </w:t>
      </w:r>
      <w:r w:rsidR="00C47C91" w:rsidRPr="00A65022">
        <w:rPr>
          <w:sz w:val="24"/>
        </w:rPr>
        <w:t>mil. Kč</w:t>
      </w:r>
      <w:r w:rsidR="00C47C91">
        <w:rPr>
          <w:sz w:val="24"/>
        </w:rPr>
        <w:t>, Hošťálkovice</w:t>
      </w:r>
      <w:r w:rsidR="00F241F8" w:rsidRPr="00A65022">
        <w:rPr>
          <w:sz w:val="24"/>
        </w:rPr>
        <w:t xml:space="preserve"> s podílem </w:t>
      </w:r>
      <w:r w:rsidR="00C47C91">
        <w:rPr>
          <w:sz w:val="24"/>
        </w:rPr>
        <w:t>8,4</w:t>
      </w:r>
      <w:r w:rsidR="00F241F8" w:rsidRPr="00A65022">
        <w:rPr>
          <w:sz w:val="24"/>
        </w:rPr>
        <w:t> %</w:t>
      </w:r>
      <w:r w:rsidR="00F241F8">
        <w:rPr>
          <w:sz w:val="24"/>
        </w:rPr>
        <w:t xml:space="preserve"> </w:t>
      </w:r>
      <w:r w:rsidR="00F241F8" w:rsidRPr="00A65022">
        <w:rPr>
          <w:sz w:val="24"/>
        </w:rPr>
        <w:t>a</w:t>
      </w:r>
      <w:r w:rsidR="00F241F8">
        <w:rPr>
          <w:sz w:val="24"/>
        </w:rPr>
        <w:t> </w:t>
      </w:r>
      <w:r w:rsidR="00F241F8" w:rsidRPr="00A65022">
        <w:rPr>
          <w:sz w:val="24"/>
        </w:rPr>
        <w:t xml:space="preserve">objemem </w:t>
      </w:r>
      <w:r w:rsidR="00C47C91">
        <w:rPr>
          <w:sz w:val="24"/>
        </w:rPr>
        <w:t>40,4</w:t>
      </w:r>
      <w:r w:rsidR="00F241F8">
        <w:rPr>
          <w:sz w:val="24"/>
        </w:rPr>
        <w:t> </w:t>
      </w:r>
      <w:r w:rsidR="00F241F8" w:rsidRPr="00A65022">
        <w:rPr>
          <w:sz w:val="24"/>
        </w:rPr>
        <w:t>mil. Kč</w:t>
      </w:r>
      <w:r w:rsidR="00F241F8">
        <w:rPr>
          <w:sz w:val="24"/>
        </w:rPr>
        <w:t xml:space="preserve">, </w:t>
      </w:r>
      <w:r w:rsidR="00C47C91">
        <w:rPr>
          <w:sz w:val="24"/>
        </w:rPr>
        <w:t xml:space="preserve">Hrabová </w:t>
      </w:r>
      <w:r w:rsidR="00A65022" w:rsidRPr="00A65022">
        <w:rPr>
          <w:sz w:val="24"/>
        </w:rPr>
        <w:t xml:space="preserve">s podílem </w:t>
      </w:r>
      <w:r w:rsidR="00C47C91">
        <w:rPr>
          <w:sz w:val="24"/>
        </w:rPr>
        <w:t>7</w:t>
      </w:r>
      <w:r w:rsidR="00F241F8">
        <w:rPr>
          <w:sz w:val="24"/>
        </w:rPr>
        <w:t>,</w:t>
      </w:r>
      <w:r w:rsidR="00C47C91">
        <w:rPr>
          <w:sz w:val="24"/>
        </w:rPr>
        <w:t>01</w:t>
      </w:r>
      <w:r w:rsidR="00517B7A">
        <w:rPr>
          <w:sz w:val="24"/>
        </w:rPr>
        <w:t> </w:t>
      </w:r>
      <w:r w:rsidR="00A65022" w:rsidRPr="00A65022">
        <w:rPr>
          <w:sz w:val="24"/>
        </w:rPr>
        <w:t xml:space="preserve">% a objemem </w:t>
      </w:r>
      <w:r w:rsidR="00C47C91">
        <w:rPr>
          <w:sz w:val="24"/>
        </w:rPr>
        <w:t>33,6</w:t>
      </w:r>
      <w:r w:rsidR="00D67A41">
        <w:rPr>
          <w:sz w:val="24"/>
        </w:rPr>
        <w:t xml:space="preserve"> mil. Kč, </w:t>
      </w:r>
      <w:r w:rsidR="00A65022" w:rsidRPr="00A65022">
        <w:rPr>
          <w:sz w:val="24"/>
        </w:rPr>
        <w:t>a</w:t>
      </w:r>
      <w:r w:rsidR="00D67A41">
        <w:rPr>
          <w:sz w:val="24"/>
        </w:rPr>
        <w:t> </w:t>
      </w:r>
      <w:r w:rsidR="00A65022" w:rsidRPr="00A65022">
        <w:rPr>
          <w:sz w:val="24"/>
        </w:rPr>
        <w:t xml:space="preserve">dále </w:t>
      </w:r>
      <w:r w:rsidR="00F241F8">
        <w:rPr>
          <w:sz w:val="24"/>
        </w:rPr>
        <w:t>H</w:t>
      </w:r>
      <w:r w:rsidR="00C47C91">
        <w:rPr>
          <w:sz w:val="24"/>
        </w:rPr>
        <w:t xml:space="preserve">eřmanice </w:t>
      </w:r>
      <w:r w:rsidR="00A65022" w:rsidRPr="00A65022">
        <w:rPr>
          <w:sz w:val="24"/>
        </w:rPr>
        <w:t xml:space="preserve">s podílem </w:t>
      </w:r>
      <w:r w:rsidR="00C47C91">
        <w:rPr>
          <w:sz w:val="24"/>
        </w:rPr>
        <w:t>6,2</w:t>
      </w:r>
      <w:r w:rsidR="00A65022" w:rsidRPr="00A65022">
        <w:rPr>
          <w:sz w:val="24"/>
        </w:rPr>
        <w:t> %</w:t>
      </w:r>
      <w:r w:rsidR="00B22DE1">
        <w:rPr>
          <w:sz w:val="24"/>
        </w:rPr>
        <w:t xml:space="preserve"> a objemem </w:t>
      </w:r>
      <w:r w:rsidR="00F241F8">
        <w:rPr>
          <w:sz w:val="24"/>
        </w:rPr>
        <w:t>29,</w:t>
      </w:r>
      <w:r w:rsidR="00C47C91">
        <w:rPr>
          <w:sz w:val="24"/>
        </w:rPr>
        <w:t>7</w:t>
      </w:r>
      <w:r w:rsidR="00B22DE1">
        <w:rPr>
          <w:sz w:val="24"/>
        </w:rPr>
        <w:t> mil. Kč</w:t>
      </w:r>
      <w:r w:rsidR="00A65022" w:rsidRPr="00A65022">
        <w:rPr>
          <w:sz w:val="24"/>
        </w:rPr>
        <w:t xml:space="preserve">. </w:t>
      </w:r>
      <w:r w:rsidR="00A8643B" w:rsidRPr="00A65022">
        <w:rPr>
          <w:sz w:val="24"/>
        </w:rPr>
        <w:t>S</w:t>
      </w:r>
      <w:r w:rsidRPr="00A65022">
        <w:rPr>
          <w:sz w:val="24"/>
        </w:rPr>
        <w:t xml:space="preserve">ouhrn </w:t>
      </w:r>
      <w:r w:rsidR="00A8643B" w:rsidRPr="00A65022">
        <w:rPr>
          <w:sz w:val="24"/>
        </w:rPr>
        <w:t xml:space="preserve">všech </w:t>
      </w:r>
      <w:r w:rsidRPr="00A65022">
        <w:rPr>
          <w:sz w:val="24"/>
        </w:rPr>
        <w:t xml:space="preserve">transakcí </w:t>
      </w:r>
      <w:r w:rsidR="00A8643B" w:rsidRPr="00A65022">
        <w:rPr>
          <w:sz w:val="24"/>
        </w:rPr>
        <w:t xml:space="preserve">s pozemky nad </w:t>
      </w:r>
      <w:r w:rsidR="00282D5C" w:rsidRPr="00A65022">
        <w:rPr>
          <w:sz w:val="24"/>
        </w:rPr>
        <w:t>1</w:t>
      </w:r>
      <w:r w:rsidR="00A8643B" w:rsidRPr="00A65022">
        <w:rPr>
          <w:sz w:val="24"/>
        </w:rPr>
        <w:t>0</w:t>
      </w:r>
      <w:r w:rsidR="00517B7A">
        <w:rPr>
          <w:sz w:val="24"/>
        </w:rPr>
        <w:t> </w:t>
      </w:r>
      <w:r w:rsidR="00A8643B" w:rsidRPr="00A65022">
        <w:rPr>
          <w:sz w:val="24"/>
        </w:rPr>
        <w:t>mil.</w:t>
      </w:r>
      <w:r w:rsidR="00517B7A">
        <w:rPr>
          <w:sz w:val="24"/>
        </w:rPr>
        <w:t> </w:t>
      </w:r>
      <w:r w:rsidR="00A8643B" w:rsidRPr="00A65022">
        <w:rPr>
          <w:sz w:val="24"/>
        </w:rPr>
        <w:t xml:space="preserve">Kč byl dále realizován </w:t>
      </w:r>
      <w:r w:rsidRPr="00A65022">
        <w:rPr>
          <w:sz w:val="24"/>
        </w:rPr>
        <w:t>v</w:t>
      </w:r>
      <w:r w:rsidR="00F241F8">
        <w:rPr>
          <w:sz w:val="24"/>
        </w:rPr>
        <w:t> </w:t>
      </w:r>
      <w:r w:rsidR="00C47C91">
        <w:rPr>
          <w:sz w:val="24"/>
        </w:rPr>
        <w:t>Plesné</w:t>
      </w:r>
      <w:r w:rsidR="00F241F8">
        <w:rPr>
          <w:sz w:val="24"/>
        </w:rPr>
        <w:t xml:space="preserve">, </w:t>
      </w:r>
      <w:r w:rsidR="00C47C91">
        <w:rPr>
          <w:sz w:val="24"/>
        </w:rPr>
        <w:t>Michálkovicích</w:t>
      </w:r>
      <w:r w:rsidR="00F241F8">
        <w:rPr>
          <w:sz w:val="24"/>
        </w:rPr>
        <w:t xml:space="preserve">, </w:t>
      </w:r>
      <w:r w:rsidR="00C47C91">
        <w:rPr>
          <w:sz w:val="24"/>
        </w:rPr>
        <w:t>Koblově, Bartovicích a Nové Vsi</w:t>
      </w:r>
      <w:r w:rsidRPr="00A65022">
        <w:rPr>
          <w:sz w:val="24"/>
        </w:rPr>
        <w:t xml:space="preserve">. Z okrajových částí </w:t>
      </w:r>
      <w:r w:rsidR="00282D5C" w:rsidRPr="00A65022">
        <w:rPr>
          <w:sz w:val="24"/>
        </w:rPr>
        <w:t xml:space="preserve">vnitřního </w:t>
      </w:r>
      <w:r w:rsidRPr="00A65022">
        <w:rPr>
          <w:sz w:val="24"/>
        </w:rPr>
        <w:t>města byla n</w:t>
      </w:r>
      <w:r w:rsidR="00A65022">
        <w:rPr>
          <w:sz w:val="24"/>
        </w:rPr>
        <w:t xml:space="preserve">ejvětší aktivita </w:t>
      </w:r>
      <w:r w:rsidR="00ED3F5A">
        <w:rPr>
          <w:sz w:val="24"/>
        </w:rPr>
        <w:t xml:space="preserve">v objemu obchodů nad 10 mil. Kč vyhodnocena </w:t>
      </w:r>
      <w:r w:rsidR="00A65022">
        <w:rPr>
          <w:sz w:val="24"/>
        </w:rPr>
        <w:t>v</w:t>
      </w:r>
      <w:r w:rsidR="00C47C91">
        <w:rPr>
          <w:sz w:val="24"/>
        </w:rPr>
        <w:t xml:space="preserve"> Muglinově </w:t>
      </w:r>
      <w:r w:rsidR="00ED3F5A">
        <w:rPr>
          <w:sz w:val="24"/>
        </w:rPr>
        <w:t>(</w:t>
      </w:r>
      <w:r w:rsidR="00C47C91">
        <w:rPr>
          <w:sz w:val="24"/>
        </w:rPr>
        <w:t>20,5</w:t>
      </w:r>
      <w:r w:rsidR="00ED3F5A">
        <w:rPr>
          <w:sz w:val="24"/>
        </w:rPr>
        <w:t xml:space="preserve"> mil.</w:t>
      </w:r>
      <w:r w:rsidR="00517B7A">
        <w:rPr>
          <w:sz w:val="24"/>
        </w:rPr>
        <w:t> </w:t>
      </w:r>
      <w:r w:rsidR="00C47C91">
        <w:rPr>
          <w:sz w:val="24"/>
        </w:rPr>
        <w:t>Kč)</w:t>
      </w:r>
      <w:r w:rsidR="00ED3F5A">
        <w:rPr>
          <w:sz w:val="24"/>
        </w:rPr>
        <w:t xml:space="preserve"> </w:t>
      </w:r>
      <w:r w:rsidR="00C87193">
        <w:rPr>
          <w:sz w:val="24"/>
        </w:rPr>
        <w:t>a S</w:t>
      </w:r>
      <w:r w:rsidR="00C47C91">
        <w:rPr>
          <w:sz w:val="24"/>
        </w:rPr>
        <w:t xml:space="preserve">vinově </w:t>
      </w:r>
      <w:r w:rsidR="00C87193">
        <w:rPr>
          <w:sz w:val="24"/>
        </w:rPr>
        <w:t>(</w:t>
      </w:r>
      <w:r w:rsidR="00C47C91">
        <w:rPr>
          <w:sz w:val="24"/>
        </w:rPr>
        <w:t>12,5</w:t>
      </w:r>
      <w:r w:rsidR="00D67A41">
        <w:rPr>
          <w:sz w:val="24"/>
        </w:rPr>
        <w:t> </w:t>
      </w:r>
      <w:r w:rsidR="00ED3F5A">
        <w:rPr>
          <w:sz w:val="24"/>
        </w:rPr>
        <w:t>mil.</w:t>
      </w:r>
      <w:r w:rsidR="00517B7A">
        <w:rPr>
          <w:sz w:val="24"/>
        </w:rPr>
        <w:t> </w:t>
      </w:r>
      <w:r w:rsidR="00ED3F5A">
        <w:rPr>
          <w:sz w:val="24"/>
        </w:rPr>
        <w:t>Kč)</w:t>
      </w:r>
      <w:r w:rsidRPr="00A65022">
        <w:rPr>
          <w:sz w:val="24"/>
        </w:rPr>
        <w:t>.</w:t>
      </w:r>
    </w:p>
    <w:p w14:paraId="3FDC30C1" w14:textId="02E7B5EE" w:rsidR="00ED2536" w:rsidRPr="00ED2536" w:rsidRDefault="00ED2536" w:rsidP="00ED2536">
      <w:pPr>
        <w:pStyle w:val="Zhlav"/>
        <w:tabs>
          <w:tab w:val="clear" w:pos="4536"/>
          <w:tab w:val="clear" w:pos="9072"/>
        </w:tabs>
        <w:spacing w:before="120"/>
      </w:pPr>
      <w:r w:rsidRPr="00ED2536">
        <w:t>CM 2020</w:t>
      </w: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61"/>
        <w:gridCol w:w="1842"/>
        <w:gridCol w:w="1843"/>
        <w:gridCol w:w="1985"/>
      </w:tblGrid>
      <w:tr w:rsidR="00ED2536" w:rsidRPr="00ED2536" w14:paraId="52D62F51" w14:textId="77777777" w:rsidTr="00ED2536">
        <w:trPr>
          <w:cantSplit/>
        </w:trPr>
        <w:tc>
          <w:tcPr>
            <w:tcW w:w="3261" w:type="dxa"/>
            <w:vMerge w:val="restart"/>
            <w:tcBorders>
              <w:top w:val="single" w:sz="18" w:space="0" w:color="auto"/>
              <w:left w:val="single" w:sz="18" w:space="0" w:color="auto"/>
              <w:right w:val="single" w:sz="18" w:space="0" w:color="auto"/>
            </w:tcBorders>
            <w:vAlign w:val="center"/>
          </w:tcPr>
          <w:p w14:paraId="7D472863" w14:textId="77777777" w:rsidR="00ED2536" w:rsidRPr="00ED2536" w:rsidRDefault="00ED2536" w:rsidP="00ED2536">
            <w:pPr>
              <w:pStyle w:val="Nadpis1"/>
              <w:jc w:val="center"/>
              <w:rPr>
                <w:b/>
              </w:rPr>
            </w:pPr>
            <w:r w:rsidRPr="00ED2536">
              <w:rPr>
                <w:b/>
              </w:rPr>
              <w:t>Poloha</w:t>
            </w:r>
          </w:p>
        </w:tc>
        <w:tc>
          <w:tcPr>
            <w:tcW w:w="5670" w:type="dxa"/>
            <w:gridSpan w:val="3"/>
            <w:tcBorders>
              <w:top w:val="single" w:sz="18" w:space="0" w:color="auto"/>
              <w:left w:val="nil"/>
              <w:bottom w:val="nil"/>
              <w:right w:val="single" w:sz="18" w:space="0" w:color="auto"/>
            </w:tcBorders>
          </w:tcPr>
          <w:p w14:paraId="2DE55AB9" w14:textId="77777777" w:rsidR="00ED2536" w:rsidRPr="00ED2536" w:rsidRDefault="00ED2536" w:rsidP="00ED2536">
            <w:pPr>
              <w:jc w:val="center"/>
              <w:rPr>
                <w:b/>
                <w:sz w:val="24"/>
              </w:rPr>
            </w:pPr>
            <w:r w:rsidRPr="00ED2536">
              <w:rPr>
                <w:b/>
                <w:sz w:val="24"/>
              </w:rPr>
              <w:t>Kč/m</w:t>
            </w:r>
            <w:r w:rsidRPr="00ED2536">
              <w:rPr>
                <w:b/>
                <w:sz w:val="24"/>
                <w:vertAlign w:val="superscript"/>
              </w:rPr>
              <w:t>2</w:t>
            </w:r>
            <w:r w:rsidRPr="00ED2536">
              <w:rPr>
                <w:b/>
                <w:sz w:val="24"/>
              </w:rPr>
              <w:t xml:space="preserve"> </w:t>
            </w:r>
          </w:p>
        </w:tc>
      </w:tr>
      <w:tr w:rsidR="00ED2536" w:rsidRPr="00ED2536" w14:paraId="4D055023" w14:textId="77777777" w:rsidTr="00ED2536">
        <w:tc>
          <w:tcPr>
            <w:tcW w:w="3261" w:type="dxa"/>
            <w:vMerge/>
            <w:tcBorders>
              <w:left w:val="single" w:sz="18" w:space="0" w:color="auto"/>
              <w:bottom w:val="single" w:sz="18" w:space="0" w:color="auto"/>
              <w:right w:val="single" w:sz="18" w:space="0" w:color="auto"/>
            </w:tcBorders>
          </w:tcPr>
          <w:p w14:paraId="7DE21488" w14:textId="77777777" w:rsidR="00ED2536" w:rsidRPr="00ED2536" w:rsidRDefault="00ED2536" w:rsidP="00ED2536">
            <w:pPr>
              <w:pStyle w:val="Nadpis1"/>
            </w:pPr>
          </w:p>
        </w:tc>
        <w:tc>
          <w:tcPr>
            <w:tcW w:w="1842" w:type="dxa"/>
            <w:tcBorders>
              <w:top w:val="single" w:sz="12" w:space="0" w:color="auto"/>
              <w:left w:val="nil"/>
              <w:bottom w:val="single" w:sz="18" w:space="0" w:color="auto"/>
              <w:right w:val="single" w:sz="6" w:space="0" w:color="auto"/>
            </w:tcBorders>
          </w:tcPr>
          <w:p w14:paraId="653AAB00" w14:textId="77777777" w:rsidR="00ED2536" w:rsidRPr="00ED2536" w:rsidRDefault="00ED2536" w:rsidP="00ED2536">
            <w:pPr>
              <w:jc w:val="center"/>
              <w:rPr>
                <w:b/>
                <w:sz w:val="24"/>
              </w:rPr>
            </w:pPr>
            <w:r w:rsidRPr="00ED2536">
              <w:rPr>
                <w:b/>
                <w:sz w:val="24"/>
              </w:rPr>
              <w:t>Průměrná cena</w:t>
            </w:r>
          </w:p>
        </w:tc>
        <w:tc>
          <w:tcPr>
            <w:tcW w:w="1843" w:type="dxa"/>
            <w:tcBorders>
              <w:top w:val="single" w:sz="12" w:space="0" w:color="auto"/>
              <w:left w:val="single" w:sz="6" w:space="0" w:color="auto"/>
              <w:bottom w:val="single" w:sz="18" w:space="0" w:color="auto"/>
              <w:right w:val="single" w:sz="6" w:space="0" w:color="auto"/>
            </w:tcBorders>
          </w:tcPr>
          <w:p w14:paraId="16BF1A1C" w14:textId="77777777" w:rsidR="00ED2536" w:rsidRPr="00ED2536" w:rsidRDefault="00ED2536" w:rsidP="00ED2536">
            <w:pPr>
              <w:jc w:val="center"/>
              <w:rPr>
                <w:b/>
                <w:sz w:val="24"/>
              </w:rPr>
            </w:pPr>
            <w:r w:rsidRPr="00ED2536">
              <w:rPr>
                <w:b/>
                <w:sz w:val="24"/>
              </w:rPr>
              <w:t>Minimální cena</w:t>
            </w:r>
          </w:p>
        </w:tc>
        <w:tc>
          <w:tcPr>
            <w:tcW w:w="1985" w:type="dxa"/>
            <w:tcBorders>
              <w:top w:val="single" w:sz="12" w:space="0" w:color="auto"/>
              <w:left w:val="single" w:sz="6" w:space="0" w:color="auto"/>
              <w:bottom w:val="single" w:sz="18" w:space="0" w:color="auto"/>
              <w:right w:val="single" w:sz="18" w:space="0" w:color="auto"/>
            </w:tcBorders>
          </w:tcPr>
          <w:p w14:paraId="3C59685B" w14:textId="77777777" w:rsidR="00ED2536" w:rsidRPr="00ED2536" w:rsidRDefault="00ED2536" w:rsidP="00ED2536">
            <w:pPr>
              <w:jc w:val="center"/>
              <w:rPr>
                <w:b/>
                <w:sz w:val="24"/>
              </w:rPr>
            </w:pPr>
            <w:r w:rsidRPr="00ED2536">
              <w:rPr>
                <w:b/>
                <w:sz w:val="24"/>
              </w:rPr>
              <w:t>Maximální cena</w:t>
            </w:r>
          </w:p>
        </w:tc>
      </w:tr>
      <w:tr w:rsidR="00ED2536" w:rsidRPr="00ED2536" w14:paraId="3014D9FA" w14:textId="77777777" w:rsidTr="00ED2536">
        <w:tc>
          <w:tcPr>
            <w:tcW w:w="3261" w:type="dxa"/>
            <w:tcBorders>
              <w:top w:val="nil"/>
              <w:left w:val="single" w:sz="18" w:space="0" w:color="auto"/>
              <w:bottom w:val="single" w:sz="6" w:space="0" w:color="auto"/>
              <w:right w:val="single" w:sz="18" w:space="0" w:color="auto"/>
            </w:tcBorders>
          </w:tcPr>
          <w:p w14:paraId="5FE029D3" w14:textId="77777777" w:rsidR="00ED2536" w:rsidRPr="00ED2536" w:rsidRDefault="00ED2536" w:rsidP="00ED2536">
            <w:pPr>
              <w:rPr>
                <w:sz w:val="24"/>
              </w:rPr>
            </w:pPr>
            <w:r w:rsidRPr="00ED2536">
              <w:rPr>
                <w:sz w:val="24"/>
              </w:rPr>
              <w:t>Vnitřní město</w:t>
            </w:r>
          </w:p>
        </w:tc>
        <w:tc>
          <w:tcPr>
            <w:tcW w:w="1842" w:type="dxa"/>
            <w:tcBorders>
              <w:top w:val="nil"/>
              <w:left w:val="nil"/>
              <w:bottom w:val="single" w:sz="6" w:space="0" w:color="auto"/>
              <w:right w:val="single" w:sz="6" w:space="0" w:color="auto"/>
            </w:tcBorders>
          </w:tcPr>
          <w:p w14:paraId="35B17F0F" w14:textId="4526BE72" w:rsidR="00ED2536" w:rsidRPr="00ED2536" w:rsidRDefault="00ED2536" w:rsidP="00ED2536">
            <w:pPr>
              <w:jc w:val="center"/>
              <w:rPr>
                <w:sz w:val="24"/>
              </w:rPr>
            </w:pPr>
            <w:r w:rsidRPr="00ED2536">
              <w:rPr>
                <w:sz w:val="24"/>
              </w:rPr>
              <w:t>1 343</w:t>
            </w:r>
          </w:p>
        </w:tc>
        <w:tc>
          <w:tcPr>
            <w:tcW w:w="1843" w:type="dxa"/>
            <w:tcBorders>
              <w:top w:val="nil"/>
              <w:left w:val="single" w:sz="6" w:space="0" w:color="auto"/>
              <w:bottom w:val="single" w:sz="6" w:space="0" w:color="auto"/>
              <w:right w:val="single" w:sz="6" w:space="0" w:color="auto"/>
            </w:tcBorders>
          </w:tcPr>
          <w:p w14:paraId="75644281" w14:textId="6A464E65" w:rsidR="00ED2536" w:rsidRPr="00ED2536" w:rsidRDefault="00ED2536" w:rsidP="00ED2536">
            <w:pPr>
              <w:jc w:val="center"/>
              <w:rPr>
                <w:sz w:val="24"/>
              </w:rPr>
            </w:pPr>
            <w:r w:rsidRPr="00ED2536">
              <w:rPr>
                <w:sz w:val="24"/>
              </w:rPr>
              <w:t>53</w:t>
            </w:r>
          </w:p>
        </w:tc>
        <w:tc>
          <w:tcPr>
            <w:tcW w:w="1985" w:type="dxa"/>
            <w:tcBorders>
              <w:top w:val="nil"/>
              <w:left w:val="single" w:sz="6" w:space="0" w:color="auto"/>
              <w:bottom w:val="single" w:sz="6" w:space="0" w:color="auto"/>
              <w:right w:val="single" w:sz="18" w:space="0" w:color="auto"/>
            </w:tcBorders>
          </w:tcPr>
          <w:p w14:paraId="225849D3" w14:textId="31C195E7" w:rsidR="00ED2536" w:rsidRPr="00ED2536" w:rsidRDefault="00ED2536" w:rsidP="00ED2536">
            <w:pPr>
              <w:jc w:val="center"/>
              <w:rPr>
                <w:sz w:val="24"/>
              </w:rPr>
            </w:pPr>
            <w:r w:rsidRPr="00ED2536">
              <w:rPr>
                <w:sz w:val="24"/>
              </w:rPr>
              <w:t>2 000</w:t>
            </w:r>
          </w:p>
        </w:tc>
      </w:tr>
      <w:tr w:rsidR="00ED2536" w:rsidRPr="00ED2536" w14:paraId="074508BF" w14:textId="77777777" w:rsidTr="00ED2536">
        <w:tc>
          <w:tcPr>
            <w:tcW w:w="3261" w:type="dxa"/>
            <w:tcBorders>
              <w:top w:val="single" w:sz="6" w:space="0" w:color="auto"/>
              <w:left w:val="single" w:sz="18" w:space="0" w:color="auto"/>
              <w:bottom w:val="single" w:sz="6" w:space="0" w:color="auto"/>
              <w:right w:val="single" w:sz="18" w:space="0" w:color="auto"/>
            </w:tcBorders>
          </w:tcPr>
          <w:p w14:paraId="2AFB19BF" w14:textId="77777777" w:rsidR="00ED2536" w:rsidRPr="00ED2536" w:rsidRDefault="00ED2536" w:rsidP="00ED2536">
            <w:pPr>
              <w:rPr>
                <w:sz w:val="24"/>
              </w:rPr>
            </w:pPr>
            <w:r w:rsidRPr="00ED2536">
              <w:rPr>
                <w:sz w:val="24"/>
              </w:rPr>
              <w:t>Okrajová část vnitřního města</w:t>
            </w:r>
          </w:p>
        </w:tc>
        <w:tc>
          <w:tcPr>
            <w:tcW w:w="1842" w:type="dxa"/>
            <w:tcBorders>
              <w:top w:val="single" w:sz="6" w:space="0" w:color="auto"/>
              <w:left w:val="nil"/>
              <w:bottom w:val="single" w:sz="6" w:space="0" w:color="auto"/>
              <w:right w:val="single" w:sz="6" w:space="0" w:color="auto"/>
            </w:tcBorders>
          </w:tcPr>
          <w:p w14:paraId="7E178AA0" w14:textId="17F3028B" w:rsidR="00ED2536" w:rsidRPr="00ED2536" w:rsidRDefault="00ED2536" w:rsidP="00ED2536">
            <w:pPr>
              <w:jc w:val="center"/>
              <w:rPr>
                <w:sz w:val="24"/>
              </w:rPr>
            </w:pPr>
            <w:r w:rsidRPr="00ED2536">
              <w:rPr>
                <w:sz w:val="24"/>
              </w:rPr>
              <w:t>690</w:t>
            </w:r>
          </w:p>
        </w:tc>
        <w:tc>
          <w:tcPr>
            <w:tcW w:w="1843" w:type="dxa"/>
            <w:tcBorders>
              <w:top w:val="single" w:sz="6" w:space="0" w:color="auto"/>
              <w:left w:val="single" w:sz="6" w:space="0" w:color="auto"/>
              <w:bottom w:val="single" w:sz="6" w:space="0" w:color="auto"/>
              <w:right w:val="single" w:sz="6" w:space="0" w:color="auto"/>
            </w:tcBorders>
          </w:tcPr>
          <w:p w14:paraId="682E1EF3" w14:textId="77DEDBAF" w:rsidR="00ED2536" w:rsidRPr="00ED2536" w:rsidRDefault="00ED2536" w:rsidP="00ED2536">
            <w:pPr>
              <w:jc w:val="center"/>
              <w:rPr>
                <w:sz w:val="24"/>
              </w:rPr>
            </w:pPr>
            <w:r w:rsidRPr="00ED2536">
              <w:rPr>
                <w:sz w:val="24"/>
              </w:rPr>
              <w:t>50</w:t>
            </w:r>
          </w:p>
        </w:tc>
        <w:tc>
          <w:tcPr>
            <w:tcW w:w="1985" w:type="dxa"/>
            <w:tcBorders>
              <w:top w:val="single" w:sz="6" w:space="0" w:color="auto"/>
              <w:left w:val="single" w:sz="6" w:space="0" w:color="auto"/>
              <w:bottom w:val="single" w:sz="6" w:space="0" w:color="auto"/>
              <w:right w:val="single" w:sz="18" w:space="0" w:color="auto"/>
            </w:tcBorders>
          </w:tcPr>
          <w:p w14:paraId="4C662FCF" w14:textId="416596F1" w:rsidR="00ED2536" w:rsidRPr="00ED2536" w:rsidRDefault="00ED2536" w:rsidP="00ED2536">
            <w:pPr>
              <w:jc w:val="center"/>
              <w:rPr>
                <w:sz w:val="24"/>
              </w:rPr>
            </w:pPr>
            <w:r w:rsidRPr="00ED2536">
              <w:rPr>
                <w:sz w:val="24"/>
              </w:rPr>
              <w:t>6 917</w:t>
            </w:r>
          </w:p>
        </w:tc>
      </w:tr>
      <w:tr w:rsidR="00ED2536" w:rsidRPr="00ED2536" w14:paraId="77C490E9" w14:textId="77777777" w:rsidTr="00ED2536">
        <w:tc>
          <w:tcPr>
            <w:tcW w:w="3261" w:type="dxa"/>
            <w:tcBorders>
              <w:top w:val="single" w:sz="6" w:space="0" w:color="auto"/>
              <w:left w:val="single" w:sz="18" w:space="0" w:color="auto"/>
              <w:bottom w:val="single" w:sz="6" w:space="0" w:color="auto"/>
              <w:right w:val="single" w:sz="18" w:space="0" w:color="auto"/>
            </w:tcBorders>
          </w:tcPr>
          <w:p w14:paraId="7E6D341E" w14:textId="77777777" w:rsidR="00ED2536" w:rsidRPr="00ED2536" w:rsidRDefault="00ED2536" w:rsidP="00ED2536">
            <w:pPr>
              <w:rPr>
                <w:sz w:val="24"/>
              </w:rPr>
            </w:pPr>
            <w:r w:rsidRPr="00ED2536">
              <w:rPr>
                <w:sz w:val="24"/>
              </w:rPr>
              <w:t>Průmyslové části</w:t>
            </w:r>
          </w:p>
        </w:tc>
        <w:tc>
          <w:tcPr>
            <w:tcW w:w="1842" w:type="dxa"/>
            <w:tcBorders>
              <w:top w:val="single" w:sz="6" w:space="0" w:color="auto"/>
              <w:left w:val="nil"/>
              <w:bottom w:val="single" w:sz="6" w:space="0" w:color="auto"/>
              <w:right w:val="single" w:sz="6" w:space="0" w:color="auto"/>
            </w:tcBorders>
          </w:tcPr>
          <w:p w14:paraId="3E754D99" w14:textId="781543DB" w:rsidR="00ED2536" w:rsidRPr="00ED2536" w:rsidRDefault="00ED2536" w:rsidP="00ED2536">
            <w:pPr>
              <w:jc w:val="center"/>
              <w:rPr>
                <w:sz w:val="24"/>
              </w:rPr>
            </w:pPr>
            <w:r w:rsidRPr="00ED2536">
              <w:rPr>
                <w:sz w:val="24"/>
              </w:rPr>
              <w:t>696</w:t>
            </w:r>
          </w:p>
        </w:tc>
        <w:tc>
          <w:tcPr>
            <w:tcW w:w="1843" w:type="dxa"/>
            <w:tcBorders>
              <w:top w:val="single" w:sz="6" w:space="0" w:color="auto"/>
              <w:left w:val="single" w:sz="6" w:space="0" w:color="auto"/>
              <w:bottom w:val="single" w:sz="6" w:space="0" w:color="auto"/>
              <w:right w:val="single" w:sz="6" w:space="0" w:color="auto"/>
            </w:tcBorders>
          </w:tcPr>
          <w:p w14:paraId="352EB33C" w14:textId="60015124" w:rsidR="00ED2536" w:rsidRPr="00ED2536" w:rsidRDefault="00ED2536" w:rsidP="00ED2536">
            <w:pPr>
              <w:jc w:val="center"/>
              <w:rPr>
                <w:sz w:val="24"/>
              </w:rPr>
            </w:pPr>
            <w:r w:rsidRPr="00ED2536">
              <w:rPr>
                <w:sz w:val="24"/>
              </w:rPr>
              <w:t>104</w:t>
            </w:r>
          </w:p>
        </w:tc>
        <w:tc>
          <w:tcPr>
            <w:tcW w:w="1985" w:type="dxa"/>
            <w:tcBorders>
              <w:top w:val="single" w:sz="6" w:space="0" w:color="auto"/>
              <w:left w:val="single" w:sz="6" w:space="0" w:color="auto"/>
              <w:bottom w:val="single" w:sz="6" w:space="0" w:color="auto"/>
              <w:right w:val="single" w:sz="18" w:space="0" w:color="auto"/>
            </w:tcBorders>
          </w:tcPr>
          <w:p w14:paraId="5B9ED7AB" w14:textId="4D1BAFD4" w:rsidR="00ED2536" w:rsidRPr="00ED2536" w:rsidRDefault="00ED2536" w:rsidP="00ED2536">
            <w:pPr>
              <w:jc w:val="center"/>
              <w:rPr>
                <w:sz w:val="24"/>
              </w:rPr>
            </w:pPr>
            <w:r w:rsidRPr="00ED2536">
              <w:rPr>
                <w:sz w:val="24"/>
              </w:rPr>
              <w:t>1 967</w:t>
            </w:r>
          </w:p>
        </w:tc>
      </w:tr>
      <w:tr w:rsidR="00ED2536" w:rsidRPr="00231ABC" w14:paraId="0B6067CD" w14:textId="77777777" w:rsidTr="00ED2536">
        <w:tc>
          <w:tcPr>
            <w:tcW w:w="3261" w:type="dxa"/>
            <w:tcBorders>
              <w:top w:val="single" w:sz="6" w:space="0" w:color="auto"/>
              <w:left w:val="single" w:sz="18" w:space="0" w:color="auto"/>
              <w:bottom w:val="single" w:sz="18" w:space="0" w:color="auto"/>
              <w:right w:val="single" w:sz="18" w:space="0" w:color="auto"/>
            </w:tcBorders>
          </w:tcPr>
          <w:p w14:paraId="4AF83A06" w14:textId="77777777" w:rsidR="00ED2536" w:rsidRPr="00ED2536" w:rsidRDefault="00ED2536" w:rsidP="00ED2536">
            <w:pPr>
              <w:rPr>
                <w:sz w:val="24"/>
              </w:rPr>
            </w:pPr>
            <w:r w:rsidRPr="00ED2536">
              <w:rPr>
                <w:sz w:val="24"/>
              </w:rPr>
              <w:t>Území mimo kompaktní město</w:t>
            </w:r>
          </w:p>
        </w:tc>
        <w:tc>
          <w:tcPr>
            <w:tcW w:w="1842" w:type="dxa"/>
            <w:tcBorders>
              <w:top w:val="single" w:sz="6" w:space="0" w:color="auto"/>
              <w:left w:val="nil"/>
              <w:bottom w:val="single" w:sz="18" w:space="0" w:color="auto"/>
              <w:right w:val="single" w:sz="6" w:space="0" w:color="auto"/>
            </w:tcBorders>
          </w:tcPr>
          <w:p w14:paraId="2FD6C9EE" w14:textId="585AB3CA" w:rsidR="00ED2536" w:rsidRPr="00ED2536" w:rsidRDefault="00ED2536" w:rsidP="00ED2536">
            <w:pPr>
              <w:jc w:val="center"/>
              <w:rPr>
                <w:sz w:val="24"/>
              </w:rPr>
            </w:pPr>
            <w:r w:rsidRPr="00ED2536">
              <w:rPr>
                <w:sz w:val="24"/>
              </w:rPr>
              <w:t>722</w:t>
            </w:r>
          </w:p>
        </w:tc>
        <w:tc>
          <w:tcPr>
            <w:tcW w:w="1843" w:type="dxa"/>
            <w:tcBorders>
              <w:top w:val="single" w:sz="6" w:space="0" w:color="auto"/>
              <w:left w:val="single" w:sz="6" w:space="0" w:color="auto"/>
              <w:bottom w:val="single" w:sz="18" w:space="0" w:color="auto"/>
              <w:right w:val="single" w:sz="6" w:space="0" w:color="auto"/>
            </w:tcBorders>
          </w:tcPr>
          <w:p w14:paraId="5E0D6974" w14:textId="40BD11FA" w:rsidR="00ED2536" w:rsidRPr="00ED2536" w:rsidRDefault="00ED2536" w:rsidP="00ED2536">
            <w:pPr>
              <w:jc w:val="center"/>
              <w:rPr>
                <w:sz w:val="24"/>
              </w:rPr>
            </w:pPr>
            <w:r w:rsidRPr="00ED2536">
              <w:rPr>
                <w:sz w:val="24"/>
              </w:rPr>
              <w:t>25</w:t>
            </w:r>
          </w:p>
        </w:tc>
        <w:tc>
          <w:tcPr>
            <w:tcW w:w="1985" w:type="dxa"/>
            <w:tcBorders>
              <w:top w:val="single" w:sz="6" w:space="0" w:color="auto"/>
              <w:left w:val="single" w:sz="6" w:space="0" w:color="auto"/>
              <w:bottom w:val="single" w:sz="18" w:space="0" w:color="auto"/>
              <w:right w:val="single" w:sz="18" w:space="0" w:color="auto"/>
            </w:tcBorders>
          </w:tcPr>
          <w:p w14:paraId="4393779C" w14:textId="58842F2E" w:rsidR="00ED2536" w:rsidRPr="00231ABC" w:rsidRDefault="00ED2536" w:rsidP="00ED2536">
            <w:pPr>
              <w:jc w:val="center"/>
              <w:rPr>
                <w:sz w:val="24"/>
              </w:rPr>
            </w:pPr>
            <w:r w:rsidRPr="00ED2536">
              <w:rPr>
                <w:sz w:val="24"/>
              </w:rPr>
              <w:t>6 672</w:t>
            </w:r>
          </w:p>
        </w:tc>
      </w:tr>
    </w:tbl>
    <w:p w14:paraId="41287DB9" w14:textId="77777777" w:rsidR="00DB0929" w:rsidRDefault="00DB0929" w:rsidP="00DB0929">
      <w:pPr>
        <w:pStyle w:val="Zhlav"/>
        <w:tabs>
          <w:tab w:val="clear" w:pos="4536"/>
          <w:tab w:val="clear" w:pos="9072"/>
        </w:tabs>
      </w:pPr>
    </w:p>
    <w:p w14:paraId="7260E9FC" w14:textId="7810BF35" w:rsidR="00DB0929" w:rsidRPr="00231ABC" w:rsidRDefault="00DB0929" w:rsidP="00DB0929">
      <w:pPr>
        <w:pStyle w:val="Zhlav"/>
        <w:tabs>
          <w:tab w:val="clear" w:pos="4536"/>
          <w:tab w:val="clear" w:pos="9072"/>
        </w:tabs>
      </w:pPr>
      <w:r w:rsidRPr="00231ABC">
        <w:t>CM 20</w:t>
      </w:r>
      <w:r>
        <w:t>21</w:t>
      </w:r>
    </w:p>
    <w:tbl>
      <w:tblPr>
        <w:tblW w:w="0" w:type="auto"/>
        <w:tblInd w:w="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61"/>
        <w:gridCol w:w="1890"/>
        <w:gridCol w:w="1890"/>
        <w:gridCol w:w="1890"/>
      </w:tblGrid>
      <w:tr w:rsidR="00DB0929" w:rsidRPr="00231ABC" w14:paraId="5392D1FB" w14:textId="77777777" w:rsidTr="00200723">
        <w:trPr>
          <w:cantSplit/>
        </w:trPr>
        <w:tc>
          <w:tcPr>
            <w:tcW w:w="3261" w:type="dxa"/>
            <w:vMerge w:val="restart"/>
            <w:tcBorders>
              <w:top w:val="single" w:sz="18" w:space="0" w:color="auto"/>
              <w:left w:val="single" w:sz="18" w:space="0" w:color="auto"/>
              <w:right w:val="single" w:sz="18" w:space="0" w:color="auto"/>
            </w:tcBorders>
            <w:vAlign w:val="center"/>
          </w:tcPr>
          <w:p w14:paraId="0AFD4E61" w14:textId="77777777" w:rsidR="00DB0929" w:rsidRPr="00231ABC" w:rsidRDefault="00DB0929" w:rsidP="00200723">
            <w:pPr>
              <w:pStyle w:val="Nadpis1"/>
              <w:jc w:val="center"/>
              <w:rPr>
                <w:b/>
              </w:rPr>
            </w:pPr>
            <w:r w:rsidRPr="00231ABC">
              <w:rPr>
                <w:b/>
              </w:rPr>
              <w:t>Poloha</w:t>
            </w:r>
          </w:p>
        </w:tc>
        <w:tc>
          <w:tcPr>
            <w:tcW w:w="5670" w:type="dxa"/>
            <w:gridSpan w:val="3"/>
            <w:tcBorders>
              <w:top w:val="single" w:sz="18" w:space="0" w:color="auto"/>
              <w:left w:val="nil"/>
              <w:bottom w:val="nil"/>
              <w:right w:val="single" w:sz="18" w:space="0" w:color="auto"/>
            </w:tcBorders>
          </w:tcPr>
          <w:p w14:paraId="32B48D05" w14:textId="77777777" w:rsidR="00DB0929" w:rsidRPr="00231ABC" w:rsidRDefault="00DB0929" w:rsidP="00200723">
            <w:pPr>
              <w:jc w:val="center"/>
              <w:rPr>
                <w:b/>
                <w:sz w:val="24"/>
              </w:rPr>
            </w:pPr>
            <w:r w:rsidRPr="00231ABC">
              <w:rPr>
                <w:b/>
                <w:sz w:val="24"/>
              </w:rPr>
              <w:t>Kč/m</w:t>
            </w:r>
            <w:r w:rsidRPr="00231ABC">
              <w:rPr>
                <w:b/>
                <w:sz w:val="24"/>
                <w:vertAlign w:val="superscript"/>
              </w:rPr>
              <w:t>2</w:t>
            </w:r>
            <w:r w:rsidRPr="00231ABC">
              <w:rPr>
                <w:b/>
                <w:sz w:val="24"/>
              </w:rPr>
              <w:t xml:space="preserve"> </w:t>
            </w:r>
          </w:p>
        </w:tc>
      </w:tr>
      <w:tr w:rsidR="00DB0929" w:rsidRPr="00231ABC" w14:paraId="5996E03F" w14:textId="77777777" w:rsidTr="00200723">
        <w:tc>
          <w:tcPr>
            <w:tcW w:w="3261" w:type="dxa"/>
            <w:vMerge/>
            <w:tcBorders>
              <w:left w:val="single" w:sz="18" w:space="0" w:color="auto"/>
              <w:bottom w:val="single" w:sz="18" w:space="0" w:color="auto"/>
              <w:right w:val="single" w:sz="18" w:space="0" w:color="auto"/>
            </w:tcBorders>
          </w:tcPr>
          <w:p w14:paraId="428E69DE" w14:textId="77777777" w:rsidR="00DB0929" w:rsidRPr="00231ABC" w:rsidRDefault="00DB0929" w:rsidP="00200723">
            <w:pPr>
              <w:pStyle w:val="Nadpis1"/>
            </w:pPr>
          </w:p>
        </w:tc>
        <w:tc>
          <w:tcPr>
            <w:tcW w:w="1890" w:type="dxa"/>
            <w:tcBorders>
              <w:top w:val="single" w:sz="12" w:space="0" w:color="auto"/>
              <w:left w:val="nil"/>
              <w:bottom w:val="single" w:sz="18" w:space="0" w:color="auto"/>
              <w:right w:val="single" w:sz="6" w:space="0" w:color="auto"/>
            </w:tcBorders>
          </w:tcPr>
          <w:p w14:paraId="6C8041C3" w14:textId="77777777" w:rsidR="00DB0929" w:rsidRPr="00231ABC" w:rsidRDefault="00DB0929" w:rsidP="00200723">
            <w:pPr>
              <w:jc w:val="center"/>
              <w:rPr>
                <w:b/>
                <w:sz w:val="24"/>
              </w:rPr>
            </w:pPr>
            <w:r w:rsidRPr="00231ABC">
              <w:rPr>
                <w:b/>
                <w:sz w:val="24"/>
              </w:rPr>
              <w:t>Průměrná cena</w:t>
            </w:r>
          </w:p>
        </w:tc>
        <w:tc>
          <w:tcPr>
            <w:tcW w:w="1890" w:type="dxa"/>
            <w:tcBorders>
              <w:top w:val="single" w:sz="12" w:space="0" w:color="auto"/>
              <w:left w:val="single" w:sz="6" w:space="0" w:color="auto"/>
              <w:bottom w:val="single" w:sz="18" w:space="0" w:color="auto"/>
              <w:right w:val="single" w:sz="6" w:space="0" w:color="auto"/>
            </w:tcBorders>
          </w:tcPr>
          <w:p w14:paraId="0F67C70F" w14:textId="77777777" w:rsidR="00DB0929" w:rsidRPr="00231ABC" w:rsidRDefault="00DB0929" w:rsidP="00200723">
            <w:pPr>
              <w:jc w:val="center"/>
              <w:rPr>
                <w:b/>
                <w:sz w:val="24"/>
              </w:rPr>
            </w:pPr>
            <w:r w:rsidRPr="00231ABC">
              <w:rPr>
                <w:b/>
                <w:sz w:val="24"/>
              </w:rPr>
              <w:t>Minimální cena</w:t>
            </w:r>
          </w:p>
        </w:tc>
        <w:tc>
          <w:tcPr>
            <w:tcW w:w="1890" w:type="dxa"/>
            <w:tcBorders>
              <w:top w:val="single" w:sz="12" w:space="0" w:color="auto"/>
              <w:left w:val="single" w:sz="6" w:space="0" w:color="auto"/>
              <w:bottom w:val="single" w:sz="18" w:space="0" w:color="auto"/>
              <w:right w:val="single" w:sz="18" w:space="0" w:color="auto"/>
            </w:tcBorders>
          </w:tcPr>
          <w:p w14:paraId="1B4C4F9C" w14:textId="77777777" w:rsidR="00DB0929" w:rsidRPr="00231ABC" w:rsidRDefault="00DB0929" w:rsidP="00200723">
            <w:pPr>
              <w:jc w:val="center"/>
              <w:rPr>
                <w:b/>
                <w:sz w:val="24"/>
              </w:rPr>
            </w:pPr>
            <w:r w:rsidRPr="00231ABC">
              <w:rPr>
                <w:b/>
                <w:sz w:val="24"/>
              </w:rPr>
              <w:t>Maximální cena</w:t>
            </w:r>
          </w:p>
        </w:tc>
      </w:tr>
      <w:tr w:rsidR="00DB0929" w:rsidRPr="00231ABC" w14:paraId="47D7C8D8" w14:textId="77777777" w:rsidTr="00200723">
        <w:tc>
          <w:tcPr>
            <w:tcW w:w="3261" w:type="dxa"/>
            <w:tcBorders>
              <w:top w:val="nil"/>
              <w:left w:val="single" w:sz="18" w:space="0" w:color="auto"/>
              <w:bottom w:val="single" w:sz="6" w:space="0" w:color="auto"/>
              <w:right w:val="single" w:sz="18" w:space="0" w:color="auto"/>
            </w:tcBorders>
          </w:tcPr>
          <w:p w14:paraId="0C25C328" w14:textId="77777777" w:rsidR="00DB0929" w:rsidRPr="00231ABC" w:rsidRDefault="00DB0929" w:rsidP="00200723">
            <w:pPr>
              <w:rPr>
                <w:sz w:val="24"/>
              </w:rPr>
            </w:pPr>
            <w:r w:rsidRPr="00231ABC">
              <w:rPr>
                <w:sz w:val="24"/>
              </w:rPr>
              <w:t>Vnitřní město</w:t>
            </w:r>
          </w:p>
        </w:tc>
        <w:tc>
          <w:tcPr>
            <w:tcW w:w="1890" w:type="dxa"/>
            <w:tcBorders>
              <w:top w:val="nil"/>
              <w:left w:val="nil"/>
              <w:bottom w:val="single" w:sz="6" w:space="0" w:color="auto"/>
              <w:right w:val="single" w:sz="6" w:space="0" w:color="auto"/>
            </w:tcBorders>
          </w:tcPr>
          <w:p w14:paraId="1FBC8916" w14:textId="6E4802E5" w:rsidR="00DB0929" w:rsidRPr="00231ABC" w:rsidRDefault="00DB0929" w:rsidP="00DB0929">
            <w:pPr>
              <w:jc w:val="center"/>
              <w:rPr>
                <w:sz w:val="24"/>
              </w:rPr>
            </w:pPr>
            <w:r>
              <w:rPr>
                <w:sz w:val="24"/>
              </w:rPr>
              <w:t>2 114</w:t>
            </w:r>
          </w:p>
        </w:tc>
        <w:tc>
          <w:tcPr>
            <w:tcW w:w="1890" w:type="dxa"/>
            <w:tcBorders>
              <w:top w:val="nil"/>
              <w:left w:val="single" w:sz="6" w:space="0" w:color="auto"/>
              <w:bottom w:val="single" w:sz="6" w:space="0" w:color="auto"/>
              <w:right w:val="single" w:sz="6" w:space="0" w:color="auto"/>
            </w:tcBorders>
          </w:tcPr>
          <w:p w14:paraId="1EE3C345" w14:textId="65EE4EC6" w:rsidR="00DB0929" w:rsidRPr="00231ABC" w:rsidRDefault="00DB0929" w:rsidP="00DB0929">
            <w:pPr>
              <w:jc w:val="center"/>
              <w:rPr>
                <w:sz w:val="24"/>
              </w:rPr>
            </w:pPr>
            <w:r>
              <w:rPr>
                <w:sz w:val="24"/>
              </w:rPr>
              <w:t>331</w:t>
            </w:r>
          </w:p>
        </w:tc>
        <w:tc>
          <w:tcPr>
            <w:tcW w:w="1890" w:type="dxa"/>
            <w:tcBorders>
              <w:top w:val="nil"/>
              <w:left w:val="single" w:sz="6" w:space="0" w:color="auto"/>
              <w:bottom w:val="single" w:sz="6" w:space="0" w:color="auto"/>
              <w:right w:val="single" w:sz="18" w:space="0" w:color="auto"/>
            </w:tcBorders>
          </w:tcPr>
          <w:p w14:paraId="22C70356" w14:textId="7705BC4B" w:rsidR="00DB0929" w:rsidRPr="00231ABC" w:rsidRDefault="00DB0929" w:rsidP="00DB0929">
            <w:pPr>
              <w:jc w:val="center"/>
              <w:rPr>
                <w:sz w:val="24"/>
              </w:rPr>
            </w:pPr>
            <w:r>
              <w:rPr>
                <w:sz w:val="24"/>
              </w:rPr>
              <w:t>5 924</w:t>
            </w:r>
          </w:p>
        </w:tc>
      </w:tr>
      <w:tr w:rsidR="00DB0929" w:rsidRPr="00231ABC" w14:paraId="6F45847A" w14:textId="77777777" w:rsidTr="00200723">
        <w:tc>
          <w:tcPr>
            <w:tcW w:w="3261" w:type="dxa"/>
            <w:tcBorders>
              <w:top w:val="single" w:sz="6" w:space="0" w:color="auto"/>
              <w:left w:val="single" w:sz="18" w:space="0" w:color="auto"/>
              <w:bottom w:val="single" w:sz="6" w:space="0" w:color="auto"/>
              <w:right w:val="single" w:sz="18" w:space="0" w:color="auto"/>
            </w:tcBorders>
          </w:tcPr>
          <w:p w14:paraId="3C40CEB3" w14:textId="77777777" w:rsidR="00DB0929" w:rsidRPr="00231ABC" w:rsidRDefault="00DB0929" w:rsidP="00200723">
            <w:pPr>
              <w:rPr>
                <w:sz w:val="24"/>
              </w:rPr>
            </w:pPr>
            <w:r w:rsidRPr="00231ABC">
              <w:rPr>
                <w:sz w:val="24"/>
              </w:rPr>
              <w:t>Okrajová část vnitřního města</w:t>
            </w:r>
          </w:p>
        </w:tc>
        <w:tc>
          <w:tcPr>
            <w:tcW w:w="1890" w:type="dxa"/>
            <w:tcBorders>
              <w:top w:val="single" w:sz="6" w:space="0" w:color="auto"/>
              <w:left w:val="nil"/>
              <w:bottom w:val="single" w:sz="6" w:space="0" w:color="auto"/>
              <w:right w:val="single" w:sz="6" w:space="0" w:color="auto"/>
            </w:tcBorders>
          </w:tcPr>
          <w:p w14:paraId="1D4686C4" w14:textId="32B189B9" w:rsidR="00DB0929" w:rsidRPr="00231ABC" w:rsidRDefault="00DB0929" w:rsidP="00200723">
            <w:pPr>
              <w:jc w:val="center"/>
              <w:rPr>
                <w:sz w:val="24"/>
              </w:rPr>
            </w:pPr>
            <w:r>
              <w:rPr>
                <w:sz w:val="24"/>
              </w:rPr>
              <w:t>805</w:t>
            </w:r>
          </w:p>
        </w:tc>
        <w:tc>
          <w:tcPr>
            <w:tcW w:w="1890" w:type="dxa"/>
            <w:tcBorders>
              <w:top w:val="single" w:sz="6" w:space="0" w:color="auto"/>
              <w:left w:val="single" w:sz="6" w:space="0" w:color="auto"/>
              <w:bottom w:val="single" w:sz="6" w:space="0" w:color="auto"/>
              <w:right w:val="single" w:sz="6" w:space="0" w:color="auto"/>
            </w:tcBorders>
          </w:tcPr>
          <w:p w14:paraId="35ACC999" w14:textId="33EFE2C4" w:rsidR="00DB0929" w:rsidRPr="00231ABC" w:rsidRDefault="00DB0929" w:rsidP="00200723">
            <w:pPr>
              <w:jc w:val="center"/>
              <w:rPr>
                <w:sz w:val="24"/>
              </w:rPr>
            </w:pPr>
            <w:r>
              <w:rPr>
                <w:sz w:val="24"/>
              </w:rPr>
              <w:t>100</w:t>
            </w:r>
          </w:p>
        </w:tc>
        <w:tc>
          <w:tcPr>
            <w:tcW w:w="1890" w:type="dxa"/>
            <w:tcBorders>
              <w:top w:val="single" w:sz="6" w:space="0" w:color="auto"/>
              <w:left w:val="single" w:sz="6" w:space="0" w:color="auto"/>
              <w:bottom w:val="single" w:sz="6" w:space="0" w:color="auto"/>
              <w:right w:val="single" w:sz="18" w:space="0" w:color="auto"/>
            </w:tcBorders>
          </w:tcPr>
          <w:p w14:paraId="40BEB57E" w14:textId="1F445665" w:rsidR="00DB0929" w:rsidRPr="00231ABC" w:rsidRDefault="00DB0929" w:rsidP="00DB0929">
            <w:pPr>
              <w:jc w:val="center"/>
              <w:rPr>
                <w:sz w:val="24"/>
              </w:rPr>
            </w:pPr>
            <w:r>
              <w:rPr>
                <w:sz w:val="24"/>
              </w:rPr>
              <w:t>10 329</w:t>
            </w:r>
          </w:p>
        </w:tc>
      </w:tr>
      <w:tr w:rsidR="00DB0929" w:rsidRPr="00231ABC" w14:paraId="2D275FBC" w14:textId="77777777" w:rsidTr="00200723">
        <w:tc>
          <w:tcPr>
            <w:tcW w:w="3261" w:type="dxa"/>
            <w:tcBorders>
              <w:top w:val="single" w:sz="6" w:space="0" w:color="auto"/>
              <w:left w:val="single" w:sz="18" w:space="0" w:color="auto"/>
              <w:bottom w:val="single" w:sz="6" w:space="0" w:color="auto"/>
              <w:right w:val="single" w:sz="18" w:space="0" w:color="auto"/>
            </w:tcBorders>
          </w:tcPr>
          <w:p w14:paraId="58F83720" w14:textId="77777777" w:rsidR="00DB0929" w:rsidRPr="00231ABC" w:rsidRDefault="00DB0929" w:rsidP="00200723">
            <w:pPr>
              <w:rPr>
                <w:sz w:val="24"/>
              </w:rPr>
            </w:pPr>
            <w:r w:rsidRPr="00231ABC">
              <w:rPr>
                <w:sz w:val="24"/>
              </w:rPr>
              <w:t>Průmyslové části</w:t>
            </w:r>
          </w:p>
        </w:tc>
        <w:tc>
          <w:tcPr>
            <w:tcW w:w="1890" w:type="dxa"/>
            <w:tcBorders>
              <w:top w:val="single" w:sz="6" w:space="0" w:color="auto"/>
              <w:left w:val="nil"/>
              <w:bottom w:val="single" w:sz="6" w:space="0" w:color="auto"/>
              <w:right w:val="single" w:sz="6" w:space="0" w:color="auto"/>
            </w:tcBorders>
          </w:tcPr>
          <w:p w14:paraId="4567BBBD" w14:textId="7BD705B1" w:rsidR="00DB0929" w:rsidRPr="00231ABC" w:rsidRDefault="00DB0929" w:rsidP="00200723">
            <w:pPr>
              <w:jc w:val="center"/>
              <w:rPr>
                <w:sz w:val="24"/>
              </w:rPr>
            </w:pPr>
            <w:r>
              <w:rPr>
                <w:sz w:val="24"/>
              </w:rPr>
              <w:t>509</w:t>
            </w:r>
          </w:p>
        </w:tc>
        <w:tc>
          <w:tcPr>
            <w:tcW w:w="1890" w:type="dxa"/>
            <w:tcBorders>
              <w:top w:val="single" w:sz="6" w:space="0" w:color="auto"/>
              <w:left w:val="single" w:sz="6" w:space="0" w:color="auto"/>
              <w:bottom w:val="single" w:sz="6" w:space="0" w:color="auto"/>
              <w:right w:val="single" w:sz="6" w:space="0" w:color="auto"/>
            </w:tcBorders>
          </w:tcPr>
          <w:p w14:paraId="379A17D4" w14:textId="7DB5525E" w:rsidR="00DB0929" w:rsidRPr="00231ABC" w:rsidRDefault="00DB0929" w:rsidP="00200723">
            <w:pPr>
              <w:jc w:val="center"/>
              <w:rPr>
                <w:sz w:val="24"/>
              </w:rPr>
            </w:pPr>
            <w:r>
              <w:rPr>
                <w:sz w:val="24"/>
              </w:rPr>
              <w:t>104</w:t>
            </w:r>
          </w:p>
        </w:tc>
        <w:tc>
          <w:tcPr>
            <w:tcW w:w="1890" w:type="dxa"/>
            <w:tcBorders>
              <w:top w:val="single" w:sz="6" w:space="0" w:color="auto"/>
              <w:left w:val="single" w:sz="6" w:space="0" w:color="auto"/>
              <w:bottom w:val="single" w:sz="6" w:space="0" w:color="auto"/>
              <w:right w:val="single" w:sz="18" w:space="0" w:color="auto"/>
            </w:tcBorders>
          </w:tcPr>
          <w:p w14:paraId="2D90F583" w14:textId="205D7791" w:rsidR="00DB0929" w:rsidRPr="00231ABC" w:rsidRDefault="00DB0929" w:rsidP="00DB0929">
            <w:pPr>
              <w:jc w:val="center"/>
              <w:rPr>
                <w:sz w:val="24"/>
              </w:rPr>
            </w:pPr>
            <w:r>
              <w:rPr>
                <w:sz w:val="24"/>
              </w:rPr>
              <w:t>1 782</w:t>
            </w:r>
          </w:p>
        </w:tc>
      </w:tr>
      <w:tr w:rsidR="00DB0929" w:rsidRPr="00231ABC" w14:paraId="5A13B58B" w14:textId="77777777" w:rsidTr="00200723">
        <w:tc>
          <w:tcPr>
            <w:tcW w:w="3261" w:type="dxa"/>
            <w:tcBorders>
              <w:top w:val="single" w:sz="6" w:space="0" w:color="auto"/>
              <w:left w:val="single" w:sz="18" w:space="0" w:color="auto"/>
              <w:bottom w:val="single" w:sz="18" w:space="0" w:color="auto"/>
              <w:right w:val="single" w:sz="18" w:space="0" w:color="auto"/>
            </w:tcBorders>
          </w:tcPr>
          <w:p w14:paraId="5A906B2A" w14:textId="77777777" w:rsidR="00DB0929" w:rsidRPr="00231ABC" w:rsidRDefault="00DB0929" w:rsidP="00200723">
            <w:pPr>
              <w:rPr>
                <w:sz w:val="24"/>
              </w:rPr>
            </w:pPr>
            <w:r w:rsidRPr="00231ABC">
              <w:rPr>
                <w:sz w:val="24"/>
              </w:rPr>
              <w:t>Území mimo kompaktní město</w:t>
            </w:r>
          </w:p>
        </w:tc>
        <w:tc>
          <w:tcPr>
            <w:tcW w:w="1890" w:type="dxa"/>
            <w:tcBorders>
              <w:top w:val="single" w:sz="6" w:space="0" w:color="auto"/>
              <w:left w:val="nil"/>
              <w:bottom w:val="single" w:sz="18" w:space="0" w:color="auto"/>
              <w:right w:val="single" w:sz="6" w:space="0" w:color="auto"/>
            </w:tcBorders>
          </w:tcPr>
          <w:p w14:paraId="716C091D" w14:textId="4DFDD75B" w:rsidR="00DB0929" w:rsidRPr="00231ABC" w:rsidRDefault="00DB0929" w:rsidP="00200723">
            <w:pPr>
              <w:jc w:val="center"/>
              <w:rPr>
                <w:sz w:val="24"/>
              </w:rPr>
            </w:pPr>
            <w:r>
              <w:rPr>
                <w:sz w:val="24"/>
              </w:rPr>
              <w:t>746</w:t>
            </w:r>
          </w:p>
        </w:tc>
        <w:tc>
          <w:tcPr>
            <w:tcW w:w="1890" w:type="dxa"/>
            <w:tcBorders>
              <w:top w:val="single" w:sz="6" w:space="0" w:color="auto"/>
              <w:left w:val="single" w:sz="6" w:space="0" w:color="auto"/>
              <w:bottom w:val="single" w:sz="18" w:space="0" w:color="auto"/>
              <w:right w:val="single" w:sz="6" w:space="0" w:color="auto"/>
            </w:tcBorders>
          </w:tcPr>
          <w:p w14:paraId="58A69C16" w14:textId="6478DB7A" w:rsidR="00DB0929" w:rsidRPr="00231ABC" w:rsidRDefault="00DB0929" w:rsidP="00200723">
            <w:pPr>
              <w:jc w:val="center"/>
              <w:rPr>
                <w:sz w:val="24"/>
              </w:rPr>
            </w:pPr>
            <w:r>
              <w:rPr>
                <w:sz w:val="24"/>
              </w:rPr>
              <w:t>82</w:t>
            </w:r>
          </w:p>
        </w:tc>
        <w:tc>
          <w:tcPr>
            <w:tcW w:w="1890" w:type="dxa"/>
            <w:tcBorders>
              <w:top w:val="single" w:sz="6" w:space="0" w:color="auto"/>
              <w:left w:val="single" w:sz="6" w:space="0" w:color="auto"/>
              <w:bottom w:val="single" w:sz="18" w:space="0" w:color="auto"/>
              <w:right w:val="single" w:sz="18" w:space="0" w:color="auto"/>
            </w:tcBorders>
          </w:tcPr>
          <w:p w14:paraId="0ABEF041" w14:textId="709DC336" w:rsidR="00DB0929" w:rsidRPr="00231ABC" w:rsidRDefault="00DB0929" w:rsidP="00DB0929">
            <w:pPr>
              <w:jc w:val="center"/>
              <w:rPr>
                <w:sz w:val="24"/>
              </w:rPr>
            </w:pPr>
            <w:r>
              <w:rPr>
                <w:sz w:val="24"/>
              </w:rPr>
              <w:t>5 765</w:t>
            </w:r>
          </w:p>
        </w:tc>
      </w:tr>
    </w:tbl>
    <w:p w14:paraId="1EA24EC4" w14:textId="43CBB316" w:rsidR="009B4351" w:rsidRPr="00231ABC" w:rsidRDefault="009B4351" w:rsidP="009B4351">
      <w:pPr>
        <w:pStyle w:val="Zhlav"/>
        <w:tabs>
          <w:tab w:val="clear" w:pos="4536"/>
          <w:tab w:val="clear" w:pos="9072"/>
        </w:tabs>
        <w:spacing w:before="120"/>
      </w:pPr>
      <w:r w:rsidRPr="00231ABC">
        <w:t>CM 20</w:t>
      </w:r>
      <w:r>
        <w:t>22</w:t>
      </w: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61"/>
        <w:gridCol w:w="1842"/>
        <w:gridCol w:w="1843"/>
        <w:gridCol w:w="1985"/>
      </w:tblGrid>
      <w:tr w:rsidR="009B4351" w:rsidRPr="00231ABC" w14:paraId="6E71B817" w14:textId="77777777" w:rsidTr="00344957">
        <w:trPr>
          <w:cantSplit/>
        </w:trPr>
        <w:tc>
          <w:tcPr>
            <w:tcW w:w="3261" w:type="dxa"/>
            <w:vMerge w:val="restart"/>
            <w:tcBorders>
              <w:top w:val="single" w:sz="18" w:space="0" w:color="auto"/>
              <w:left w:val="single" w:sz="18" w:space="0" w:color="auto"/>
              <w:right w:val="single" w:sz="18" w:space="0" w:color="auto"/>
            </w:tcBorders>
            <w:vAlign w:val="center"/>
          </w:tcPr>
          <w:p w14:paraId="53B478B6" w14:textId="77777777" w:rsidR="009B4351" w:rsidRPr="00231ABC" w:rsidRDefault="009B4351" w:rsidP="00344957">
            <w:pPr>
              <w:pStyle w:val="Nadpis1"/>
              <w:jc w:val="center"/>
              <w:rPr>
                <w:b/>
              </w:rPr>
            </w:pPr>
            <w:r w:rsidRPr="00231ABC">
              <w:rPr>
                <w:b/>
              </w:rPr>
              <w:t>Poloha</w:t>
            </w:r>
          </w:p>
        </w:tc>
        <w:tc>
          <w:tcPr>
            <w:tcW w:w="5670" w:type="dxa"/>
            <w:gridSpan w:val="3"/>
            <w:tcBorders>
              <w:top w:val="single" w:sz="18" w:space="0" w:color="auto"/>
              <w:left w:val="nil"/>
              <w:bottom w:val="nil"/>
              <w:right w:val="single" w:sz="18" w:space="0" w:color="auto"/>
            </w:tcBorders>
          </w:tcPr>
          <w:p w14:paraId="4D87D135" w14:textId="77777777" w:rsidR="009B4351" w:rsidRPr="00231ABC" w:rsidRDefault="009B4351" w:rsidP="00344957">
            <w:pPr>
              <w:jc w:val="center"/>
              <w:rPr>
                <w:b/>
                <w:sz w:val="24"/>
              </w:rPr>
            </w:pPr>
            <w:r w:rsidRPr="00231ABC">
              <w:rPr>
                <w:b/>
                <w:sz w:val="24"/>
              </w:rPr>
              <w:t>Kč/m</w:t>
            </w:r>
            <w:r w:rsidRPr="00231ABC">
              <w:rPr>
                <w:b/>
                <w:sz w:val="24"/>
                <w:vertAlign w:val="superscript"/>
              </w:rPr>
              <w:t>2</w:t>
            </w:r>
            <w:r w:rsidRPr="00231ABC">
              <w:rPr>
                <w:b/>
                <w:sz w:val="24"/>
              </w:rPr>
              <w:t xml:space="preserve"> </w:t>
            </w:r>
          </w:p>
        </w:tc>
      </w:tr>
      <w:tr w:rsidR="009B4351" w:rsidRPr="00231ABC" w14:paraId="58250339" w14:textId="77777777" w:rsidTr="00344957">
        <w:tc>
          <w:tcPr>
            <w:tcW w:w="3261" w:type="dxa"/>
            <w:vMerge/>
            <w:tcBorders>
              <w:left w:val="single" w:sz="18" w:space="0" w:color="auto"/>
              <w:bottom w:val="single" w:sz="18" w:space="0" w:color="auto"/>
              <w:right w:val="single" w:sz="18" w:space="0" w:color="auto"/>
            </w:tcBorders>
          </w:tcPr>
          <w:p w14:paraId="1BB04265" w14:textId="77777777" w:rsidR="009B4351" w:rsidRPr="00231ABC" w:rsidRDefault="009B4351" w:rsidP="00344957">
            <w:pPr>
              <w:pStyle w:val="Nadpis1"/>
            </w:pPr>
          </w:p>
        </w:tc>
        <w:tc>
          <w:tcPr>
            <w:tcW w:w="1842" w:type="dxa"/>
            <w:tcBorders>
              <w:top w:val="single" w:sz="12" w:space="0" w:color="auto"/>
              <w:left w:val="nil"/>
              <w:bottom w:val="single" w:sz="18" w:space="0" w:color="auto"/>
              <w:right w:val="single" w:sz="6" w:space="0" w:color="auto"/>
            </w:tcBorders>
          </w:tcPr>
          <w:p w14:paraId="53EFCFB7" w14:textId="77777777" w:rsidR="009B4351" w:rsidRPr="00231ABC" w:rsidRDefault="009B4351" w:rsidP="00344957">
            <w:pPr>
              <w:jc w:val="center"/>
              <w:rPr>
                <w:b/>
                <w:sz w:val="24"/>
              </w:rPr>
            </w:pPr>
            <w:r w:rsidRPr="00231ABC">
              <w:rPr>
                <w:b/>
                <w:sz w:val="24"/>
              </w:rPr>
              <w:t>Průměrná cena</w:t>
            </w:r>
          </w:p>
        </w:tc>
        <w:tc>
          <w:tcPr>
            <w:tcW w:w="1843" w:type="dxa"/>
            <w:tcBorders>
              <w:top w:val="single" w:sz="12" w:space="0" w:color="auto"/>
              <w:left w:val="single" w:sz="6" w:space="0" w:color="auto"/>
              <w:bottom w:val="single" w:sz="18" w:space="0" w:color="auto"/>
              <w:right w:val="single" w:sz="6" w:space="0" w:color="auto"/>
            </w:tcBorders>
          </w:tcPr>
          <w:p w14:paraId="32009412" w14:textId="77777777" w:rsidR="009B4351" w:rsidRPr="00231ABC" w:rsidRDefault="009B4351" w:rsidP="00344957">
            <w:pPr>
              <w:jc w:val="center"/>
              <w:rPr>
                <w:b/>
                <w:sz w:val="24"/>
              </w:rPr>
            </w:pPr>
            <w:r w:rsidRPr="00231ABC">
              <w:rPr>
                <w:b/>
                <w:sz w:val="24"/>
              </w:rPr>
              <w:t>Minimální cena</w:t>
            </w:r>
          </w:p>
        </w:tc>
        <w:tc>
          <w:tcPr>
            <w:tcW w:w="1985" w:type="dxa"/>
            <w:tcBorders>
              <w:top w:val="single" w:sz="12" w:space="0" w:color="auto"/>
              <w:left w:val="single" w:sz="6" w:space="0" w:color="auto"/>
              <w:bottom w:val="single" w:sz="18" w:space="0" w:color="auto"/>
              <w:right w:val="single" w:sz="18" w:space="0" w:color="auto"/>
            </w:tcBorders>
          </w:tcPr>
          <w:p w14:paraId="5B3D424A" w14:textId="77777777" w:rsidR="009B4351" w:rsidRPr="00231ABC" w:rsidRDefault="009B4351" w:rsidP="00344957">
            <w:pPr>
              <w:jc w:val="center"/>
              <w:rPr>
                <w:b/>
                <w:sz w:val="24"/>
              </w:rPr>
            </w:pPr>
            <w:r w:rsidRPr="00231ABC">
              <w:rPr>
                <w:b/>
                <w:sz w:val="24"/>
              </w:rPr>
              <w:t>Maximální cena</w:t>
            </w:r>
          </w:p>
        </w:tc>
      </w:tr>
      <w:tr w:rsidR="009B4351" w:rsidRPr="00231ABC" w14:paraId="114694AF" w14:textId="77777777" w:rsidTr="00344957">
        <w:tc>
          <w:tcPr>
            <w:tcW w:w="3261" w:type="dxa"/>
            <w:tcBorders>
              <w:top w:val="nil"/>
              <w:left w:val="single" w:sz="18" w:space="0" w:color="auto"/>
              <w:bottom w:val="single" w:sz="6" w:space="0" w:color="auto"/>
              <w:right w:val="single" w:sz="18" w:space="0" w:color="auto"/>
            </w:tcBorders>
          </w:tcPr>
          <w:p w14:paraId="1EF98297" w14:textId="77777777" w:rsidR="009B4351" w:rsidRPr="00231ABC" w:rsidRDefault="009B4351" w:rsidP="00344957">
            <w:pPr>
              <w:rPr>
                <w:sz w:val="24"/>
              </w:rPr>
            </w:pPr>
            <w:r w:rsidRPr="00231ABC">
              <w:rPr>
                <w:sz w:val="24"/>
              </w:rPr>
              <w:t>Vnitřní město</w:t>
            </w:r>
          </w:p>
        </w:tc>
        <w:tc>
          <w:tcPr>
            <w:tcW w:w="1842" w:type="dxa"/>
            <w:tcBorders>
              <w:top w:val="nil"/>
              <w:left w:val="nil"/>
              <w:bottom w:val="single" w:sz="6" w:space="0" w:color="auto"/>
              <w:right w:val="single" w:sz="6" w:space="0" w:color="auto"/>
            </w:tcBorders>
          </w:tcPr>
          <w:p w14:paraId="6513AF5F" w14:textId="09559ECA" w:rsidR="009B4351" w:rsidRPr="00231ABC" w:rsidRDefault="009B4351" w:rsidP="009B4351">
            <w:pPr>
              <w:jc w:val="center"/>
              <w:rPr>
                <w:sz w:val="24"/>
              </w:rPr>
            </w:pPr>
            <w:r>
              <w:rPr>
                <w:sz w:val="24"/>
              </w:rPr>
              <w:t>1 902</w:t>
            </w:r>
          </w:p>
        </w:tc>
        <w:tc>
          <w:tcPr>
            <w:tcW w:w="1843" w:type="dxa"/>
            <w:tcBorders>
              <w:top w:val="nil"/>
              <w:left w:val="single" w:sz="6" w:space="0" w:color="auto"/>
              <w:bottom w:val="single" w:sz="6" w:space="0" w:color="auto"/>
              <w:right w:val="single" w:sz="6" w:space="0" w:color="auto"/>
            </w:tcBorders>
          </w:tcPr>
          <w:p w14:paraId="3F3BCB85" w14:textId="7A732200" w:rsidR="009B4351" w:rsidRPr="00231ABC" w:rsidRDefault="009B4351" w:rsidP="00344957">
            <w:pPr>
              <w:jc w:val="center"/>
              <w:rPr>
                <w:sz w:val="24"/>
              </w:rPr>
            </w:pPr>
            <w:r>
              <w:rPr>
                <w:sz w:val="24"/>
              </w:rPr>
              <w:t>331</w:t>
            </w:r>
          </w:p>
        </w:tc>
        <w:tc>
          <w:tcPr>
            <w:tcW w:w="1985" w:type="dxa"/>
            <w:tcBorders>
              <w:top w:val="nil"/>
              <w:left w:val="single" w:sz="6" w:space="0" w:color="auto"/>
              <w:bottom w:val="single" w:sz="6" w:space="0" w:color="auto"/>
              <w:right w:val="single" w:sz="18" w:space="0" w:color="auto"/>
            </w:tcBorders>
          </w:tcPr>
          <w:p w14:paraId="73FB7864" w14:textId="5F32D0DD" w:rsidR="009B4351" w:rsidRPr="00231ABC" w:rsidRDefault="009B4351" w:rsidP="009B4351">
            <w:pPr>
              <w:jc w:val="center"/>
              <w:rPr>
                <w:sz w:val="24"/>
              </w:rPr>
            </w:pPr>
            <w:r>
              <w:rPr>
                <w:sz w:val="24"/>
              </w:rPr>
              <w:t>10 638</w:t>
            </w:r>
          </w:p>
        </w:tc>
      </w:tr>
      <w:tr w:rsidR="009B4351" w:rsidRPr="00231ABC" w14:paraId="44A4B418" w14:textId="77777777" w:rsidTr="00344957">
        <w:tc>
          <w:tcPr>
            <w:tcW w:w="3261" w:type="dxa"/>
            <w:tcBorders>
              <w:top w:val="single" w:sz="6" w:space="0" w:color="auto"/>
              <w:left w:val="single" w:sz="18" w:space="0" w:color="auto"/>
              <w:bottom w:val="single" w:sz="6" w:space="0" w:color="auto"/>
              <w:right w:val="single" w:sz="18" w:space="0" w:color="auto"/>
            </w:tcBorders>
          </w:tcPr>
          <w:p w14:paraId="5BC2B6E5" w14:textId="77777777" w:rsidR="009B4351" w:rsidRPr="00231ABC" w:rsidRDefault="009B4351" w:rsidP="00344957">
            <w:pPr>
              <w:rPr>
                <w:sz w:val="24"/>
              </w:rPr>
            </w:pPr>
            <w:r w:rsidRPr="00231ABC">
              <w:rPr>
                <w:sz w:val="24"/>
              </w:rPr>
              <w:t>Okrajová část vnitřního města</w:t>
            </w:r>
          </w:p>
        </w:tc>
        <w:tc>
          <w:tcPr>
            <w:tcW w:w="1842" w:type="dxa"/>
            <w:tcBorders>
              <w:top w:val="single" w:sz="6" w:space="0" w:color="auto"/>
              <w:left w:val="nil"/>
              <w:bottom w:val="single" w:sz="6" w:space="0" w:color="auto"/>
              <w:right w:val="single" w:sz="6" w:space="0" w:color="auto"/>
            </w:tcBorders>
          </w:tcPr>
          <w:p w14:paraId="57EF474E" w14:textId="560E1720" w:rsidR="009B4351" w:rsidRPr="00231ABC" w:rsidRDefault="009B4351" w:rsidP="009B4351">
            <w:pPr>
              <w:jc w:val="center"/>
              <w:rPr>
                <w:sz w:val="24"/>
              </w:rPr>
            </w:pPr>
            <w:r>
              <w:rPr>
                <w:sz w:val="24"/>
              </w:rPr>
              <w:t>1 113</w:t>
            </w:r>
          </w:p>
        </w:tc>
        <w:tc>
          <w:tcPr>
            <w:tcW w:w="1843" w:type="dxa"/>
            <w:tcBorders>
              <w:top w:val="single" w:sz="6" w:space="0" w:color="auto"/>
              <w:left w:val="single" w:sz="6" w:space="0" w:color="auto"/>
              <w:bottom w:val="single" w:sz="6" w:space="0" w:color="auto"/>
              <w:right w:val="single" w:sz="6" w:space="0" w:color="auto"/>
            </w:tcBorders>
          </w:tcPr>
          <w:p w14:paraId="118F6C8E" w14:textId="7B31706F" w:rsidR="009B4351" w:rsidRPr="00231ABC" w:rsidRDefault="009B4351" w:rsidP="00344957">
            <w:pPr>
              <w:jc w:val="center"/>
              <w:rPr>
                <w:sz w:val="24"/>
              </w:rPr>
            </w:pPr>
            <w:r>
              <w:rPr>
                <w:sz w:val="24"/>
              </w:rPr>
              <w:t>69</w:t>
            </w:r>
          </w:p>
        </w:tc>
        <w:tc>
          <w:tcPr>
            <w:tcW w:w="1985" w:type="dxa"/>
            <w:tcBorders>
              <w:top w:val="single" w:sz="6" w:space="0" w:color="auto"/>
              <w:left w:val="single" w:sz="6" w:space="0" w:color="auto"/>
              <w:bottom w:val="single" w:sz="6" w:space="0" w:color="auto"/>
              <w:right w:val="single" w:sz="18" w:space="0" w:color="auto"/>
            </w:tcBorders>
          </w:tcPr>
          <w:p w14:paraId="464448AB" w14:textId="54152578" w:rsidR="009B4351" w:rsidRPr="00231ABC" w:rsidRDefault="009B4351" w:rsidP="00344957">
            <w:pPr>
              <w:jc w:val="center"/>
              <w:rPr>
                <w:sz w:val="24"/>
              </w:rPr>
            </w:pPr>
            <w:r>
              <w:rPr>
                <w:sz w:val="24"/>
              </w:rPr>
              <w:t>4 656</w:t>
            </w:r>
          </w:p>
        </w:tc>
      </w:tr>
      <w:tr w:rsidR="009B4351" w:rsidRPr="00231ABC" w14:paraId="3ADC36FF" w14:textId="77777777" w:rsidTr="00344957">
        <w:tc>
          <w:tcPr>
            <w:tcW w:w="3261" w:type="dxa"/>
            <w:tcBorders>
              <w:top w:val="single" w:sz="6" w:space="0" w:color="auto"/>
              <w:left w:val="single" w:sz="18" w:space="0" w:color="auto"/>
              <w:bottom w:val="single" w:sz="6" w:space="0" w:color="auto"/>
              <w:right w:val="single" w:sz="18" w:space="0" w:color="auto"/>
            </w:tcBorders>
          </w:tcPr>
          <w:p w14:paraId="7D9DCCBD" w14:textId="77777777" w:rsidR="009B4351" w:rsidRPr="00231ABC" w:rsidRDefault="009B4351" w:rsidP="00344957">
            <w:pPr>
              <w:rPr>
                <w:sz w:val="24"/>
              </w:rPr>
            </w:pPr>
            <w:r w:rsidRPr="00231ABC">
              <w:rPr>
                <w:sz w:val="24"/>
              </w:rPr>
              <w:t>Průmyslové části</w:t>
            </w:r>
          </w:p>
        </w:tc>
        <w:tc>
          <w:tcPr>
            <w:tcW w:w="1842" w:type="dxa"/>
            <w:tcBorders>
              <w:top w:val="single" w:sz="6" w:space="0" w:color="auto"/>
              <w:left w:val="nil"/>
              <w:bottom w:val="single" w:sz="6" w:space="0" w:color="auto"/>
              <w:right w:val="single" w:sz="6" w:space="0" w:color="auto"/>
            </w:tcBorders>
          </w:tcPr>
          <w:p w14:paraId="29C46E90" w14:textId="5F17B696" w:rsidR="009B4351" w:rsidRPr="00231ABC" w:rsidRDefault="009B4351" w:rsidP="009B4351">
            <w:pPr>
              <w:jc w:val="center"/>
              <w:rPr>
                <w:sz w:val="24"/>
              </w:rPr>
            </w:pPr>
            <w:r>
              <w:rPr>
                <w:sz w:val="24"/>
              </w:rPr>
              <w:t>1 149</w:t>
            </w:r>
          </w:p>
        </w:tc>
        <w:tc>
          <w:tcPr>
            <w:tcW w:w="1843" w:type="dxa"/>
            <w:tcBorders>
              <w:top w:val="single" w:sz="6" w:space="0" w:color="auto"/>
              <w:left w:val="single" w:sz="6" w:space="0" w:color="auto"/>
              <w:bottom w:val="single" w:sz="6" w:space="0" w:color="auto"/>
              <w:right w:val="single" w:sz="6" w:space="0" w:color="auto"/>
            </w:tcBorders>
          </w:tcPr>
          <w:p w14:paraId="6FD2668C" w14:textId="477C9B58" w:rsidR="009B4351" w:rsidRPr="00231ABC" w:rsidRDefault="009B4351" w:rsidP="00344957">
            <w:pPr>
              <w:jc w:val="center"/>
              <w:rPr>
                <w:sz w:val="24"/>
              </w:rPr>
            </w:pPr>
            <w:r>
              <w:rPr>
                <w:sz w:val="24"/>
              </w:rPr>
              <w:t>223</w:t>
            </w:r>
          </w:p>
        </w:tc>
        <w:tc>
          <w:tcPr>
            <w:tcW w:w="1985" w:type="dxa"/>
            <w:tcBorders>
              <w:top w:val="single" w:sz="6" w:space="0" w:color="auto"/>
              <w:left w:val="single" w:sz="6" w:space="0" w:color="auto"/>
              <w:bottom w:val="single" w:sz="6" w:space="0" w:color="auto"/>
              <w:right w:val="single" w:sz="18" w:space="0" w:color="auto"/>
            </w:tcBorders>
          </w:tcPr>
          <w:p w14:paraId="75B4F9B3" w14:textId="30FA7402" w:rsidR="009B4351" w:rsidRPr="00231ABC" w:rsidRDefault="009B4351" w:rsidP="00344957">
            <w:pPr>
              <w:jc w:val="center"/>
              <w:rPr>
                <w:sz w:val="24"/>
              </w:rPr>
            </w:pPr>
            <w:r>
              <w:rPr>
                <w:sz w:val="24"/>
              </w:rPr>
              <w:t>3 944</w:t>
            </w:r>
          </w:p>
        </w:tc>
      </w:tr>
      <w:tr w:rsidR="009B4351" w:rsidRPr="00231ABC" w14:paraId="2E30E284" w14:textId="77777777" w:rsidTr="00344957">
        <w:tc>
          <w:tcPr>
            <w:tcW w:w="3261" w:type="dxa"/>
            <w:tcBorders>
              <w:top w:val="single" w:sz="6" w:space="0" w:color="auto"/>
              <w:left w:val="single" w:sz="18" w:space="0" w:color="auto"/>
              <w:bottom w:val="single" w:sz="18" w:space="0" w:color="auto"/>
              <w:right w:val="single" w:sz="18" w:space="0" w:color="auto"/>
            </w:tcBorders>
          </w:tcPr>
          <w:p w14:paraId="2D36AEED" w14:textId="77777777" w:rsidR="009B4351" w:rsidRPr="00231ABC" w:rsidRDefault="009B4351" w:rsidP="00344957">
            <w:pPr>
              <w:rPr>
                <w:sz w:val="24"/>
              </w:rPr>
            </w:pPr>
            <w:r w:rsidRPr="00231ABC">
              <w:rPr>
                <w:sz w:val="24"/>
              </w:rPr>
              <w:t>Území mimo kompaktní město</w:t>
            </w:r>
          </w:p>
        </w:tc>
        <w:tc>
          <w:tcPr>
            <w:tcW w:w="1842" w:type="dxa"/>
            <w:tcBorders>
              <w:top w:val="single" w:sz="6" w:space="0" w:color="auto"/>
              <w:left w:val="nil"/>
              <w:bottom w:val="single" w:sz="18" w:space="0" w:color="auto"/>
              <w:right w:val="single" w:sz="6" w:space="0" w:color="auto"/>
            </w:tcBorders>
          </w:tcPr>
          <w:p w14:paraId="25E18F38" w14:textId="4D041CE7" w:rsidR="009B4351" w:rsidRPr="00231ABC" w:rsidRDefault="009B4351" w:rsidP="00344957">
            <w:pPr>
              <w:jc w:val="center"/>
              <w:rPr>
                <w:sz w:val="24"/>
              </w:rPr>
            </w:pPr>
            <w:r>
              <w:rPr>
                <w:sz w:val="24"/>
              </w:rPr>
              <w:t>1 000</w:t>
            </w:r>
          </w:p>
        </w:tc>
        <w:tc>
          <w:tcPr>
            <w:tcW w:w="1843" w:type="dxa"/>
            <w:tcBorders>
              <w:top w:val="single" w:sz="6" w:space="0" w:color="auto"/>
              <w:left w:val="single" w:sz="6" w:space="0" w:color="auto"/>
              <w:bottom w:val="single" w:sz="18" w:space="0" w:color="auto"/>
              <w:right w:val="single" w:sz="6" w:space="0" w:color="auto"/>
            </w:tcBorders>
          </w:tcPr>
          <w:p w14:paraId="59401801" w14:textId="71698B42" w:rsidR="009B4351" w:rsidRPr="00231ABC" w:rsidRDefault="009B4351" w:rsidP="009B4351">
            <w:pPr>
              <w:jc w:val="center"/>
              <w:rPr>
                <w:sz w:val="24"/>
              </w:rPr>
            </w:pPr>
            <w:r>
              <w:rPr>
                <w:sz w:val="24"/>
              </w:rPr>
              <w:t>36</w:t>
            </w:r>
          </w:p>
        </w:tc>
        <w:tc>
          <w:tcPr>
            <w:tcW w:w="1985" w:type="dxa"/>
            <w:tcBorders>
              <w:top w:val="single" w:sz="6" w:space="0" w:color="auto"/>
              <w:left w:val="single" w:sz="6" w:space="0" w:color="auto"/>
              <w:bottom w:val="single" w:sz="18" w:space="0" w:color="auto"/>
              <w:right w:val="single" w:sz="18" w:space="0" w:color="auto"/>
            </w:tcBorders>
          </w:tcPr>
          <w:p w14:paraId="0AE5D534" w14:textId="1956A023" w:rsidR="009B4351" w:rsidRPr="00231ABC" w:rsidRDefault="009B4351" w:rsidP="009B4351">
            <w:pPr>
              <w:jc w:val="center"/>
              <w:rPr>
                <w:sz w:val="24"/>
              </w:rPr>
            </w:pPr>
            <w:r>
              <w:rPr>
                <w:sz w:val="24"/>
              </w:rPr>
              <w:t>9 354</w:t>
            </w:r>
          </w:p>
        </w:tc>
      </w:tr>
    </w:tbl>
    <w:p w14:paraId="08DD69EC" w14:textId="77777777" w:rsidR="00360526" w:rsidRPr="00231ABC" w:rsidRDefault="00360526" w:rsidP="00B52AF7">
      <w:pPr>
        <w:pStyle w:val="Nadpis2"/>
        <w:numPr>
          <w:ilvl w:val="0"/>
          <w:numId w:val="0"/>
        </w:numPr>
        <w:tabs>
          <w:tab w:val="clear" w:pos="576"/>
        </w:tabs>
        <w:spacing w:before="360"/>
      </w:pPr>
      <w:r w:rsidRPr="00231ABC">
        <w:t>Pozemky v chatových osadách</w:t>
      </w:r>
    </w:p>
    <w:p w14:paraId="313536D0" w14:textId="676B0E08" w:rsidR="00360526" w:rsidRPr="00231ABC" w:rsidRDefault="00360526" w:rsidP="00B52AF7">
      <w:pPr>
        <w:tabs>
          <w:tab w:val="left" w:pos="426"/>
        </w:tabs>
        <w:spacing w:before="240"/>
        <w:ind w:firstLine="425"/>
        <w:jc w:val="both"/>
        <w:rPr>
          <w:sz w:val="24"/>
        </w:rPr>
      </w:pPr>
      <w:r w:rsidRPr="00EA18C8">
        <w:rPr>
          <w:sz w:val="24"/>
        </w:rPr>
        <w:t xml:space="preserve">Zvláštní kategorií v oblasti </w:t>
      </w:r>
      <w:r w:rsidR="00E4679C" w:rsidRPr="00EA18C8">
        <w:rPr>
          <w:sz w:val="24"/>
        </w:rPr>
        <w:t>bydlení</w:t>
      </w:r>
      <w:r w:rsidRPr="00EA18C8">
        <w:rPr>
          <w:sz w:val="24"/>
        </w:rPr>
        <w:t xml:space="preserve"> tvoří pozemky v </w:t>
      </w:r>
      <w:r w:rsidRPr="00EA18C8">
        <w:rPr>
          <w:b/>
          <w:i/>
          <w:sz w:val="24"/>
        </w:rPr>
        <w:t>chatových osadách</w:t>
      </w:r>
      <w:r w:rsidRPr="00EA18C8">
        <w:rPr>
          <w:sz w:val="24"/>
        </w:rPr>
        <w:t>. Ceny pozemků v této kategorii</w:t>
      </w:r>
      <w:r w:rsidR="00993124" w:rsidRPr="00EA18C8">
        <w:rPr>
          <w:sz w:val="24"/>
        </w:rPr>
        <w:t xml:space="preserve"> </w:t>
      </w:r>
      <w:r w:rsidR="003E647F">
        <w:rPr>
          <w:sz w:val="24"/>
        </w:rPr>
        <w:t>výrazně vzrostly</w:t>
      </w:r>
      <w:r w:rsidR="00993124" w:rsidRPr="00EA18C8">
        <w:rPr>
          <w:sz w:val="24"/>
        </w:rPr>
        <w:t xml:space="preserve"> (průměrná cena </w:t>
      </w:r>
      <w:r w:rsidR="0084449E" w:rsidRPr="00EA18C8">
        <w:rPr>
          <w:sz w:val="24"/>
        </w:rPr>
        <w:t xml:space="preserve">se </w:t>
      </w:r>
      <w:r w:rsidR="003E647F">
        <w:rPr>
          <w:sz w:val="24"/>
        </w:rPr>
        <w:t xml:space="preserve">zvýšila </w:t>
      </w:r>
      <w:r w:rsidR="00993124" w:rsidRPr="00EA18C8">
        <w:rPr>
          <w:sz w:val="24"/>
        </w:rPr>
        <w:t>o </w:t>
      </w:r>
      <w:r w:rsidR="003E647F">
        <w:rPr>
          <w:sz w:val="24"/>
        </w:rPr>
        <w:t>4</w:t>
      </w:r>
      <w:r w:rsidR="00344957">
        <w:rPr>
          <w:sz w:val="24"/>
        </w:rPr>
        <w:t>9</w:t>
      </w:r>
      <w:r w:rsidR="00993124" w:rsidRPr="00EA18C8">
        <w:rPr>
          <w:sz w:val="24"/>
        </w:rPr>
        <w:t xml:space="preserve"> % na </w:t>
      </w:r>
      <w:r w:rsidR="00344957">
        <w:rPr>
          <w:sz w:val="24"/>
        </w:rPr>
        <w:t xml:space="preserve">830 </w:t>
      </w:r>
      <w:r w:rsidR="00993124" w:rsidRPr="00EA18C8">
        <w:rPr>
          <w:sz w:val="24"/>
        </w:rPr>
        <w:t>Kč za m</w:t>
      </w:r>
      <w:r w:rsidR="00993124" w:rsidRPr="00EA18C8">
        <w:rPr>
          <w:sz w:val="24"/>
          <w:vertAlign w:val="superscript"/>
        </w:rPr>
        <w:t>2</w:t>
      </w:r>
      <w:r w:rsidR="00F137D4">
        <w:rPr>
          <w:sz w:val="24"/>
        </w:rPr>
        <w:t>)</w:t>
      </w:r>
      <w:r w:rsidR="00993124" w:rsidRPr="00EA18C8">
        <w:rPr>
          <w:sz w:val="24"/>
        </w:rPr>
        <w:t xml:space="preserve"> </w:t>
      </w:r>
      <w:r w:rsidR="00CA7B89">
        <w:rPr>
          <w:sz w:val="24"/>
        </w:rPr>
        <w:t>současně s</w:t>
      </w:r>
      <w:r w:rsidR="003E647F">
        <w:rPr>
          <w:sz w:val="24"/>
        </w:rPr>
        <w:t xml:space="preserve"> nárůstem </w:t>
      </w:r>
      <w:r w:rsidR="00B127C5" w:rsidRPr="00EA18C8">
        <w:rPr>
          <w:sz w:val="24"/>
        </w:rPr>
        <w:t>objemu převodů</w:t>
      </w:r>
      <w:r w:rsidR="0084449E" w:rsidRPr="00EA18C8">
        <w:rPr>
          <w:sz w:val="24"/>
        </w:rPr>
        <w:t xml:space="preserve"> o</w:t>
      </w:r>
      <w:r w:rsidR="00CA7B89">
        <w:rPr>
          <w:sz w:val="24"/>
        </w:rPr>
        <w:t xml:space="preserve"> </w:t>
      </w:r>
      <w:r w:rsidR="00BC6437">
        <w:rPr>
          <w:sz w:val="24"/>
        </w:rPr>
        <w:t>5</w:t>
      </w:r>
      <w:r w:rsidR="00344957">
        <w:rPr>
          <w:sz w:val="24"/>
        </w:rPr>
        <w:t>8</w:t>
      </w:r>
      <w:r w:rsidR="0084449E" w:rsidRPr="00EA18C8">
        <w:rPr>
          <w:sz w:val="24"/>
        </w:rPr>
        <w:t xml:space="preserve">  % </w:t>
      </w:r>
      <w:r w:rsidR="003F2623" w:rsidRPr="00EA18C8">
        <w:rPr>
          <w:sz w:val="24"/>
        </w:rPr>
        <w:t>na úroveň</w:t>
      </w:r>
      <w:r w:rsidR="0084449E" w:rsidRPr="00EA18C8">
        <w:rPr>
          <w:sz w:val="24"/>
        </w:rPr>
        <w:t xml:space="preserve"> </w:t>
      </w:r>
      <w:r w:rsidR="003F2623" w:rsidRPr="00EA18C8">
        <w:rPr>
          <w:sz w:val="24"/>
        </w:rPr>
        <w:t xml:space="preserve">cca </w:t>
      </w:r>
      <w:r w:rsidR="00344957">
        <w:rPr>
          <w:sz w:val="24"/>
        </w:rPr>
        <w:t>23</w:t>
      </w:r>
      <w:r w:rsidR="003E647F">
        <w:rPr>
          <w:sz w:val="24"/>
        </w:rPr>
        <w:t xml:space="preserve"> </w:t>
      </w:r>
      <w:r w:rsidR="0084449E" w:rsidRPr="00EA18C8">
        <w:rPr>
          <w:sz w:val="24"/>
        </w:rPr>
        <w:t>mil. Kč</w:t>
      </w:r>
      <w:r w:rsidR="00E4679C" w:rsidRPr="00EA18C8">
        <w:rPr>
          <w:sz w:val="24"/>
        </w:rPr>
        <w:t xml:space="preserve">. </w:t>
      </w:r>
      <w:r w:rsidR="00EA18C8" w:rsidRPr="00EA18C8">
        <w:rPr>
          <w:sz w:val="24"/>
        </w:rPr>
        <w:t xml:space="preserve">Pozemky v chatových osadách </w:t>
      </w:r>
      <w:r w:rsidR="00EA18C8" w:rsidRPr="00EA18C8">
        <w:rPr>
          <w:sz w:val="24"/>
        </w:rPr>
        <w:lastRenderedPageBreak/>
        <w:t>se obchodovaly</w:t>
      </w:r>
      <w:r w:rsidR="0084449E" w:rsidRPr="00EA18C8">
        <w:rPr>
          <w:sz w:val="24"/>
        </w:rPr>
        <w:t xml:space="preserve"> </w:t>
      </w:r>
      <w:r w:rsidR="00BC6437">
        <w:rPr>
          <w:sz w:val="24"/>
        </w:rPr>
        <w:t xml:space="preserve">především </w:t>
      </w:r>
      <w:r w:rsidR="0084449E" w:rsidRPr="00EA18C8">
        <w:rPr>
          <w:sz w:val="24"/>
        </w:rPr>
        <w:t>v území mimo kompaktní město a okrajových částech vnitřního města</w:t>
      </w:r>
      <w:r w:rsidR="00E4679C" w:rsidRPr="00EA18C8">
        <w:rPr>
          <w:sz w:val="24"/>
        </w:rPr>
        <w:t>, což odpovídá možnostem využití území pro individuální rekreaci</w:t>
      </w:r>
      <w:r w:rsidR="00993124" w:rsidRPr="00EA18C8">
        <w:rPr>
          <w:sz w:val="24"/>
        </w:rPr>
        <w:t xml:space="preserve">. </w:t>
      </w:r>
      <w:r w:rsidR="0084449E" w:rsidRPr="00E35DDF">
        <w:rPr>
          <w:sz w:val="24"/>
        </w:rPr>
        <w:t xml:space="preserve">V těchto oblastech byly realizovány transakce za </w:t>
      </w:r>
      <w:r w:rsidR="00344957">
        <w:rPr>
          <w:sz w:val="24"/>
        </w:rPr>
        <w:t>9,13</w:t>
      </w:r>
      <w:r w:rsidR="003212E4" w:rsidRPr="00E35DDF">
        <w:rPr>
          <w:sz w:val="24"/>
        </w:rPr>
        <w:t> mil. Kč</w:t>
      </w:r>
      <w:r w:rsidR="0084449E" w:rsidRPr="00E35DDF">
        <w:rPr>
          <w:sz w:val="24"/>
        </w:rPr>
        <w:t xml:space="preserve">, resp. </w:t>
      </w:r>
      <w:r w:rsidR="00344957">
        <w:rPr>
          <w:sz w:val="24"/>
        </w:rPr>
        <w:t>14,21</w:t>
      </w:r>
      <w:r w:rsidR="00F137D4">
        <w:rPr>
          <w:sz w:val="24"/>
        </w:rPr>
        <w:t> </w:t>
      </w:r>
      <w:r w:rsidR="0084449E" w:rsidRPr="00E35DDF">
        <w:rPr>
          <w:sz w:val="24"/>
        </w:rPr>
        <w:t>mil.</w:t>
      </w:r>
      <w:r w:rsidR="00F137D4">
        <w:rPr>
          <w:sz w:val="24"/>
        </w:rPr>
        <w:t> </w:t>
      </w:r>
      <w:r w:rsidR="0084449E" w:rsidRPr="00E35DDF">
        <w:rPr>
          <w:sz w:val="24"/>
        </w:rPr>
        <w:t>Kč</w:t>
      </w:r>
      <w:r w:rsidR="00C466C0" w:rsidRPr="00E35DDF">
        <w:rPr>
          <w:sz w:val="24"/>
        </w:rPr>
        <w:t xml:space="preserve">. </w:t>
      </w:r>
      <w:r w:rsidR="00522238">
        <w:rPr>
          <w:sz w:val="24"/>
        </w:rPr>
        <w:t xml:space="preserve">V obou oblastech došlo k nárůstu </w:t>
      </w:r>
      <w:r w:rsidR="003212E4" w:rsidRPr="00E35DDF">
        <w:rPr>
          <w:sz w:val="24"/>
        </w:rPr>
        <w:t>průměrné ceny</w:t>
      </w:r>
      <w:r w:rsidR="00D92EF3">
        <w:rPr>
          <w:sz w:val="24"/>
        </w:rPr>
        <w:t>,</w:t>
      </w:r>
      <w:r w:rsidR="003212E4" w:rsidRPr="00E35DDF">
        <w:rPr>
          <w:sz w:val="24"/>
        </w:rPr>
        <w:t xml:space="preserve"> v okrajových částech vnitřního města</w:t>
      </w:r>
      <w:r w:rsidR="00EA18C8" w:rsidRPr="00E35DDF">
        <w:rPr>
          <w:sz w:val="24"/>
        </w:rPr>
        <w:t xml:space="preserve"> </w:t>
      </w:r>
      <w:r w:rsidR="00522238">
        <w:rPr>
          <w:sz w:val="24"/>
        </w:rPr>
        <w:t>n</w:t>
      </w:r>
      <w:r w:rsidR="00EA18C8" w:rsidRPr="00E35DDF">
        <w:rPr>
          <w:sz w:val="24"/>
        </w:rPr>
        <w:t xml:space="preserve">a </w:t>
      </w:r>
      <w:r w:rsidR="00344957">
        <w:rPr>
          <w:sz w:val="24"/>
        </w:rPr>
        <w:t>928</w:t>
      </w:r>
      <w:r w:rsidR="00EA18C8" w:rsidRPr="00E35DDF">
        <w:rPr>
          <w:sz w:val="24"/>
        </w:rPr>
        <w:t xml:space="preserve"> Kč za m</w:t>
      </w:r>
      <w:r w:rsidR="00EA18C8" w:rsidRPr="00E35DDF">
        <w:rPr>
          <w:sz w:val="24"/>
          <w:vertAlign w:val="superscript"/>
        </w:rPr>
        <w:t>2</w:t>
      </w:r>
      <w:r w:rsidR="00522238">
        <w:rPr>
          <w:sz w:val="24"/>
        </w:rPr>
        <w:t xml:space="preserve"> </w:t>
      </w:r>
      <w:r w:rsidR="00D92EF3">
        <w:rPr>
          <w:sz w:val="24"/>
        </w:rPr>
        <w:t>a</w:t>
      </w:r>
      <w:r w:rsidR="00D67A41">
        <w:rPr>
          <w:sz w:val="24"/>
        </w:rPr>
        <w:t> </w:t>
      </w:r>
      <w:r w:rsidR="00D92EF3">
        <w:rPr>
          <w:sz w:val="24"/>
        </w:rPr>
        <w:t xml:space="preserve">v území mimo kompaktní město na </w:t>
      </w:r>
      <w:r w:rsidR="00344957">
        <w:rPr>
          <w:sz w:val="24"/>
        </w:rPr>
        <w:t>713</w:t>
      </w:r>
      <w:r w:rsidR="00E35DDF" w:rsidRPr="00E35DDF">
        <w:rPr>
          <w:sz w:val="24"/>
        </w:rPr>
        <w:t xml:space="preserve"> K</w:t>
      </w:r>
      <w:r w:rsidR="00EA18C8" w:rsidRPr="00E35DDF">
        <w:rPr>
          <w:sz w:val="24"/>
        </w:rPr>
        <w:t>č za m</w:t>
      </w:r>
      <w:r w:rsidR="00EA18C8" w:rsidRPr="00E35DDF">
        <w:rPr>
          <w:sz w:val="24"/>
          <w:vertAlign w:val="superscript"/>
        </w:rPr>
        <w:t>2</w:t>
      </w:r>
      <w:r w:rsidR="003212E4" w:rsidRPr="00E35DDF">
        <w:rPr>
          <w:sz w:val="24"/>
        </w:rPr>
        <w:t>.</w:t>
      </w:r>
      <w:r w:rsidRPr="00E35DDF">
        <w:rPr>
          <w:sz w:val="24"/>
        </w:rPr>
        <w:t xml:space="preserve"> </w:t>
      </w:r>
      <w:r w:rsidR="00002430">
        <w:rPr>
          <w:sz w:val="24"/>
        </w:rPr>
        <w:t>V rámci celého území se o</w:t>
      </w:r>
      <w:r w:rsidRPr="00E35DDF">
        <w:rPr>
          <w:sz w:val="24"/>
        </w:rPr>
        <w:t xml:space="preserve">bchodovaly </w:t>
      </w:r>
      <w:r w:rsidR="00C90F68" w:rsidRPr="00E35DDF">
        <w:rPr>
          <w:sz w:val="24"/>
        </w:rPr>
        <w:t xml:space="preserve">pozemky v částech města vhodných k individuální rekreaci, </w:t>
      </w:r>
      <w:r w:rsidR="001F6FF2" w:rsidRPr="00E35DDF">
        <w:rPr>
          <w:sz w:val="24"/>
        </w:rPr>
        <w:t>zejména na periferii Ostravy a</w:t>
      </w:r>
      <w:r w:rsidR="00E4679C" w:rsidRPr="00E35DDF">
        <w:rPr>
          <w:sz w:val="24"/>
        </w:rPr>
        <w:t> </w:t>
      </w:r>
      <w:r w:rsidR="001F6FF2" w:rsidRPr="00E35DDF">
        <w:rPr>
          <w:sz w:val="24"/>
        </w:rPr>
        <w:t>v rezidenčních částech města</w:t>
      </w:r>
      <w:r w:rsidR="00C90F68" w:rsidRPr="00E35DDF">
        <w:rPr>
          <w:sz w:val="24"/>
        </w:rPr>
        <w:t>.</w:t>
      </w:r>
      <w:r w:rsidR="00C90F68" w:rsidRPr="00231ABC">
        <w:rPr>
          <w:sz w:val="24"/>
        </w:rPr>
        <w:t xml:space="preserve"> </w:t>
      </w:r>
    </w:p>
    <w:p w14:paraId="17B0BC40" w14:textId="3467B907" w:rsidR="00ED2536" w:rsidRPr="00231ABC" w:rsidRDefault="00ED2536" w:rsidP="00ED2536">
      <w:pPr>
        <w:pStyle w:val="Zhlav"/>
        <w:tabs>
          <w:tab w:val="clear" w:pos="4536"/>
          <w:tab w:val="clear" w:pos="9072"/>
        </w:tabs>
        <w:spacing w:before="120"/>
      </w:pPr>
      <w:r w:rsidRPr="00231ABC">
        <w:t>CM 20</w:t>
      </w:r>
      <w:r>
        <w:t>20</w:t>
      </w: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61"/>
        <w:gridCol w:w="1842"/>
        <w:gridCol w:w="1843"/>
        <w:gridCol w:w="1985"/>
      </w:tblGrid>
      <w:tr w:rsidR="00ED2536" w:rsidRPr="00231ABC" w14:paraId="6B4FFA81" w14:textId="77777777" w:rsidTr="00ED2536">
        <w:trPr>
          <w:cantSplit/>
        </w:trPr>
        <w:tc>
          <w:tcPr>
            <w:tcW w:w="3261" w:type="dxa"/>
            <w:vMerge w:val="restart"/>
            <w:tcBorders>
              <w:top w:val="single" w:sz="18" w:space="0" w:color="auto"/>
              <w:left w:val="single" w:sz="18" w:space="0" w:color="auto"/>
              <w:right w:val="single" w:sz="18" w:space="0" w:color="auto"/>
            </w:tcBorders>
            <w:vAlign w:val="center"/>
          </w:tcPr>
          <w:p w14:paraId="7232A4CF" w14:textId="77777777" w:rsidR="00ED2536" w:rsidRPr="00231ABC" w:rsidRDefault="00ED2536" w:rsidP="00ED2536">
            <w:pPr>
              <w:pStyle w:val="Nadpis1"/>
              <w:jc w:val="center"/>
              <w:rPr>
                <w:b/>
              </w:rPr>
            </w:pPr>
            <w:r w:rsidRPr="00231ABC">
              <w:rPr>
                <w:b/>
              </w:rPr>
              <w:t>Poloha</w:t>
            </w:r>
          </w:p>
        </w:tc>
        <w:tc>
          <w:tcPr>
            <w:tcW w:w="5670" w:type="dxa"/>
            <w:gridSpan w:val="3"/>
            <w:tcBorders>
              <w:top w:val="single" w:sz="18" w:space="0" w:color="auto"/>
              <w:left w:val="nil"/>
              <w:bottom w:val="nil"/>
              <w:right w:val="single" w:sz="18" w:space="0" w:color="auto"/>
            </w:tcBorders>
          </w:tcPr>
          <w:p w14:paraId="1BE996EE" w14:textId="77777777" w:rsidR="00ED2536" w:rsidRPr="00231ABC" w:rsidRDefault="00ED2536" w:rsidP="00ED2536">
            <w:pPr>
              <w:jc w:val="center"/>
              <w:rPr>
                <w:b/>
                <w:sz w:val="24"/>
              </w:rPr>
            </w:pPr>
            <w:r w:rsidRPr="00231ABC">
              <w:rPr>
                <w:b/>
                <w:sz w:val="24"/>
              </w:rPr>
              <w:t>Kč/m</w:t>
            </w:r>
            <w:r w:rsidRPr="00231ABC">
              <w:rPr>
                <w:b/>
                <w:sz w:val="24"/>
                <w:vertAlign w:val="superscript"/>
              </w:rPr>
              <w:t>2</w:t>
            </w:r>
            <w:r w:rsidRPr="00231ABC">
              <w:rPr>
                <w:b/>
                <w:sz w:val="24"/>
              </w:rPr>
              <w:t xml:space="preserve"> </w:t>
            </w:r>
          </w:p>
        </w:tc>
      </w:tr>
      <w:tr w:rsidR="00ED2536" w:rsidRPr="00231ABC" w14:paraId="20C87E52" w14:textId="77777777" w:rsidTr="00ED2536">
        <w:tc>
          <w:tcPr>
            <w:tcW w:w="3261" w:type="dxa"/>
            <w:vMerge/>
            <w:tcBorders>
              <w:left w:val="single" w:sz="18" w:space="0" w:color="auto"/>
              <w:bottom w:val="single" w:sz="18" w:space="0" w:color="auto"/>
              <w:right w:val="single" w:sz="18" w:space="0" w:color="auto"/>
            </w:tcBorders>
          </w:tcPr>
          <w:p w14:paraId="764A2317" w14:textId="77777777" w:rsidR="00ED2536" w:rsidRPr="00231ABC" w:rsidRDefault="00ED2536" w:rsidP="00ED2536">
            <w:pPr>
              <w:pStyle w:val="Nadpis1"/>
            </w:pPr>
          </w:p>
        </w:tc>
        <w:tc>
          <w:tcPr>
            <w:tcW w:w="1842" w:type="dxa"/>
            <w:tcBorders>
              <w:top w:val="single" w:sz="12" w:space="0" w:color="auto"/>
              <w:left w:val="nil"/>
              <w:bottom w:val="single" w:sz="18" w:space="0" w:color="auto"/>
              <w:right w:val="single" w:sz="6" w:space="0" w:color="auto"/>
            </w:tcBorders>
          </w:tcPr>
          <w:p w14:paraId="15312FDB" w14:textId="77777777" w:rsidR="00ED2536" w:rsidRPr="00231ABC" w:rsidRDefault="00ED2536" w:rsidP="00ED2536">
            <w:pPr>
              <w:jc w:val="center"/>
              <w:rPr>
                <w:b/>
                <w:sz w:val="24"/>
              </w:rPr>
            </w:pPr>
            <w:r w:rsidRPr="00231ABC">
              <w:rPr>
                <w:b/>
                <w:sz w:val="24"/>
              </w:rPr>
              <w:t>Průměrná cena</w:t>
            </w:r>
          </w:p>
        </w:tc>
        <w:tc>
          <w:tcPr>
            <w:tcW w:w="1843" w:type="dxa"/>
            <w:tcBorders>
              <w:top w:val="single" w:sz="12" w:space="0" w:color="auto"/>
              <w:left w:val="single" w:sz="6" w:space="0" w:color="auto"/>
              <w:bottom w:val="single" w:sz="18" w:space="0" w:color="auto"/>
              <w:right w:val="single" w:sz="6" w:space="0" w:color="auto"/>
            </w:tcBorders>
          </w:tcPr>
          <w:p w14:paraId="1B0599D6" w14:textId="77777777" w:rsidR="00ED2536" w:rsidRPr="00231ABC" w:rsidRDefault="00ED2536" w:rsidP="00ED2536">
            <w:pPr>
              <w:jc w:val="center"/>
              <w:rPr>
                <w:b/>
                <w:sz w:val="24"/>
              </w:rPr>
            </w:pPr>
            <w:r w:rsidRPr="00231ABC">
              <w:rPr>
                <w:b/>
                <w:sz w:val="24"/>
              </w:rPr>
              <w:t>Minimální cena</w:t>
            </w:r>
          </w:p>
        </w:tc>
        <w:tc>
          <w:tcPr>
            <w:tcW w:w="1985" w:type="dxa"/>
            <w:tcBorders>
              <w:top w:val="single" w:sz="12" w:space="0" w:color="auto"/>
              <w:left w:val="single" w:sz="6" w:space="0" w:color="auto"/>
              <w:bottom w:val="single" w:sz="18" w:space="0" w:color="auto"/>
              <w:right w:val="single" w:sz="18" w:space="0" w:color="auto"/>
            </w:tcBorders>
          </w:tcPr>
          <w:p w14:paraId="40EB5FD6" w14:textId="77777777" w:rsidR="00ED2536" w:rsidRPr="00231ABC" w:rsidRDefault="00ED2536" w:rsidP="00ED2536">
            <w:pPr>
              <w:jc w:val="center"/>
              <w:rPr>
                <w:b/>
                <w:sz w:val="24"/>
              </w:rPr>
            </w:pPr>
            <w:r w:rsidRPr="00231ABC">
              <w:rPr>
                <w:b/>
                <w:sz w:val="24"/>
              </w:rPr>
              <w:t>Maximální cena</w:t>
            </w:r>
          </w:p>
        </w:tc>
      </w:tr>
      <w:tr w:rsidR="00ED2536" w:rsidRPr="00231ABC" w14:paraId="4A4E630A" w14:textId="77777777" w:rsidTr="00ED2536">
        <w:tc>
          <w:tcPr>
            <w:tcW w:w="3261" w:type="dxa"/>
            <w:tcBorders>
              <w:top w:val="nil"/>
              <w:left w:val="single" w:sz="18" w:space="0" w:color="auto"/>
              <w:bottom w:val="single" w:sz="6" w:space="0" w:color="auto"/>
              <w:right w:val="single" w:sz="18" w:space="0" w:color="auto"/>
            </w:tcBorders>
          </w:tcPr>
          <w:p w14:paraId="46A2C0A4" w14:textId="77777777" w:rsidR="00ED2536" w:rsidRPr="00231ABC" w:rsidRDefault="00ED2536" w:rsidP="00ED2536">
            <w:pPr>
              <w:rPr>
                <w:sz w:val="24"/>
              </w:rPr>
            </w:pPr>
            <w:r w:rsidRPr="00231ABC">
              <w:rPr>
                <w:sz w:val="24"/>
              </w:rPr>
              <w:t>Vnitřní město</w:t>
            </w:r>
          </w:p>
        </w:tc>
        <w:tc>
          <w:tcPr>
            <w:tcW w:w="1842" w:type="dxa"/>
            <w:tcBorders>
              <w:top w:val="nil"/>
              <w:left w:val="nil"/>
              <w:bottom w:val="single" w:sz="6" w:space="0" w:color="auto"/>
              <w:right w:val="single" w:sz="6" w:space="0" w:color="auto"/>
            </w:tcBorders>
          </w:tcPr>
          <w:p w14:paraId="6CC53DE6" w14:textId="34D652DB" w:rsidR="00ED2536" w:rsidRPr="00231ABC" w:rsidRDefault="00ED2536" w:rsidP="00ED2536">
            <w:pPr>
              <w:jc w:val="center"/>
              <w:rPr>
                <w:sz w:val="24"/>
              </w:rPr>
            </w:pPr>
            <w:r>
              <w:rPr>
                <w:sz w:val="24"/>
              </w:rPr>
              <w:t>186</w:t>
            </w:r>
          </w:p>
        </w:tc>
        <w:tc>
          <w:tcPr>
            <w:tcW w:w="1843" w:type="dxa"/>
            <w:tcBorders>
              <w:top w:val="nil"/>
              <w:left w:val="single" w:sz="6" w:space="0" w:color="auto"/>
              <w:bottom w:val="single" w:sz="6" w:space="0" w:color="auto"/>
              <w:right w:val="single" w:sz="6" w:space="0" w:color="auto"/>
            </w:tcBorders>
          </w:tcPr>
          <w:p w14:paraId="65E49717" w14:textId="77777777" w:rsidR="00ED2536" w:rsidRPr="00231ABC" w:rsidRDefault="00ED2536" w:rsidP="00ED2536">
            <w:pPr>
              <w:jc w:val="center"/>
              <w:rPr>
                <w:sz w:val="24"/>
              </w:rPr>
            </w:pPr>
            <w:r w:rsidRPr="00231ABC">
              <w:rPr>
                <w:sz w:val="24"/>
              </w:rPr>
              <w:t>-</w:t>
            </w:r>
          </w:p>
        </w:tc>
        <w:tc>
          <w:tcPr>
            <w:tcW w:w="1985" w:type="dxa"/>
            <w:tcBorders>
              <w:top w:val="nil"/>
              <w:left w:val="single" w:sz="6" w:space="0" w:color="auto"/>
              <w:bottom w:val="single" w:sz="6" w:space="0" w:color="auto"/>
              <w:right w:val="single" w:sz="18" w:space="0" w:color="auto"/>
            </w:tcBorders>
          </w:tcPr>
          <w:p w14:paraId="0D8534FC" w14:textId="77777777" w:rsidR="00ED2536" w:rsidRPr="00231ABC" w:rsidRDefault="00ED2536" w:rsidP="00ED2536">
            <w:pPr>
              <w:jc w:val="center"/>
              <w:rPr>
                <w:sz w:val="24"/>
              </w:rPr>
            </w:pPr>
            <w:r w:rsidRPr="00231ABC">
              <w:rPr>
                <w:sz w:val="24"/>
              </w:rPr>
              <w:t>-</w:t>
            </w:r>
          </w:p>
        </w:tc>
      </w:tr>
      <w:tr w:rsidR="00ED2536" w:rsidRPr="00231ABC" w14:paraId="5990988C" w14:textId="77777777" w:rsidTr="00ED2536">
        <w:tc>
          <w:tcPr>
            <w:tcW w:w="3261" w:type="dxa"/>
            <w:tcBorders>
              <w:top w:val="single" w:sz="6" w:space="0" w:color="auto"/>
              <w:left w:val="single" w:sz="18" w:space="0" w:color="auto"/>
              <w:bottom w:val="single" w:sz="6" w:space="0" w:color="auto"/>
              <w:right w:val="single" w:sz="18" w:space="0" w:color="auto"/>
            </w:tcBorders>
          </w:tcPr>
          <w:p w14:paraId="3C3A5904" w14:textId="77777777" w:rsidR="00ED2536" w:rsidRPr="00231ABC" w:rsidRDefault="00ED2536" w:rsidP="00ED2536">
            <w:pPr>
              <w:rPr>
                <w:sz w:val="24"/>
              </w:rPr>
            </w:pPr>
            <w:r w:rsidRPr="00231ABC">
              <w:rPr>
                <w:sz w:val="24"/>
              </w:rPr>
              <w:t>Okrajová část vnitřního města</w:t>
            </w:r>
          </w:p>
        </w:tc>
        <w:tc>
          <w:tcPr>
            <w:tcW w:w="1842" w:type="dxa"/>
            <w:tcBorders>
              <w:top w:val="single" w:sz="6" w:space="0" w:color="auto"/>
              <w:left w:val="nil"/>
              <w:bottom w:val="single" w:sz="6" w:space="0" w:color="auto"/>
              <w:right w:val="single" w:sz="6" w:space="0" w:color="auto"/>
            </w:tcBorders>
          </w:tcPr>
          <w:p w14:paraId="2575B4E3" w14:textId="5D558935" w:rsidR="00ED2536" w:rsidRPr="00231ABC" w:rsidRDefault="00ED2536" w:rsidP="00ED2536">
            <w:pPr>
              <w:jc w:val="center"/>
              <w:rPr>
                <w:sz w:val="24"/>
              </w:rPr>
            </w:pPr>
            <w:r>
              <w:rPr>
                <w:sz w:val="24"/>
              </w:rPr>
              <w:t>290</w:t>
            </w:r>
          </w:p>
        </w:tc>
        <w:tc>
          <w:tcPr>
            <w:tcW w:w="1843" w:type="dxa"/>
            <w:tcBorders>
              <w:top w:val="single" w:sz="6" w:space="0" w:color="auto"/>
              <w:left w:val="single" w:sz="6" w:space="0" w:color="auto"/>
              <w:bottom w:val="single" w:sz="6" w:space="0" w:color="auto"/>
              <w:right w:val="single" w:sz="6" w:space="0" w:color="auto"/>
            </w:tcBorders>
          </w:tcPr>
          <w:p w14:paraId="2FA9386A" w14:textId="0012D504" w:rsidR="00ED2536" w:rsidRPr="00231ABC" w:rsidRDefault="00ED2536" w:rsidP="00ED2536">
            <w:pPr>
              <w:jc w:val="center"/>
              <w:rPr>
                <w:sz w:val="24"/>
              </w:rPr>
            </w:pPr>
            <w:r>
              <w:rPr>
                <w:sz w:val="24"/>
              </w:rPr>
              <w:t>26</w:t>
            </w:r>
          </w:p>
        </w:tc>
        <w:tc>
          <w:tcPr>
            <w:tcW w:w="1985" w:type="dxa"/>
            <w:tcBorders>
              <w:top w:val="single" w:sz="6" w:space="0" w:color="auto"/>
              <w:left w:val="single" w:sz="6" w:space="0" w:color="auto"/>
              <w:bottom w:val="single" w:sz="6" w:space="0" w:color="auto"/>
              <w:right w:val="single" w:sz="18" w:space="0" w:color="auto"/>
            </w:tcBorders>
          </w:tcPr>
          <w:p w14:paraId="09E60D15" w14:textId="0FF1BD0F" w:rsidR="00ED2536" w:rsidRPr="00231ABC" w:rsidRDefault="00ED2536" w:rsidP="00ED2536">
            <w:pPr>
              <w:jc w:val="center"/>
              <w:rPr>
                <w:sz w:val="24"/>
              </w:rPr>
            </w:pPr>
            <w:r>
              <w:rPr>
                <w:sz w:val="24"/>
              </w:rPr>
              <w:t>1 115</w:t>
            </w:r>
          </w:p>
        </w:tc>
      </w:tr>
      <w:tr w:rsidR="00ED2536" w:rsidRPr="00231ABC" w14:paraId="6F3945B2" w14:textId="77777777" w:rsidTr="00ED2536">
        <w:tc>
          <w:tcPr>
            <w:tcW w:w="3261" w:type="dxa"/>
            <w:tcBorders>
              <w:top w:val="single" w:sz="6" w:space="0" w:color="auto"/>
              <w:left w:val="single" w:sz="18" w:space="0" w:color="auto"/>
              <w:bottom w:val="single" w:sz="6" w:space="0" w:color="auto"/>
              <w:right w:val="single" w:sz="18" w:space="0" w:color="auto"/>
            </w:tcBorders>
          </w:tcPr>
          <w:p w14:paraId="1B391C5C" w14:textId="77777777" w:rsidR="00ED2536" w:rsidRPr="00231ABC" w:rsidRDefault="00ED2536" w:rsidP="00ED2536">
            <w:pPr>
              <w:rPr>
                <w:sz w:val="24"/>
              </w:rPr>
            </w:pPr>
            <w:r w:rsidRPr="00231ABC">
              <w:rPr>
                <w:sz w:val="24"/>
              </w:rPr>
              <w:t>Průmyslové části</w:t>
            </w:r>
          </w:p>
        </w:tc>
        <w:tc>
          <w:tcPr>
            <w:tcW w:w="1842" w:type="dxa"/>
            <w:tcBorders>
              <w:top w:val="single" w:sz="6" w:space="0" w:color="auto"/>
              <w:left w:val="nil"/>
              <w:bottom w:val="single" w:sz="6" w:space="0" w:color="auto"/>
              <w:right w:val="single" w:sz="6" w:space="0" w:color="auto"/>
            </w:tcBorders>
          </w:tcPr>
          <w:p w14:paraId="7901C5AB" w14:textId="002C56A8" w:rsidR="00ED2536" w:rsidRPr="00231ABC" w:rsidRDefault="00ED2536" w:rsidP="00ED2536">
            <w:pPr>
              <w:jc w:val="center"/>
              <w:rPr>
                <w:sz w:val="24"/>
              </w:rPr>
            </w:pPr>
            <w:r>
              <w:rPr>
                <w:sz w:val="24"/>
              </w:rPr>
              <w:t>303</w:t>
            </w:r>
          </w:p>
        </w:tc>
        <w:tc>
          <w:tcPr>
            <w:tcW w:w="1843" w:type="dxa"/>
            <w:tcBorders>
              <w:top w:val="single" w:sz="6" w:space="0" w:color="auto"/>
              <w:left w:val="single" w:sz="6" w:space="0" w:color="auto"/>
              <w:bottom w:val="single" w:sz="6" w:space="0" w:color="auto"/>
              <w:right w:val="single" w:sz="6" w:space="0" w:color="auto"/>
            </w:tcBorders>
          </w:tcPr>
          <w:p w14:paraId="54091F91" w14:textId="549EDABD" w:rsidR="00ED2536" w:rsidRPr="00231ABC" w:rsidRDefault="00ED2536" w:rsidP="00ED2536">
            <w:pPr>
              <w:jc w:val="center"/>
              <w:rPr>
                <w:sz w:val="24"/>
              </w:rPr>
            </w:pPr>
            <w:r>
              <w:rPr>
                <w:sz w:val="24"/>
              </w:rPr>
              <w:t>299</w:t>
            </w:r>
          </w:p>
        </w:tc>
        <w:tc>
          <w:tcPr>
            <w:tcW w:w="1985" w:type="dxa"/>
            <w:tcBorders>
              <w:top w:val="single" w:sz="6" w:space="0" w:color="auto"/>
              <w:left w:val="single" w:sz="6" w:space="0" w:color="auto"/>
              <w:bottom w:val="single" w:sz="6" w:space="0" w:color="auto"/>
              <w:right w:val="single" w:sz="18" w:space="0" w:color="auto"/>
            </w:tcBorders>
          </w:tcPr>
          <w:p w14:paraId="7D0CCD9F" w14:textId="0447BD36" w:rsidR="00ED2536" w:rsidRPr="00231ABC" w:rsidRDefault="00ED2536" w:rsidP="00ED2536">
            <w:pPr>
              <w:jc w:val="center"/>
              <w:rPr>
                <w:sz w:val="24"/>
              </w:rPr>
            </w:pPr>
            <w:r>
              <w:rPr>
                <w:sz w:val="24"/>
              </w:rPr>
              <w:t>307</w:t>
            </w:r>
          </w:p>
        </w:tc>
      </w:tr>
      <w:tr w:rsidR="00ED2536" w:rsidRPr="00231ABC" w14:paraId="161396DC" w14:textId="77777777" w:rsidTr="00ED2536">
        <w:tc>
          <w:tcPr>
            <w:tcW w:w="3261" w:type="dxa"/>
            <w:tcBorders>
              <w:top w:val="single" w:sz="6" w:space="0" w:color="auto"/>
              <w:left w:val="single" w:sz="18" w:space="0" w:color="auto"/>
              <w:bottom w:val="single" w:sz="18" w:space="0" w:color="auto"/>
              <w:right w:val="single" w:sz="18" w:space="0" w:color="auto"/>
            </w:tcBorders>
          </w:tcPr>
          <w:p w14:paraId="03339E1A" w14:textId="77777777" w:rsidR="00ED2536" w:rsidRPr="00231ABC" w:rsidRDefault="00ED2536" w:rsidP="00ED2536">
            <w:pPr>
              <w:rPr>
                <w:sz w:val="24"/>
              </w:rPr>
            </w:pPr>
            <w:r w:rsidRPr="00231ABC">
              <w:rPr>
                <w:sz w:val="24"/>
              </w:rPr>
              <w:t>Území mimo kompaktní město</w:t>
            </w:r>
          </w:p>
        </w:tc>
        <w:tc>
          <w:tcPr>
            <w:tcW w:w="1842" w:type="dxa"/>
            <w:tcBorders>
              <w:top w:val="single" w:sz="6" w:space="0" w:color="auto"/>
              <w:left w:val="nil"/>
              <w:bottom w:val="single" w:sz="18" w:space="0" w:color="auto"/>
              <w:right w:val="single" w:sz="6" w:space="0" w:color="auto"/>
            </w:tcBorders>
          </w:tcPr>
          <w:p w14:paraId="6E44F63A" w14:textId="56C173E7" w:rsidR="00ED2536" w:rsidRPr="00231ABC" w:rsidRDefault="00ED2536" w:rsidP="00ED2536">
            <w:pPr>
              <w:jc w:val="center"/>
              <w:rPr>
                <w:sz w:val="24"/>
              </w:rPr>
            </w:pPr>
            <w:r>
              <w:rPr>
                <w:sz w:val="24"/>
              </w:rPr>
              <w:t>313</w:t>
            </w:r>
          </w:p>
        </w:tc>
        <w:tc>
          <w:tcPr>
            <w:tcW w:w="1843" w:type="dxa"/>
            <w:tcBorders>
              <w:top w:val="single" w:sz="6" w:space="0" w:color="auto"/>
              <w:left w:val="single" w:sz="6" w:space="0" w:color="auto"/>
              <w:bottom w:val="single" w:sz="18" w:space="0" w:color="auto"/>
              <w:right w:val="single" w:sz="6" w:space="0" w:color="auto"/>
            </w:tcBorders>
          </w:tcPr>
          <w:p w14:paraId="66A70469" w14:textId="7F66A188" w:rsidR="00ED2536" w:rsidRPr="00231ABC" w:rsidRDefault="00ED2536" w:rsidP="00ED2536">
            <w:pPr>
              <w:jc w:val="center"/>
              <w:rPr>
                <w:sz w:val="24"/>
              </w:rPr>
            </w:pPr>
            <w:r>
              <w:rPr>
                <w:sz w:val="24"/>
              </w:rPr>
              <w:t>75</w:t>
            </w:r>
          </w:p>
        </w:tc>
        <w:tc>
          <w:tcPr>
            <w:tcW w:w="1985" w:type="dxa"/>
            <w:tcBorders>
              <w:top w:val="single" w:sz="6" w:space="0" w:color="auto"/>
              <w:left w:val="single" w:sz="6" w:space="0" w:color="auto"/>
              <w:bottom w:val="single" w:sz="18" w:space="0" w:color="auto"/>
              <w:right w:val="single" w:sz="18" w:space="0" w:color="auto"/>
            </w:tcBorders>
          </w:tcPr>
          <w:p w14:paraId="30610BEF" w14:textId="5B3FBE7A" w:rsidR="00ED2536" w:rsidRPr="00231ABC" w:rsidRDefault="00ED2536" w:rsidP="00ED2536">
            <w:pPr>
              <w:jc w:val="center"/>
              <w:rPr>
                <w:sz w:val="24"/>
              </w:rPr>
            </w:pPr>
            <w:r>
              <w:rPr>
                <w:sz w:val="24"/>
              </w:rPr>
              <w:t>1 071</w:t>
            </w:r>
          </w:p>
        </w:tc>
      </w:tr>
    </w:tbl>
    <w:p w14:paraId="3A7FBECD" w14:textId="20F5E70D" w:rsidR="00D92EF3" w:rsidRPr="00231ABC" w:rsidRDefault="00D92EF3" w:rsidP="00D92EF3">
      <w:pPr>
        <w:pStyle w:val="Zhlav"/>
        <w:tabs>
          <w:tab w:val="clear" w:pos="4536"/>
          <w:tab w:val="clear" w:pos="9072"/>
        </w:tabs>
        <w:spacing w:before="120"/>
      </w:pPr>
      <w:r w:rsidRPr="00231ABC">
        <w:t>CM 20</w:t>
      </w:r>
      <w:r>
        <w:t>21</w:t>
      </w:r>
    </w:p>
    <w:tbl>
      <w:tblPr>
        <w:tblW w:w="0" w:type="auto"/>
        <w:tblInd w:w="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61"/>
        <w:gridCol w:w="1890"/>
        <w:gridCol w:w="1890"/>
        <w:gridCol w:w="1890"/>
      </w:tblGrid>
      <w:tr w:rsidR="00D92EF3" w:rsidRPr="00231ABC" w14:paraId="40467E2F" w14:textId="77777777" w:rsidTr="00200723">
        <w:trPr>
          <w:cantSplit/>
        </w:trPr>
        <w:tc>
          <w:tcPr>
            <w:tcW w:w="3261" w:type="dxa"/>
            <w:vMerge w:val="restart"/>
            <w:tcBorders>
              <w:top w:val="single" w:sz="18" w:space="0" w:color="auto"/>
              <w:left w:val="single" w:sz="18" w:space="0" w:color="auto"/>
              <w:right w:val="single" w:sz="18" w:space="0" w:color="auto"/>
            </w:tcBorders>
            <w:vAlign w:val="center"/>
          </w:tcPr>
          <w:p w14:paraId="51C7911E" w14:textId="77777777" w:rsidR="00D92EF3" w:rsidRPr="00231ABC" w:rsidRDefault="00D92EF3" w:rsidP="00200723">
            <w:pPr>
              <w:pStyle w:val="Nadpis1"/>
              <w:jc w:val="center"/>
              <w:rPr>
                <w:b/>
              </w:rPr>
            </w:pPr>
            <w:r w:rsidRPr="00231ABC">
              <w:rPr>
                <w:b/>
              </w:rPr>
              <w:t>Poloha</w:t>
            </w:r>
          </w:p>
        </w:tc>
        <w:tc>
          <w:tcPr>
            <w:tcW w:w="5670" w:type="dxa"/>
            <w:gridSpan w:val="3"/>
            <w:tcBorders>
              <w:top w:val="single" w:sz="18" w:space="0" w:color="auto"/>
              <w:left w:val="nil"/>
              <w:bottom w:val="nil"/>
              <w:right w:val="single" w:sz="18" w:space="0" w:color="auto"/>
            </w:tcBorders>
          </w:tcPr>
          <w:p w14:paraId="70171326" w14:textId="77777777" w:rsidR="00D92EF3" w:rsidRPr="00231ABC" w:rsidRDefault="00D92EF3" w:rsidP="00200723">
            <w:pPr>
              <w:jc w:val="center"/>
              <w:rPr>
                <w:b/>
                <w:sz w:val="24"/>
              </w:rPr>
            </w:pPr>
            <w:r w:rsidRPr="00231ABC">
              <w:rPr>
                <w:b/>
                <w:sz w:val="24"/>
              </w:rPr>
              <w:t>Kč/m</w:t>
            </w:r>
            <w:r w:rsidRPr="00231ABC">
              <w:rPr>
                <w:b/>
                <w:sz w:val="24"/>
                <w:vertAlign w:val="superscript"/>
              </w:rPr>
              <w:t>2</w:t>
            </w:r>
            <w:r w:rsidRPr="00231ABC">
              <w:rPr>
                <w:b/>
                <w:sz w:val="24"/>
              </w:rPr>
              <w:t xml:space="preserve"> </w:t>
            </w:r>
          </w:p>
        </w:tc>
      </w:tr>
      <w:tr w:rsidR="00D92EF3" w:rsidRPr="00231ABC" w14:paraId="00105AB9" w14:textId="77777777" w:rsidTr="00200723">
        <w:tc>
          <w:tcPr>
            <w:tcW w:w="3261" w:type="dxa"/>
            <w:vMerge/>
            <w:tcBorders>
              <w:left w:val="single" w:sz="18" w:space="0" w:color="auto"/>
              <w:bottom w:val="single" w:sz="18" w:space="0" w:color="auto"/>
              <w:right w:val="single" w:sz="18" w:space="0" w:color="auto"/>
            </w:tcBorders>
          </w:tcPr>
          <w:p w14:paraId="6B63A1C5" w14:textId="77777777" w:rsidR="00D92EF3" w:rsidRPr="00231ABC" w:rsidRDefault="00D92EF3" w:rsidP="00200723">
            <w:pPr>
              <w:pStyle w:val="Nadpis1"/>
            </w:pPr>
          </w:p>
        </w:tc>
        <w:tc>
          <w:tcPr>
            <w:tcW w:w="1890" w:type="dxa"/>
            <w:tcBorders>
              <w:top w:val="single" w:sz="12" w:space="0" w:color="auto"/>
              <w:left w:val="nil"/>
              <w:bottom w:val="single" w:sz="18" w:space="0" w:color="auto"/>
              <w:right w:val="single" w:sz="6" w:space="0" w:color="auto"/>
            </w:tcBorders>
          </w:tcPr>
          <w:p w14:paraId="6841F475" w14:textId="77777777" w:rsidR="00D92EF3" w:rsidRPr="00231ABC" w:rsidRDefault="00D92EF3" w:rsidP="00200723">
            <w:pPr>
              <w:jc w:val="center"/>
              <w:rPr>
                <w:b/>
                <w:sz w:val="24"/>
              </w:rPr>
            </w:pPr>
            <w:r w:rsidRPr="00231ABC">
              <w:rPr>
                <w:b/>
                <w:sz w:val="24"/>
              </w:rPr>
              <w:t>Průměrná cena</w:t>
            </w:r>
          </w:p>
        </w:tc>
        <w:tc>
          <w:tcPr>
            <w:tcW w:w="1890" w:type="dxa"/>
            <w:tcBorders>
              <w:top w:val="single" w:sz="12" w:space="0" w:color="auto"/>
              <w:left w:val="single" w:sz="6" w:space="0" w:color="auto"/>
              <w:bottom w:val="single" w:sz="18" w:space="0" w:color="auto"/>
              <w:right w:val="single" w:sz="6" w:space="0" w:color="auto"/>
            </w:tcBorders>
          </w:tcPr>
          <w:p w14:paraId="454C09F1" w14:textId="77777777" w:rsidR="00D92EF3" w:rsidRPr="00231ABC" w:rsidRDefault="00D92EF3" w:rsidP="00200723">
            <w:pPr>
              <w:jc w:val="center"/>
              <w:rPr>
                <w:b/>
                <w:sz w:val="24"/>
              </w:rPr>
            </w:pPr>
            <w:r w:rsidRPr="00231ABC">
              <w:rPr>
                <w:b/>
                <w:sz w:val="24"/>
              </w:rPr>
              <w:t>Minimální cena</w:t>
            </w:r>
          </w:p>
        </w:tc>
        <w:tc>
          <w:tcPr>
            <w:tcW w:w="1890" w:type="dxa"/>
            <w:tcBorders>
              <w:top w:val="single" w:sz="12" w:space="0" w:color="auto"/>
              <w:left w:val="single" w:sz="6" w:space="0" w:color="auto"/>
              <w:bottom w:val="single" w:sz="18" w:space="0" w:color="auto"/>
              <w:right w:val="single" w:sz="18" w:space="0" w:color="auto"/>
            </w:tcBorders>
          </w:tcPr>
          <w:p w14:paraId="11262970" w14:textId="77777777" w:rsidR="00D92EF3" w:rsidRPr="00231ABC" w:rsidRDefault="00D92EF3" w:rsidP="00200723">
            <w:pPr>
              <w:jc w:val="center"/>
              <w:rPr>
                <w:b/>
                <w:sz w:val="24"/>
              </w:rPr>
            </w:pPr>
            <w:r w:rsidRPr="00231ABC">
              <w:rPr>
                <w:b/>
                <w:sz w:val="24"/>
              </w:rPr>
              <w:t>Maximální cena</w:t>
            </w:r>
          </w:p>
        </w:tc>
      </w:tr>
      <w:tr w:rsidR="00D92EF3" w:rsidRPr="00231ABC" w14:paraId="57B2718A" w14:textId="77777777" w:rsidTr="00200723">
        <w:tc>
          <w:tcPr>
            <w:tcW w:w="3261" w:type="dxa"/>
            <w:tcBorders>
              <w:top w:val="nil"/>
              <w:left w:val="single" w:sz="18" w:space="0" w:color="auto"/>
              <w:bottom w:val="single" w:sz="6" w:space="0" w:color="auto"/>
              <w:right w:val="single" w:sz="18" w:space="0" w:color="auto"/>
            </w:tcBorders>
          </w:tcPr>
          <w:p w14:paraId="0E75250E" w14:textId="77777777" w:rsidR="00D92EF3" w:rsidRPr="00231ABC" w:rsidRDefault="00D92EF3" w:rsidP="00200723">
            <w:pPr>
              <w:rPr>
                <w:sz w:val="24"/>
              </w:rPr>
            </w:pPr>
            <w:r w:rsidRPr="00231ABC">
              <w:rPr>
                <w:sz w:val="24"/>
              </w:rPr>
              <w:t>Vnitřní město</w:t>
            </w:r>
          </w:p>
        </w:tc>
        <w:tc>
          <w:tcPr>
            <w:tcW w:w="1890" w:type="dxa"/>
            <w:tcBorders>
              <w:top w:val="nil"/>
              <w:left w:val="nil"/>
              <w:bottom w:val="single" w:sz="6" w:space="0" w:color="auto"/>
              <w:right w:val="single" w:sz="6" w:space="0" w:color="auto"/>
            </w:tcBorders>
          </w:tcPr>
          <w:p w14:paraId="3F1B4641" w14:textId="77777777" w:rsidR="00D92EF3" w:rsidRPr="00231ABC" w:rsidRDefault="00D92EF3" w:rsidP="00200723">
            <w:pPr>
              <w:jc w:val="center"/>
              <w:rPr>
                <w:sz w:val="24"/>
              </w:rPr>
            </w:pPr>
            <w:r w:rsidRPr="00231ABC">
              <w:rPr>
                <w:sz w:val="24"/>
              </w:rPr>
              <w:t>-</w:t>
            </w:r>
          </w:p>
        </w:tc>
        <w:tc>
          <w:tcPr>
            <w:tcW w:w="1890" w:type="dxa"/>
            <w:tcBorders>
              <w:top w:val="nil"/>
              <w:left w:val="single" w:sz="6" w:space="0" w:color="auto"/>
              <w:bottom w:val="single" w:sz="6" w:space="0" w:color="auto"/>
              <w:right w:val="single" w:sz="6" w:space="0" w:color="auto"/>
            </w:tcBorders>
          </w:tcPr>
          <w:p w14:paraId="14630DA4" w14:textId="77777777" w:rsidR="00D92EF3" w:rsidRPr="00231ABC" w:rsidRDefault="00D92EF3" w:rsidP="00200723">
            <w:pPr>
              <w:jc w:val="center"/>
              <w:rPr>
                <w:sz w:val="24"/>
              </w:rPr>
            </w:pPr>
            <w:r w:rsidRPr="00231ABC">
              <w:rPr>
                <w:sz w:val="24"/>
              </w:rPr>
              <w:t>-</w:t>
            </w:r>
          </w:p>
        </w:tc>
        <w:tc>
          <w:tcPr>
            <w:tcW w:w="1890" w:type="dxa"/>
            <w:tcBorders>
              <w:top w:val="nil"/>
              <w:left w:val="single" w:sz="6" w:space="0" w:color="auto"/>
              <w:bottom w:val="single" w:sz="6" w:space="0" w:color="auto"/>
              <w:right w:val="single" w:sz="18" w:space="0" w:color="auto"/>
            </w:tcBorders>
          </w:tcPr>
          <w:p w14:paraId="370F0EAA" w14:textId="77777777" w:rsidR="00D92EF3" w:rsidRPr="00231ABC" w:rsidRDefault="00D92EF3" w:rsidP="00200723">
            <w:pPr>
              <w:jc w:val="center"/>
              <w:rPr>
                <w:sz w:val="24"/>
              </w:rPr>
            </w:pPr>
            <w:r w:rsidRPr="00231ABC">
              <w:rPr>
                <w:sz w:val="24"/>
              </w:rPr>
              <w:t>-</w:t>
            </w:r>
          </w:p>
        </w:tc>
      </w:tr>
      <w:tr w:rsidR="00D92EF3" w:rsidRPr="00231ABC" w14:paraId="1AB031A1" w14:textId="77777777" w:rsidTr="00200723">
        <w:tc>
          <w:tcPr>
            <w:tcW w:w="3261" w:type="dxa"/>
            <w:tcBorders>
              <w:top w:val="single" w:sz="6" w:space="0" w:color="auto"/>
              <w:left w:val="single" w:sz="18" w:space="0" w:color="auto"/>
              <w:bottom w:val="single" w:sz="6" w:space="0" w:color="auto"/>
              <w:right w:val="single" w:sz="18" w:space="0" w:color="auto"/>
            </w:tcBorders>
          </w:tcPr>
          <w:p w14:paraId="73BA968B" w14:textId="77777777" w:rsidR="00D92EF3" w:rsidRPr="00231ABC" w:rsidRDefault="00D92EF3" w:rsidP="00200723">
            <w:pPr>
              <w:rPr>
                <w:sz w:val="24"/>
              </w:rPr>
            </w:pPr>
            <w:r w:rsidRPr="00231ABC">
              <w:rPr>
                <w:sz w:val="24"/>
              </w:rPr>
              <w:t>Okrajová část vnitřního města</w:t>
            </w:r>
          </w:p>
        </w:tc>
        <w:tc>
          <w:tcPr>
            <w:tcW w:w="1890" w:type="dxa"/>
            <w:tcBorders>
              <w:top w:val="single" w:sz="6" w:space="0" w:color="auto"/>
              <w:left w:val="nil"/>
              <w:bottom w:val="single" w:sz="6" w:space="0" w:color="auto"/>
              <w:right w:val="single" w:sz="6" w:space="0" w:color="auto"/>
            </w:tcBorders>
          </w:tcPr>
          <w:p w14:paraId="582E4369" w14:textId="33B9E599" w:rsidR="00D92EF3" w:rsidRPr="00231ABC" w:rsidRDefault="00D92EF3" w:rsidP="00D92EF3">
            <w:pPr>
              <w:jc w:val="center"/>
              <w:rPr>
                <w:sz w:val="24"/>
              </w:rPr>
            </w:pPr>
            <w:r>
              <w:rPr>
                <w:sz w:val="24"/>
              </w:rPr>
              <w:t>540</w:t>
            </w:r>
          </w:p>
        </w:tc>
        <w:tc>
          <w:tcPr>
            <w:tcW w:w="1890" w:type="dxa"/>
            <w:tcBorders>
              <w:top w:val="single" w:sz="6" w:space="0" w:color="auto"/>
              <w:left w:val="single" w:sz="6" w:space="0" w:color="auto"/>
              <w:bottom w:val="single" w:sz="6" w:space="0" w:color="auto"/>
              <w:right w:val="single" w:sz="6" w:space="0" w:color="auto"/>
            </w:tcBorders>
          </w:tcPr>
          <w:p w14:paraId="01DD0929" w14:textId="1ED587D2" w:rsidR="00D92EF3" w:rsidRPr="00231ABC" w:rsidRDefault="00D92EF3" w:rsidP="00D92EF3">
            <w:pPr>
              <w:jc w:val="center"/>
              <w:rPr>
                <w:sz w:val="24"/>
              </w:rPr>
            </w:pPr>
            <w:r>
              <w:rPr>
                <w:sz w:val="24"/>
              </w:rPr>
              <w:t>144</w:t>
            </w:r>
          </w:p>
        </w:tc>
        <w:tc>
          <w:tcPr>
            <w:tcW w:w="1890" w:type="dxa"/>
            <w:tcBorders>
              <w:top w:val="single" w:sz="6" w:space="0" w:color="auto"/>
              <w:left w:val="single" w:sz="6" w:space="0" w:color="auto"/>
              <w:bottom w:val="single" w:sz="6" w:space="0" w:color="auto"/>
              <w:right w:val="single" w:sz="18" w:space="0" w:color="auto"/>
            </w:tcBorders>
          </w:tcPr>
          <w:p w14:paraId="17B52098" w14:textId="0862E72A" w:rsidR="00D92EF3" w:rsidRPr="00231ABC" w:rsidRDefault="00D92EF3" w:rsidP="00D92EF3">
            <w:pPr>
              <w:jc w:val="center"/>
              <w:rPr>
                <w:sz w:val="24"/>
              </w:rPr>
            </w:pPr>
            <w:r>
              <w:rPr>
                <w:sz w:val="24"/>
              </w:rPr>
              <w:t>2 723</w:t>
            </w:r>
          </w:p>
        </w:tc>
      </w:tr>
      <w:tr w:rsidR="00D92EF3" w:rsidRPr="00231ABC" w14:paraId="3A19A372" w14:textId="77777777" w:rsidTr="00200723">
        <w:tc>
          <w:tcPr>
            <w:tcW w:w="3261" w:type="dxa"/>
            <w:tcBorders>
              <w:top w:val="single" w:sz="6" w:space="0" w:color="auto"/>
              <w:left w:val="single" w:sz="18" w:space="0" w:color="auto"/>
              <w:bottom w:val="single" w:sz="6" w:space="0" w:color="auto"/>
              <w:right w:val="single" w:sz="18" w:space="0" w:color="auto"/>
            </w:tcBorders>
          </w:tcPr>
          <w:p w14:paraId="746C9FC3" w14:textId="77777777" w:rsidR="00D92EF3" w:rsidRPr="00231ABC" w:rsidRDefault="00D92EF3" w:rsidP="00200723">
            <w:pPr>
              <w:rPr>
                <w:sz w:val="24"/>
              </w:rPr>
            </w:pPr>
            <w:r w:rsidRPr="00231ABC">
              <w:rPr>
                <w:sz w:val="24"/>
              </w:rPr>
              <w:t>Průmyslové části</w:t>
            </w:r>
          </w:p>
        </w:tc>
        <w:tc>
          <w:tcPr>
            <w:tcW w:w="1890" w:type="dxa"/>
            <w:tcBorders>
              <w:top w:val="single" w:sz="6" w:space="0" w:color="auto"/>
              <w:left w:val="nil"/>
              <w:bottom w:val="single" w:sz="6" w:space="0" w:color="auto"/>
              <w:right w:val="single" w:sz="6" w:space="0" w:color="auto"/>
            </w:tcBorders>
          </w:tcPr>
          <w:p w14:paraId="0639F77A" w14:textId="77777777" w:rsidR="00D92EF3" w:rsidRPr="00231ABC" w:rsidRDefault="00D92EF3" w:rsidP="00200723">
            <w:pPr>
              <w:jc w:val="center"/>
              <w:rPr>
                <w:sz w:val="24"/>
              </w:rPr>
            </w:pPr>
            <w:r w:rsidRPr="00231ABC">
              <w:rPr>
                <w:sz w:val="24"/>
              </w:rPr>
              <w:t>-</w:t>
            </w:r>
          </w:p>
        </w:tc>
        <w:tc>
          <w:tcPr>
            <w:tcW w:w="1890" w:type="dxa"/>
            <w:tcBorders>
              <w:top w:val="single" w:sz="6" w:space="0" w:color="auto"/>
              <w:left w:val="single" w:sz="6" w:space="0" w:color="auto"/>
              <w:bottom w:val="single" w:sz="6" w:space="0" w:color="auto"/>
              <w:right w:val="single" w:sz="6" w:space="0" w:color="auto"/>
            </w:tcBorders>
          </w:tcPr>
          <w:p w14:paraId="78D7AB8E" w14:textId="77777777" w:rsidR="00D92EF3" w:rsidRPr="00231ABC" w:rsidRDefault="00D92EF3" w:rsidP="00200723">
            <w:pPr>
              <w:jc w:val="center"/>
              <w:rPr>
                <w:sz w:val="24"/>
              </w:rPr>
            </w:pPr>
            <w:r w:rsidRPr="00231ABC">
              <w:rPr>
                <w:sz w:val="24"/>
              </w:rPr>
              <w:t>-</w:t>
            </w:r>
          </w:p>
        </w:tc>
        <w:tc>
          <w:tcPr>
            <w:tcW w:w="1890" w:type="dxa"/>
            <w:tcBorders>
              <w:top w:val="single" w:sz="6" w:space="0" w:color="auto"/>
              <w:left w:val="single" w:sz="6" w:space="0" w:color="auto"/>
              <w:bottom w:val="single" w:sz="6" w:space="0" w:color="auto"/>
              <w:right w:val="single" w:sz="18" w:space="0" w:color="auto"/>
            </w:tcBorders>
          </w:tcPr>
          <w:p w14:paraId="04DD552F" w14:textId="77777777" w:rsidR="00D92EF3" w:rsidRPr="00231ABC" w:rsidRDefault="00D92EF3" w:rsidP="00200723">
            <w:pPr>
              <w:jc w:val="center"/>
              <w:rPr>
                <w:sz w:val="24"/>
              </w:rPr>
            </w:pPr>
            <w:r w:rsidRPr="00231ABC">
              <w:rPr>
                <w:sz w:val="24"/>
              </w:rPr>
              <w:t>-</w:t>
            </w:r>
          </w:p>
        </w:tc>
      </w:tr>
      <w:tr w:rsidR="00D92EF3" w:rsidRPr="00231ABC" w14:paraId="6BDBCDAC" w14:textId="77777777" w:rsidTr="00200723">
        <w:tc>
          <w:tcPr>
            <w:tcW w:w="3261" w:type="dxa"/>
            <w:tcBorders>
              <w:top w:val="single" w:sz="6" w:space="0" w:color="auto"/>
              <w:left w:val="single" w:sz="18" w:space="0" w:color="auto"/>
              <w:bottom w:val="single" w:sz="18" w:space="0" w:color="auto"/>
              <w:right w:val="single" w:sz="18" w:space="0" w:color="auto"/>
            </w:tcBorders>
          </w:tcPr>
          <w:p w14:paraId="04A02F2C" w14:textId="77777777" w:rsidR="00D92EF3" w:rsidRPr="00231ABC" w:rsidRDefault="00D92EF3" w:rsidP="00200723">
            <w:pPr>
              <w:rPr>
                <w:sz w:val="24"/>
              </w:rPr>
            </w:pPr>
            <w:r w:rsidRPr="00231ABC">
              <w:rPr>
                <w:sz w:val="24"/>
              </w:rPr>
              <w:t>Území mimo kompaktní město</w:t>
            </w:r>
          </w:p>
        </w:tc>
        <w:tc>
          <w:tcPr>
            <w:tcW w:w="1890" w:type="dxa"/>
            <w:tcBorders>
              <w:top w:val="single" w:sz="6" w:space="0" w:color="auto"/>
              <w:left w:val="nil"/>
              <w:bottom w:val="single" w:sz="18" w:space="0" w:color="auto"/>
              <w:right w:val="single" w:sz="6" w:space="0" w:color="auto"/>
            </w:tcBorders>
          </w:tcPr>
          <w:p w14:paraId="103E6DE6" w14:textId="4CABBD07" w:rsidR="00D92EF3" w:rsidRPr="00231ABC" w:rsidRDefault="00D92EF3" w:rsidP="00D92EF3">
            <w:pPr>
              <w:jc w:val="center"/>
              <w:rPr>
                <w:sz w:val="24"/>
              </w:rPr>
            </w:pPr>
            <w:r>
              <w:rPr>
                <w:sz w:val="24"/>
              </w:rPr>
              <w:t>569</w:t>
            </w:r>
          </w:p>
        </w:tc>
        <w:tc>
          <w:tcPr>
            <w:tcW w:w="1890" w:type="dxa"/>
            <w:tcBorders>
              <w:top w:val="single" w:sz="6" w:space="0" w:color="auto"/>
              <w:left w:val="single" w:sz="6" w:space="0" w:color="auto"/>
              <w:bottom w:val="single" w:sz="18" w:space="0" w:color="auto"/>
              <w:right w:val="single" w:sz="6" w:space="0" w:color="auto"/>
            </w:tcBorders>
          </w:tcPr>
          <w:p w14:paraId="460ACBE6" w14:textId="0A0FAE03" w:rsidR="00D92EF3" w:rsidRPr="00231ABC" w:rsidRDefault="00D92EF3" w:rsidP="00D92EF3">
            <w:pPr>
              <w:jc w:val="center"/>
              <w:rPr>
                <w:sz w:val="24"/>
              </w:rPr>
            </w:pPr>
            <w:r>
              <w:rPr>
                <w:sz w:val="24"/>
              </w:rPr>
              <w:t>211</w:t>
            </w:r>
          </w:p>
        </w:tc>
        <w:tc>
          <w:tcPr>
            <w:tcW w:w="1890" w:type="dxa"/>
            <w:tcBorders>
              <w:top w:val="single" w:sz="6" w:space="0" w:color="auto"/>
              <w:left w:val="single" w:sz="6" w:space="0" w:color="auto"/>
              <w:bottom w:val="single" w:sz="18" w:space="0" w:color="auto"/>
              <w:right w:val="single" w:sz="18" w:space="0" w:color="auto"/>
            </w:tcBorders>
          </w:tcPr>
          <w:p w14:paraId="273D0B00" w14:textId="7C49A95D" w:rsidR="00D92EF3" w:rsidRPr="00231ABC" w:rsidRDefault="00D92EF3" w:rsidP="00D92EF3">
            <w:pPr>
              <w:jc w:val="center"/>
              <w:rPr>
                <w:sz w:val="24"/>
              </w:rPr>
            </w:pPr>
            <w:r>
              <w:rPr>
                <w:sz w:val="24"/>
              </w:rPr>
              <w:t>1 474</w:t>
            </w:r>
          </w:p>
        </w:tc>
      </w:tr>
    </w:tbl>
    <w:p w14:paraId="207E0F3F" w14:textId="5E85C1F1" w:rsidR="00344957" w:rsidRPr="00231ABC" w:rsidRDefault="00344957" w:rsidP="00344957">
      <w:pPr>
        <w:pStyle w:val="Zhlav"/>
        <w:tabs>
          <w:tab w:val="clear" w:pos="4536"/>
          <w:tab w:val="clear" w:pos="9072"/>
        </w:tabs>
        <w:spacing w:before="120"/>
      </w:pPr>
      <w:r w:rsidRPr="00231ABC">
        <w:t>CM 20</w:t>
      </w:r>
      <w:r>
        <w:t>22</w:t>
      </w: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61"/>
        <w:gridCol w:w="1842"/>
        <w:gridCol w:w="1843"/>
        <w:gridCol w:w="1985"/>
      </w:tblGrid>
      <w:tr w:rsidR="00344957" w:rsidRPr="00231ABC" w14:paraId="11A2B0C7" w14:textId="77777777" w:rsidTr="00344957">
        <w:trPr>
          <w:cantSplit/>
        </w:trPr>
        <w:tc>
          <w:tcPr>
            <w:tcW w:w="3261" w:type="dxa"/>
            <w:vMerge w:val="restart"/>
            <w:tcBorders>
              <w:top w:val="single" w:sz="18" w:space="0" w:color="auto"/>
              <w:left w:val="single" w:sz="18" w:space="0" w:color="auto"/>
              <w:right w:val="single" w:sz="18" w:space="0" w:color="auto"/>
            </w:tcBorders>
            <w:vAlign w:val="center"/>
          </w:tcPr>
          <w:p w14:paraId="1F1BA05B" w14:textId="77777777" w:rsidR="00344957" w:rsidRPr="00231ABC" w:rsidRDefault="00344957" w:rsidP="00344957">
            <w:pPr>
              <w:pStyle w:val="Nadpis1"/>
              <w:jc w:val="center"/>
              <w:rPr>
                <w:b/>
              </w:rPr>
            </w:pPr>
            <w:r w:rsidRPr="00231ABC">
              <w:rPr>
                <w:b/>
              </w:rPr>
              <w:t>Poloha</w:t>
            </w:r>
          </w:p>
        </w:tc>
        <w:tc>
          <w:tcPr>
            <w:tcW w:w="5670" w:type="dxa"/>
            <w:gridSpan w:val="3"/>
            <w:tcBorders>
              <w:top w:val="single" w:sz="18" w:space="0" w:color="auto"/>
              <w:left w:val="nil"/>
              <w:bottom w:val="nil"/>
              <w:right w:val="single" w:sz="18" w:space="0" w:color="auto"/>
            </w:tcBorders>
          </w:tcPr>
          <w:p w14:paraId="01E38CF1" w14:textId="77777777" w:rsidR="00344957" w:rsidRPr="00231ABC" w:rsidRDefault="00344957" w:rsidP="00344957">
            <w:pPr>
              <w:jc w:val="center"/>
              <w:rPr>
                <w:b/>
                <w:sz w:val="24"/>
              </w:rPr>
            </w:pPr>
            <w:r w:rsidRPr="00231ABC">
              <w:rPr>
                <w:b/>
                <w:sz w:val="24"/>
              </w:rPr>
              <w:t>Kč/m</w:t>
            </w:r>
            <w:r w:rsidRPr="00231ABC">
              <w:rPr>
                <w:b/>
                <w:sz w:val="24"/>
                <w:vertAlign w:val="superscript"/>
              </w:rPr>
              <w:t>2</w:t>
            </w:r>
            <w:r w:rsidRPr="00231ABC">
              <w:rPr>
                <w:b/>
                <w:sz w:val="24"/>
              </w:rPr>
              <w:t xml:space="preserve"> </w:t>
            </w:r>
          </w:p>
        </w:tc>
      </w:tr>
      <w:tr w:rsidR="00344957" w:rsidRPr="00231ABC" w14:paraId="2246880F" w14:textId="77777777" w:rsidTr="00344957">
        <w:tc>
          <w:tcPr>
            <w:tcW w:w="3261" w:type="dxa"/>
            <w:vMerge/>
            <w:tcBorders>
              <w:left w:val="single" w:sz="18" w:space="0" w:color="auto"/>
              <w:bottom w:val="single" w:sz="18" w:space="0" w:color="auto"/>
              <w:right w:val="single" w:sz="18" w:space="0" w:color="auto"/>
            </w:tcBorders>
          </w:tcPr>
          <w:p w14:paraId="296470C1" w14:textId="77777777" w:rsidR="00344957" w:rsidRPr="00231ABC" w:rsidRDefault="00344957" w:rsidP="00344957">
            <w:pPr>
              <w:pStyle w:val="Nadpis1"/>
            </w:pPr>
          </w:p>
        </w:tc>
        <w:tc>
          <w:tcPr>
            <w:tcW w:w="1842" w:type="dxa"/>
            <w:tcBorders>
              <w:top w:val="single" w:sz="12" w:space="0" w:color="auto"/>
              <w:left w:val="nil"/>
              <w:bottom w:val="single" w:sz="18" w:space="0" w:color="auto"/>
              <w:right w:val="single" w:sz="6" w:space="0" w:color="auto"/>
            </w:tcBorders>
          </w:tcPr>
          <w:p w14:paraId="0D4657E9" w14:textId="77777777" w:rsidR="00344957" w:rsidRPr="00231ABC" w:rsidRDefault="00344957" w:rsidP="00344957">
            <w:pPr>
              <w:jc w:val="center"/>
              <w:rPr>
                <w:b/>
                <w:sz w:val="24"/>
              </w:rPr>
            </w:pPr>
            <w:r w:rsidRPr="00231ABC">
              <w:rPr>
                <w:b/>
                <w:sz w:val="24"/>
              </w:rPr>
              <w:t>Průměrná cena</w:t>
            </w:r>
          </w:p>
        </w:tc>
        <w:tc>
          <w:tcPr>
            <w:tcW w:w="1843" w:type="dxa"/>
            <w:tcBorders>
              <w:top w:val="single" w:sz="12" w:space="0" w:color="auto"/>
              <w:left w:val="single" w:sz="6" w:space="0" w:color="auto"/>
              <w:bottom w:val="single" w:sz="18" w:space="0" w:color="auto"/>
              <w:right w:val="single" w:sz="6" w:space="0" w:color="auto"/>
            </w:tcBorders>
          </w:tcPr>
          <w:p w14:paraId="5EA7372C" w14:textId="77777777" w:rsidR="00344957" w:rsidRPr="00231ABC" w:rsidRDefault="00344957" w:rsidP="00344957">
            <w:pPr>
              <w:jc w:val="center"/>
              <w:rPr>
                <w:b/>
                <w:sz w:val="24"/>
              </w:rPr>
            </w:pPr>
            <w:r w:rsidRPr="00231ABC">
              <w:rPr>
                <w:b/>
                <w:sz w:val="24"/>
              </w:rPr>
              <w:t>Minimální cena</w:t>
            </w:r>
          </w:p>
        </w:tc>
        <w:tc>
          <w:tcPr>
            <w:tcW w:w="1985" w:type="dxa"/>
            <w:tcBorders>
              <w:top w:val="single" w:sz="12" w:space="0" w:color="auto"/>
              <w:left w:val="single" w:sz="6" w:space="0" w:color="auto"/>
              <w:bottom w:val="single" w:sz="18" w:space="0" w:color="auto"/>
              <w:right w:val="single" w:sz="18" w:space="0" w:color="auto"/>
            </w:tcBorders>
          </w:tcPr>
          <w:p w14:paraId="4FFC6F4C" w14:textId="77777777" w:rsidR="00344957" w:rsidRPr="00231ABC" w:rsidRDefault="00344957" w:rsidP="00344957">
            <w:pPr>
              <w:jc w:val="center"/>
              <w:rPr>
                <w:b/>
                <w:sz w:val="24"/>
              </w:rPr>
            </w:pPr>
            <w:r w:rsidRPr="00231ABC">
              <w:rPr>
                <w:b/>
                <w:sz w:val="24"/>
              </w:rPr>
              <w:t>Maximální cena</w:t>
            </w:r>
          </w:p>
        </w:tc>
      </w:tr>
      <w:tr w:rsidR="00344957" w:rsidRPr="00231ABC" w14:paraId="1F30DDF3" w14:textId="77777777" w:rsidTr="00344957">
        <w:tc>
          <w:tcPr>
            <w:tcW w:w="3261" w:type="dxa"/>
            <w:tcBorders>
              <w:top w:val="nil"/>
              <w:left w:val="single" w:sz="18" w:space="0" w:color="auto"/>
              <w:bottom w:val="single" w:sz="6" w:space="0" w:color="auto"/>
              <w:right w:val="single" w:sz="18" w:space="0" w:color="auto"/>
            </w:tcBorders>
          </w:tcPr>
          <w:p w14:paraId="06DE6BF0" w14:textId="77777777" w:rsidR="00344957" w:rsidRPr="00231ABC" w:rsidRDefault="00344957" w:rsidP="00344957">
            <w:pPr>
              <w:rPr>
                <w:sz w:val="24"/>
              </w:rPr>
            </w:pPr>
            <w:r w:rsidRPr="00231ABC">
              <w:rPr>
                <w:sz w:val="24"/>
              </w:rPr>
              <w:t>Vnitřní město</w:t>
            </w:r>
          </w:p>
        </w:tc>
        <w:tc>
          <w:tcPr>
            <w:tcW w:w="1842" w:type="dxa"/>
            <w:tcBorders>
              <w:top w:val="nil"/>
              <w:left w:val="nil"/>
              <w:bottom w:val="single" w:sz="6" w:space="0" w:color="auto"/>
              <w:right w:val="single" w:sz="6" w:space="0" w:color="auto"/>
            </w:tcBorders>
          </w:tcPr>
          <w:p w14:paraId="1DDF8A6A" w14:textId="77777777" w:rsidR="00344957" w:rsidRPr="00231ABC" w:rsidRDefault="00344957" w:rsidP="00344957">
            <w:pPr>
              <w:jc w:val="center"/>
              <w:rPr>
                <w:sz w:val="24"/>
              </w:rPr>
            </w:pPr>
            <w:r w:rsidRPr="00231ABC">
              <w:rPr>
                <w:sz w:val="24"/>
              </w:rPr>
              <w:t>-</w:t>
            </w:r>
          </w:p>
        </w:tc>
        <w:tc>
          <w:tcPr>
            <w:tcW w:w="1843" w:type="dxa"/>
            <w:tcBorders>
              <w:top w:val="nil"/>
              <w:left w:val="single" w:sz="6" w:space="0" w:color="auto"/>
              <w:bottom w:val="single" w:sz="6" w:space="0" w:color="auto"/>
              <w:right w:val="single" w:sz="6" w:space="0" w:color="auto"/>
            </w:tcBorders>
          </w:tcPr>
          <w:p w14:paraId="23CDCF23" w14:textId="77777777" w:rsidR="00344957" w:rsidRPr="00231ABC" w:rsidRDefault="00344957" w:rsidP="00344957">
            <w:pPr>
              <w:jc w:val="center"/>
              <w:rPr>
                <w:sz w:val="24"/>
              </w:rPr>
            </w:pPr>
            <w:r w:rsidRPr="00231ABC">
              <w:rPr>
                <w:sz w:val="24"/>
              </w:rPr>
              <w:t>-</w:t>
            </w:r>
          </w:p>
        </w:tc>
        <w:tc>
          <w:tcPr>
            <w:tcW w:w="1985" w:type="dxa"/>
            <w:tcBorders>
              <w:top w:val="nil"/>
              <w:left w:val="single" w:sz="6" w:space="0" w:color="auto"/>
              <w:bottom w:val="single" w:sz="6" w:space="0" w:color="auto"/>
              <w:right w:val="single" w:sz="18" w:space="0" w:color="auto"/>
            </w:tcBorders>
          </w:tcPr>
          <w:p w14:paraId="29904842" w14:textId="77777777" w:rsidR="00344957" w:rsidRPr="00231ABC" w:rsidRDefault="00344957" w:rsidP="00344957">
            <w:pPr>
              <w:jc w:val="center"/>
              <w:rPr>
                <w:sz w:val="24"/>
              </w:rPr>
            </w:pPr>
            <w:r w:rsidRPr="00231ABC">
              <w:rPr>
                <w:sz w:val="24"/>
              </w:rPr>
              <w:t>-</w:t>
            </w:r>
          </w:p>
        </w:tc>
      </w:tr>
      <w:tr w:rsidR="00344957" w:rsidRPr="00231ABC" w14:paraId="3982C252" w14:textId="77777777" w:rsidTr="00344957">
        <w:tc>
          <w:tcPr>
            <w:tcW w:w="3261" w:type="dxa"/>
            <w:tcBorders>
              <w:top w:val="single" w:sz="6" w:space="0" w:color="auto"/>
              <w:left w:val="single" w:sz="18" w:space="0" w:color="auto"/>
              <w:bottom w:val="single" w:sz="6" w:space="0" w:color="auto"/>
              <w:right w:val="single" w:sz="18" w:space="0" w:color="auto"/>
            </w:tcBorders>
          </w:tcPr>
          <w:p w14:paraId="30BF822E" w14:textId="77777777" w:rsidR="00344957" w:rsidRPr="00231ABC" w:rsidRDefault="00344957" w:rsidP="00344957">
            <w:pPr>
              <w:rPr>
                <w:sz w:val="24"/>
              </w:rPr>
            </w:pPr>
            <w:r w:rsidRPr="00231ABC">
              <w:rPr>
                <w:sz w:val="24"/>
              </w:rPr>
              <w:t>Okrajová část vnitřního města</w:t>
            </w:r>
          </w:p>
        </w:tc>
        <w:tc>
          <w:tcPr>
            <w:tcW w:w="1842" w:type="dxa"/>
            <w:tcBorders>
              <w:top w:val="single" w:sz="6" w:space="0" w:color="auto"/>
              <w:left w:val="nil"/>
              <w:bottom w:val="single" w:sz="6" w:space="0" w:color="auto"/>
              <w:right w:val="single" w:sz="6" w:space="0" w:color="auto"/>
            </w:tcBorders>
          </w:tcPr>
          <w:p w14:paraId="3DF1DC74" w14:textId="041C18A8" w:rsidR="00344957" w:rsidRPr="00231ABC" w:rsidRDefault="00344957" w:rsidP="00344957">
            <w:pPr>
              <w:jc w:val="center"/>
              <w:rPr>
                <w:sz w:val="24"/>
              </w:rPr>
            </w:pPr>
            <w:r>
              <w:rPr>
                <w:sz w:val="24"/>
              </w:rPr>
              <w:t>9</w:t>
            </w:r>
            <w:r w:rsidR="009B1A71">
              <w:rPr>
                <w:sz w:val="24"/>
              </w:rPr>
              <w:t>28</w:t>
            </w:r>
          </w:p>
        </w:tc>
        <w:tc>
          <w:tcPr>
            <w:tcW w:w="1843" w:type="dxa"/>
            <w:tcBorders>
              <w:top w:val="single" w:sz="6" w:space="0" w:color="auto"/>
              <w:left w:val="single" w:sz="6" w:space="0" w:color="auto"/>
              <w:bottom w:val="single" w:sz="6" w:space="0" w:color="auto"/>
              <w:right w:val="single" w:sz="6" w:space="0" w:color="auto"/>
            </w:tcBorders>
          </w:tcPr>
          <w:p w14:paraId="02A31B65" w14:textId="65BE6DBA" w:rsidR="00344957" w:rsidRPr="00231ABC" w:rsidRDefault="009B1A71" w:rsidP="00344957">
            <w:pPr>
              <w:jc w:val="center"/>
              <w:rPr>
                <w:sz w:val="24"/>
              </w:rPr>
            </w:pPr>
            <w:r>
              <w:rPr>
                <w:sz w:val="24"/>
              </w:rPr>
              <w:t>59</w:t>
            </w:r>
          </w:p>
        </w:tc>
        <w:tc>
          <w:tcPr>
            <w:tcW w:w="1985" w:type="dxa"/>
            <w:tcBorders>
              <w:top w:val="single" w:sz="6" w:space="0" w:color="auto"/>
              <w:left w:val="single" w:sz="6" w:space="0" w:color="auto"/>
              <w:bottom w:val="single" w:sz="6" w:space="0" w:color="auto"/>
              <w:right w:val="single" w:sz="18" w:space="0" w:color="auto"/>
            </w:tcBorders>
          </w:tcPr>
          <w:p w14:paraId="465EAF95" w14:textId="65972727" w:rsidR="00344957" w:rsidRPr="00231ABC" w:rsidRDefault="009B1A71" w:rsidP="009B1A71">
            <w:pPr>
              <w:jc w:val="center"/>
              <w:rPr>
                <w:sz w:val="24"/>
              </w:rPr>
            </w:pPr>
            <w:r>
              <w:rPr>
                <w:sz w:val="24"/>
              </w:rPr>
              <w:t>3</w:t>
            </w:r>
            <w:r w:rsidR="00344957">
              <w:rPr>
                <w:sz w:val="24"/>
              </w:rPr>
              <w:t xml:space="preserve"> </w:t>
            </w:r>
            <w:r>
              <w:rPr>
                <w:sz w:val="24"/>
              </w:rPr>
              <w:t>116</w:t>
            </w:r>
          </w:p>
        </w:tc>
      </w:tr>
      <w:tr w:rsidR="00344957" w:rsidRPr="00231ABC" w14:paraId="4BC1B532" w14:textId="77777777" w:rsidTr="00344957">
        <w:tc>
          <w:tcPr>
            <w:tcW w:w="3261" w:type="dxa"/>
            <w:tcBorders>
              <w:top w:val="single" w:sz="6" w:space="0" w:color="auto"/>
              <w:left w:val="single" w:sz="18" w:space="0" w:color="auto"/>
              <w:bottom w:val="single" w:sz="6" w:space="0" w:color="auto"/>
              <w:right w:val="single" w:sz="18" w:space="0" w:color="auto"/>
            </w:tcBorders>
          </w:tcPr>
          <w:p w14:paraId="68659070" w14:textId="77777777" w:rsidR="00344957" w:rsidRPr="00231ABC" w:rsidRDefault="00344957" w:rsidP="00344957">
            <w:pPr>
              <w:rPr>
                <w:sz w:val="24"/>
              </w:rPr>
            </w:pPr>
            <w:r w:rsidRPr="00231ABC">
              <w:rPr>
                <w:sz w:val="24"/>
              </w:rPr>
              <w:t>Průmyslové části</w:t>
            </w:r>
          </w:p>
        </w:tc>
        <w:tc>
          <w:tcPr>
            <w:tcW w:w="1842" w:type="dxa"/>
            <w:tcBorders>
              <w:top w:val="single" w:sz="6" w:space="0" w:color="auto"/>
              <w:left w:val="nil"/>
              <w:bottom w:val="single" w:sz="6" w:space="0" w:color="auto"/>
              <w:right w:val="single" w:sz="6" w:space="0" w:color="auto"/>
            </w:tcBorders>
          </w:tcPr>
          <w:p w14:paraId="1B6311ED" w14:textId="77777777" w:rsidR="00344957" w:rsidRPr="00231ABC" w:rsidRDefault="00344957" w:rsidP="00344957">
            <w:pPr>
              <w:jc w:val="center"/>
              <w:rPr>
                <w:sz w:val="24"/>
              </w:rPr>
            </w:pPr>
            <w:r w:rsidRPr="00231ABC">
              <w:rPr>
                <w:sz w:val="24"/>
              </w:rPr>
              <w:t>-</w:t>
            </w:r>
          </w:p>
        </w:tc>
        <w:tc>
          <w:tcPr>
            <w:tcW w:w="1843" w:type="dxa"/>
            <w:tcBorders>
              <w:top w:val="single" w:sz="6" w:space="0" w:color="auto"/>
              <w:left w:val="single" w:sz="6" w:space="0" w:color="auto"/>
              <w:bottom w:val="single" w:sz="6" w:space="0" w:color="auto"/>
              <w:right w:val="single" w:sz="6" w:space="0" w:color="auto"/>
            </w:tcBorders>
          </w:tcPr>
          <w:p w14:paraId="42B36087" w14:textId="77777777" w:rsidR="00344957" w:rsidRPr="00231ABC" w:rsidRDefault="00344957" w:rsidP="00344957">
            <w:pPr>
              <w:jc w:val="center"/>
              <w:rPr>
                <w:sz w:val="24"/>
              </w:rPr>
            </w:pPr>
            <w:r w:rsidRPr="00231ABC">
              <w:rPr>
                <w:sz w:val="24"/>
              </w:rPr>
              <w:t>-</w:t>
            </w:r>
          </w:p>
        </w:tc>
        <w:tc>
          <w:tcPr>
            <w:tcW w:w="1985" w:type="dxa"/>
            <w:tcBorders>
              <w:top w:val="single" w:sz="6" w:space="0" w:color="auto"/>
              <w:left w:val="single" w:sz="6" w:space="0" w:color="auto"/>
              <w:bottom w:val="single" w:sz="6" w:space="0" w:color="auto"/>
              <w:right w:val="single" w:sz="18" w:space="0" w:color="auto"/>
            </w:tcBorders>
          </w:tcPr>
          <w:p w14:paraId="768AF40E" w14:textId="77777777" w:rsidR="00344957" w:rsidRPr="00231ABC" w:rsidRDefault="00344957" w:rsidP="00344957">
            <w:pPr>
              <w:jc w:val="center"/>
              <w:rPr>
                <w:sz w:val="24"/>
              </w:rPr>
            </w:pPr>
            <w:r w:rsidRPr="00231ABC">
              <w:rPr>
                <w:sz w:val="24"/>
              </w:rPr>
              <w:t>-</w:t>
            </w:r>
          </w:p>
        </w:tc>
      </w:tr>
      <w:tr w:rsidR="00344957" w:rsidRPr="00231ABC" w14:paraId="34833660" w14:textId="77777777" w:rsidTr="00344957">
        <w:tc>
          <w:tcPr>
            <w:tcW w:w="3261" w:type="dxa"/>
            <w:tcBorders>
              <w:top w:val="single" w:sz="6" w:space="0" w:color="auto"/>
              <w:left w:val="single" w:sz="18" w:space="0" w:color="auto"/>
              <w:bottom w:val="single" w:sz="18" w:space="0" w:color="auto"/>
              <w:right w:val="single" w:sz="18" w:space="0" w:color="auto"/>
            </w:tcBorders>
          </w:tcPr>
          <w:p w14:paraId="61511F98" w14:textId="77777777" w:rsidR="00344957" w:rsidRPr="00231ABC" w:rsidRDefault="00344957" w:rsidP="00344957">
            <w:pPr>
              <w:rPr>
                <w:sz w:val="24"/>
              </w:rPr>
            </w:pPr>
            <w:r w:rsidRPr="00231ABC">
              <w:rPr>
                <w:sz w:val="24"/>
              </w:rPr>
              <w:t>Území mimo kompaktní město</w:t>
            </w:r>
          </w:p>
        </w:tc>
        <w:tc>
          <w:tcPr>
            <w:tcW w:w="1842" w:type="dxa"/>
            <w:tcBorders>
              <w:top w:val="single" w:sz="6" w:space="0" w:color="auto"/>
              <w:left w:val="nil"/>
              <w:bottom w:val="single" w:sz="18" w:space="0" w:color="auto"/>
              <w:right w:val="single" w:sz="6" w:space="0" w:color="auto"/>
            </w:tcBorders>
          </w:tcPr>
          <w:p w14:paraId="003601A9" w14:textId="6B78D99A" w:rsidR="00344957" w:rsidRPr="00231ABC" w:rsidRDefault="009B1A71" w:rsidP="00344957">
            <w:pPr>
              <w:jc w:val="center"/>
              <w:rPr>
                <w:sz w:val="24"/>
              </w:rPr>
            </w:pPr>
            <w:r>
              <w:rPr>
                <w:sz w:val="24"/>
              </w:rPr>
              <w:t>713</w:t>
            </w:r>
          </w:p>
        </w:tc>
        <w:tc>
          <w:tcPr>
            <w:tcW w:w="1843" w:type="dxa"/>
            <w:tcBorders>
              <w:top w:val="single" w:sz="6" w:space="0" w:color="auto"/>
              <w:left w:val="single" w:sz="6" w:space="0" w:color="auto"/>
              <w:bottom w:val="single" w:sz="18" w:space="0" w:color="auto"/>
              <w:right w:val="single" w:sz="6" w:space="0" w:color="auto"/>
            </w:tcBorders>
          </w:tcPr>
          <w:p w14:paraId="32EA520A" w14:textId="13A6BB2B" w:rsidR="00344957" w:rsidRPr="00231ABC" w:rsidRDefault="009B1A71" w:rsidP="009B1A71">
            <w:pPr>
              <w:jc w:val="center"/>
              <w:rPr>
                <w:sz w:val="24"/>
              </w:rPr>
            </w:pPr>
            <w:r>
              <w:rPr>
                <w:sz w:val="24"/>
              </w:rPr>
              <w:t>20</w:t>
            </w:r>
          </w:p>
        </w:tc>
        <w:tc>
          <w:tcPr>
            <w:tcW w:w="1985" w:type="dxa"/>
            <w:tcBorders>
              <w:top w:val="single" w:sz="6" w:space="0" w:color="auto"/>
              <w:left w:val="single" w:sz="6" w:space="0" w:color="auto"/>
              <w:bottom w:val="single" w:sz="18" w:space="0" w:color="auto"/>
              <w:right w:val="single" w:sz="18" w:space="0" w:color="auto"/>
            </w:tcBorders>
          </w:tcPr>
          <w:p w14:paraId="625A1276" w14:textId="3CF3A5E4" w:rsidR="00344957" w:rsidRPr="00231ABC" w:rsidRDefault="009B1A71" w:rsidP="00344957">
            <w:pPr>
              <w:jc w:val="center"/>
              <w:rPr>
                <w:sz w:val="24"/>
              </w:rPr>
            </w:pPr>
            <w:r>
              <w:rPr>
                <w:sz w:val="24"/>
              </w:rPr>
              <w:t>2 785</w:t>
            </w:r>
          </w:p>
        </w:tc>
      </w:tr>
    </w:tbl>
    <w:p w14:paraId="78873AD5" w14:textId="77777777" w:rsidR="00360526" w:rsidRPr="00231ABC" w:rsidRDefault="00360526" w:rsidP="0022509A">
      <w:pPr>
        <w:pStyle w:val="Nadpis4"/>
        <w:numPr>
          <w:ilvl w:val="0"/>
          <w:numId w:val="0"/>
        </w:numPr>
        <w:tabs>
          <w:tab w:val="clear" w:pos="864"/>
        </w:tabs>
        <w:spacing w:before="360"/>
      </w:pPr>
      <w:r w:rsidRPr="00231ABC">
        <w:t>Pozemky pro komerční vybavenost</w:t>
      </w:r>
    </w:p>
    <w:p w14:paraId="04858F32" w14:textId="7957AE62" w:rsidR="00285ADE" w:rsidRDefault="00360526" w:rsidP="00F1067C">
      <w:pPr>
        <w:spacing w:before="240"/>
        <w:ind w:firstLine="426"/>
        <w:jc w:val="both"/>
        <w:rPr>
          <w:sz w:val="24"/>
        </w:rPr>
      </w:pPr>
      <w:r w:rsidRPr="00FD79F6">
        <w:rPr>
          <w:sz w:val="24"/>
        </w:rPr>
        <w:t xml:space="preserve">Další hodnocenou oblastí jsou pozemky </w:t>
      </w:r>
      <w:r w:rsidR="00090C7E">
        <w:rPr>
          <w:sz w:val="24"/>
        </w:rPr>
        <w:t>určené pro</w:t>
      </w:r>
      <w:r w:rsidRPr="00FD79F6">
        <w:rPr>
          <w:sz w:val="24"/>
        </w:rPr>
        <w:t xml:space="preserve"> </w:t>
      </w:r>
      <w:r w:rsidRPr="00FD79F6">
        <w:rPr>
          <w:b/>
          <w:i/>
          <w:sz w:val="24"/>
        </w:rPr>
        <w:t>občansk</w:t>
      </w:r>
      <w:r w:rsidR="00090C7E">
        <w:rPr>
          <w:b/>
          <w:i/>
          <w:sz w:val="24"/>
        </w:rPr>
        <w:t xml:space="preserve">ou </w:t>
      </w:r>
      <w:r w:rsidRPr="00FD79F6">
        <w:rPr>
          <w:b/>
          <w:i/>
          <w:sz w:val="24"/>
        </w:rPr>
        <w:t xml:space="preserve">vybavenost s komerčním využitím </w:t>
      </w:r>
      <w:r w:rsidR="00BA17CE" w:rsidRPr="00FD79F6">
        <w:rPr>
          <w:sz w:val="24"/>
        </w:rPr>
        <w:t>(</w:t>
      </w:r>
      <w:r w:rsidRPr="00FD79F6">
        <w:rPr>
          <w:sz w:val="24"/>
        </w:rPr>
        <w:t>administrativní budovy, nákupní centra apod.</w:t>
      </w:r>
      <w:r w:rsidR="00BA17CE" w:rsidRPr="00FD79F6">
        <w:rPr>
          <w:sz w:val="24"/>
        </w:rPr>
        <w:t>)</w:t>
      </w:r>
      <w:r w:rsidRPr="00FD79F6">
        <w:rPr>
          <w:sz w:val="24"/>
        </w:rPr>
        <w:t xml:space="preserve">, kde </w:t>
      </w:r>
      <w:r w:rsidR="005401FF">
        <w:rPr>
          <w:sz w:val="24"/>
        </w:rPr>
        <w:t>byl oproti minulému období zaznamenán největší nárůst obchodů ze všech kategorií pozemků, který byl způsoben několika transakcemi nad 30 mil. Kč celkové ceny v rámci jednoho obchodu</w:t>
      </w:r>
      <w:r w:rsidR="00090C7E">
        <w:rPr>
          <w:sz w:val="24"/>
        </w:rPr>
        <w:t>. P</w:t>
      </w:r>
      <w:r w:rsidRPr="00FD79F6">
        <w:rPr>
          <w:sz w:val="24"/>
        </w:rPr>
        <w:t xml:space="preserve">růměrná cena </w:t>
      </w:r>
      <w:r w:rsidR="00090C7E">
        <w:rPr>
          <w:sz w:val="24"/>
        </w:rPr>
        <w:t xml:space="preserve">v této kategorii </w:t>
      </w:r>
      <w:r w:rsidR="005401FF">
        <w:rPr>
          <w:sz w:val="24"/>
        </w:rPr>
        <w:t xml:space="preserve">také </w:t>
      </w:r>
      <w:r w:rsidR="00525F69">
        <w:rPr>
          <w:sz w:val="24"/>
        </w:rPr>
        <w:t xml:space="preserve">skokově </w:t>
      </w:r>
      <w:r w:rsidR="005401FF">
        <w:rPr>
          <w:sz w:val="24"/>
        </w:rPr>
        <w:t>vzrostla</w:t>
      </w:r>
      <w:r w:rsidR="00090C7E">
        <w:rPr>
          <w:sz w:val="24"/>
        </w:rPr>
        <w:t xml:space="preserve"> na </w:t>
      </w:r>
      <w:r w:rsidR="00525F69">
        <w:rPr>
          <w:sz w:val="24"/>
        </w:rPr>
        <w:t>3</w:t>
      </w:r>
      <w:r w:rsidR="00090C7E">
        <w:rPr>
          <w:sz w:val="24"/>
        </w:rPr>
        <w:t> </w:t>
      </w:r>
      <w:r w:rsidR="00525F69">
        <w:rPr>
          <w:sz w:val="24"/>
        </w:rPr>
        <w:t>046</w:t>
      </w:r>
      <w:r w:rsidR="00090C7E">
        <w:rPr>
          <w:sz w:val="24"/>
        </w:rPr>
        <w:t> </w:t>
      </w:r>
      <w:r w:rsidRPr="00FD79F6">
        <w:rPr>
          <w:sz w:val="24"/>
        </w:rPr>
        <w:t>Kč za m</w:t>
      </w:r>
      <w:r w:rsidRPr="00FD79F6">
        <w:rPr>
          <w:sz w:val="24"/>
          <w:vertAlign w:val="superscript"/>
        </w:rPr>
        <w:t>2</w:t>
      </w:r>
      <w:r w:rsidR="00AF0D8E" w:rsidRPr="00FD79F6">
        <w:rPr>
          <w:sz w:val="24"/>
        </w:rPr>
        <w:t xml:space="preserve">, tj. o </w:t>
      </w:r>
      <w:r w:rsidR="00525F69">
        <w:rPr>
          <w:sz w:val="24"/>
        </w:rPr>
        <w:t>59</w:t>
      </w:r>
      <w:r w:rsidR="00AF0D8E" w:rsidRPr="00FD79F6">
        <w:rPr>
          <w:sz w:val="24"/>
        </w:rPr>
        <w:t> %</w:t>
      </w:r>
      <w:r w:rsidR="00304660">
        <w:rPr>
          <w:sz w:val="24"/>
        </w:rPr>
        <w:t>. Nejvýznamnější transakce v této kategorii</w:t>
      </w:r>
      <w:r w:rsidR="00525F69">
        <w:rPr>
          <w:sz w:val="24"/>
        </w:rPr>
        <w:t>, ale také v rámci města napříč všemi kategoriemi</w:t>
      </w:r>
      <w:r w:rsidR="00304660">
        <w:rPr>
          <w:sz w:val="24"/>
        </w:rPr>
        <w:t xml:space="preserve"> </w:t>
      </w:r>
      <w:r w:rsidR="00F1067C">
        <w:rPr>
          <w:sz w:val="24"/>
        </w:rPr>
        <w:t>proběhl</w:t>
      </w:r>
      <w:r w:rsidR="00280B34">
        <w:rPr>
          <w:sz w:val="24"/>
        </w:rPr>
        <w:t xml:space="preserve">a </w:t>
      </w:r>
      <w:r w:rsidR="00F1067C">
        <w:rPr>
          <w:sz w:val="24"/>
        </w:rPr>
        <w:t>v</w:t>
      </w:r>
      <w:r w:rsidR="00525F69">
        <w:rPr>
          <w:sz w:val="24"/>
        </w:rPr>
        <w:t> Moravské Ostravě na území Nové Karoliny</w:t>
      </w:r>
      <w:r w:rsidR="00D67A41">
        <w:rPr>
          <w:sz w:val="24"/>
        </w:rPr>
        <w:t>,</w:t>
      </w:r>
      <w:r w:rsidR="00F1067C">
        <w:rPr>
          <w:sz w:val="24"/>
        </w:rPr>
        <w:t xml:space="preserve"> kde </w:t>
      </w:r>
      <w:r w:rsidR="00280B34">
        <w:rPr>
          <w:sz w:val="24"/>
        </w:rPr>
        <w:t>byl</w:t>
      </w:r>
      <w:r w:rsidR="00525F69">
        <w:rPr>
          <w:sz w:val="24"/>
        </w:rPr>
        <w:t xml:space="preserve"> obchodován </w:t>
      </w:r>
      <w:r w:rsidR="00A25909">
        <w:rPr>
          <w:sz w:val="24"/>
        </w:rPr>
        <w:t>pozemk</w:t>
      </w:r>
      <w:r w:rsidR="00525F69">
        <w:rPr>
          <w:sz w:val="24"/>
        </w:rPr>
        <w:t>ový celek o</w:t>
      </w:r>
      <w:r w:rsidR="00DF37F5">
        <w:rPr>
          <w:sz w:val="24"/>
        </w:rPr>
        <w:t> </w:t>
      </w:r>
      <w:r w:rsidR="00525F69">
        <w:rPr>
          <w:sz w:val="24"/>
        </w:rPr>
        <w:t xml:space="preserve">výměře </w:t>
      </w:r>
      <w:r w:rsidR="00951405">
        <w:rPr>
          <w:sz w:val="24"/>
        </w:rPr>
        <w:t xml:space="preserve">bezmála </w:t>
      </w:r>
      <w:r w:rsidR="00525F69">
        <w:rPr>
          <w:sz w:val="24"/>
        </w:rPr>
        <w:t>8 tis. m</w:t>
      </w:r>
      <w:r w:rsidR="00525F69">
        <w:rPr>
          <w:sz w:val="24"/>
          <w:vertAlign w:val="superscript"/>
        </w:rPr>
        <w:t>2</w:t>
      </w:r>
      <w:r w:rsidR="00525F69">
        <w:rPr>
          <w:sz w:val="24"/>
        </w:rPr>
        <w:t xml:space="preserve"> pro výstavbu nové administrativní budovy pod názvem O</w:t>
      </w:r>
      <w:r w:rsidR="00816203">
        <w:rPr>
          <w:sz w:val="24"/>
        </w:rPr>
        <w:t>RGANICA</w:t>
      </w:r>
      <w:r w:rsidR="00951405">
        <w:rPr>
          <w:sz w:val="24"/>
        </w:rPr>
        <w:t xml:space="preserve">, která dále doplní zástavbu rozvojového území centra města. Tento obchod byl zrealizován </w:t>
      </w:r>
      <w:r w:rsidR="00DF37F5">
        <w:rPr>
          <w:sz w:val="24"/>
        </w:rPr>
        <w:t>s</w:t>
      </w:r>
      <w:r w:rsidR="00951405">
        <w:rPr>
          <w:sz w:val="24"/>
        </w:rPr>
        <w:t> celkovou obchodovanou cenou téměř 115</w:t>
      </w:r>
      <w:r w:rsidR="00F1067C">
        <w:rPr>
          <w:sz w:val="24"/>
        </w:rPr>
        <w:t xml:space="preserve"> mil. Kč </w:t>
      </w:r>
      <w:r w:rsidR="00DF37F5">
        <w:rPr>
          <w:sz w:val="24"/>
        </w:rPr>
        <w:t>a</w:t>
      </w:r>
      <w:r w:rsidR="00F1067C">
        <w:rPr>
          <w:sz w:val="24"/>
        </w:rPr>
        <w:t xml:space="preserve"> jednotkovou cenou </w:t>
      </w:r>
      <w:r w:rsidR="00951405">
        <w:rPr>
          <w:sz w:val="24"/>
        </w:rPr>
        <w:t>14</w:t>
      </w:r>
      <w:r w:rsidR="00816203">
        <w:rPr>
          <w:sz w:val="24"/>
        </w:rPr>
        <w:t> </w:t>
      </w:r>
      <w:r w:rsidR="00951405">
        <w:rPr>
          <w:sz w:val="24"/>
        </w:rPr>
        <w:t>401</w:t>
      </w:r>
      <w:r w:rsidR="00816203">
        <w:rPr>
          <w:sz w:val="24"/>
        </w:rPr>
        <w:t> </w:t>
      </w:r>
      <w:r w:rsidR="00F1067C">
        <w:rPr>
          <w:sz w:val="24"/>
        </w:rPr>
        <w:t>Kč za m</w:t>
      </w:r>
      <w:r w:rsidR="00F1067C">
        <w:rPr>
          <w:sz w:val="24"/>
          <w:vertAlign w:val="superscript"/>
        </w:rPr>
        <w:t>2</w:t>
      </w:r>
      <w:r w:rsidR="002247F9" w:rsidRPr="00FD79F6">
        <w:rPr>
          <w:sz w:val="24"/>
        </w:rPr>
        <w:t>.</w:t>
      </w:r>
      <w:r w:rsidRPr="00FD79F6">
        <w:rPr>
          <w:sz w:val="24"/>
        </w:rPr>
        <w:t xml:space="preserve"> </w:t>
      </w:r>
    </w:p>
    <w:p w14:paraId="108BC5C1" w14:textId="64A87AB1" w:rsidR="00280B34" w:rsidRDefault="004936CF" w:rsidP="00285ADE">
      <w:pPr>
        <w:spacing w:before="120"/>
        <w:ind w:firstLine="425"/>
        <w:jc w:val="both"/>
        <w:rPr>
          <w:sz w:val="24"/>
        </w:rPr>
      </w:pPr>
      <w:r>
        <w:rPr>
          <w:sz w:val="24"/>
        </w:rPr>
        <w:t xml:space="preserve">V rámci této kategorie byl zaznamenán </w:t>
      </w:r>
      <w:r w:rsidR="00951405">
        <w:rPr>
          <w:sz w:val="24"/>
        </w:rPr>
        <w:t>nárůst</w:t>
      </w:r>
      <w:r w:rsidR="00412734">
        <w:rPr>
          <w:sz w:val="24"/>
        </w:rPr>
        <w:t xml:space="preserve"> </w:t>
      </w:r>
      <w:r w:rsidR="006428FD">
        <w:rPr>
          <w:sz w:val="24"/>
        </w:rPr>
        <w:t xml:space="preserve">celkového objemu transakcí </w:t>
      </w:r>
      <w:r w:rsidR="00951405">
        <w:rPr>
          <w:sz w:val="24"/>
        </w:rPr>
        <w:t>o 171 mil.</w:t>
      </w:r>
      <w:r w:rsidR="00AE040E">
        <w:rPr>
          <w:sz w:val="24"/>
        </w:rPr>
        <w:t> </w:t>
      </w:r>
      <w:r w:rsidR="00951405">
        <w:rPr>
          <w:sz w:val="24"/>
        </w:rPr>
        <w:t xml:space="preserve">Kč </w:t>
      </w:r>
      <w:r w:rsidR="00951405" w:rsidRPr="00816203">
        <w:rPr>
          <w:sz w:val="24"/>
        </w:rPr>
        <w:t>na celkových 206</w:t>
      </w:r>
      <w:r w:rsidR="00412734" w:rsidRPr="00816203">
        <w:rPr>
          <w:sz w:val="24"/>
        </w:rPr>
        <w:t> </w:t>
      </w:r>
      <w:r w:rsidR="006428FD" w:rsidRPr="00816203">
        <w:rPr>
          <w:sz w:val="24"/>
        </w:rPr>
        <w:t> mil.</w:t>
      </w:r>
      <w:r w:rsidR="00285ADE" w:rsidRPr="00816203">
        <w:rPr>
          <w:sz w:val="24"/>
        </w:rPr>
        <w:t> </w:t>
      </w:r>
      <w:r w:rsidR="006428FD" w:rsidRPr="00816203">
        <w:rPr>
          <w:sz w:val="24"/>
        </w:rPr>
        <w:t>Kč</w:t>
      </w:r>
      <w:r w:rsidR="00412734" w:rsidRPr="00816203">
        <w:rPr>
          <w:sz w:val="24"/>
        </w:rPr>
        <w:t xml:space="preserve"> za rok 20</w:t>
      </w:r>
      <w:r w:rsidR="00951405" w:rsidRPr="00816203">
        <w:rPr>
          <w:sz w:val="24"/>
        </w:rPr>
        <w:t xml:space="preserve">21, oproti minulým obdobím </w:t>
      </w:r>
      <w:r w:rsidR="00AE040E" w:rsidRPr="00816203">
        <w:rPr>
          <w:sz w:val="24"/>
        </w:rPr>
        <w:t xml:space="preserve">- </w:t>
      </w:r>
      <w:r w:rsidR="00412734" w:rsidRPr="00816203">
        <w:rPr>
          <w:sz w:val="24"/>
        </w:rPr>
        <w:t>34,5</w:t>
      </w:r>
      <w:r w:rsidR="006428FD" w:rsidRPr="00816203">
        <w:rPr>
          <w:sz w:val="24"/>
        </w:rPr>
        <w:t> mil. Kč</w:t>
      </w:r>
      <w:r w:rsidR="00412734" w:rsidRPr="00816203">
        <w:rPr>
          <w:sz w:val="24"/>
        </w:rPr>
        <w:t xml:space="preserve"> za rok 2020</w:t>
      </w:r>
      <w:r w:rsidR="00951405">
        <w:rPr>
          <w:sz w:val="24"/>
        </w:rPr>
        <w:t xml:space="preserve"> a</w:t>
      </w:r>
      <w:r w:rsidR="00AE040E">
        <w:rPr>
          <w:sz w:val="24"/>
        </w:rPr>
        <w:t> </w:t>
      </w:r>
      <w:r w:rsidR="00951405">
        <w:rPr>
          <w:sz w:val="24"/>
        </w:rPr>
        <w:t>53 mil. Kč za rok 2019</w:t>
      </w:r>
      <w:r w:rsidR="006428FD">
        <w:rPr>
          <w:sz w:val="24"/>
        </w:rPr>
        <w:t>.</w:t>
      </w:r>
      <w:r w:rsidR="00280B34">
        <w:rPr>
          <w:sz w:val="24"/>
        </w:rPr>
        <w:t xml:space="preserve"> </w:t>
      </w:r>
      <w:r w:rsidR="00951405">
        <w:rPr>
          <w:sz w:val="24"/>
        </w:rPr>
        <w:t>O</w:t>
      </w:r>
      <w:r w:rsidR="006428FD" w:rsidRPr="00280B34">
        <w:rPr>
          <w:sz w:val="24"/>
        </w:rPr>
        <w:t xml:space="preserve">bjem převodů </w:t>
      </w:r>
      <w:r w:rsidR="00951405">
        <w:rPr>
          <w:sz w:val="24"/>
        </w:rPr>
        <w:t>vzrostl v rámci všech sledovaných oblastí ve městě, nej</w:t>
      </w:r>
      <w:r w:rsidR="004C1D8F" w:rsidRPr="00280B34">
        <w:rPr>
          <w:sz w:val="24"/>
        </w:rPr>
        <w:t xml:space="preserve">výrazněji </w:t>
      </w:r>
      <w:r w:rsidR="00951405">
        <w:rPr>
          <w:sz w:val="24"/>
        </w:rPr>
        <w:t xml:space="preserve">v </w:t>
      </w:r>
      <w:r w:rsidR="006428FD" w:rsidRPr="00280B34">
        <w:rPr>
          <w:sz w:val="24"/>
        </w:rPr>
        <w:t xml:space="preserve">území </w:t>
      </w:r>
      <w:r w:rsidR="004C1D8F" w:rsidRPr="00280B34">
        <w:rPr>
          <w:sz w:val="24"/>
        </w:rPr>
        <w:t>vnitřního města</w:t>
      </w:r>
      <w:r w:rsidR="006A7E69" w:rsidRPr="00280B34">
        <w:rPr>
          <w:sz w:val="24"/>
        </w:rPr>
        <w:t xml:space="preserve"> s</w:t>
      </w:r>
      <w:r w:rsidR="004C1D8F" w:rsidRPr="00280B34">
        <w:rPr>
          <w:sz w:val="24"/>
        </w:rPr>
        <w:t xml:space="preserve"> celkový</w:t>
      </w:r>
      <w:r w:rsidR="006A7E69" w:rsidRPr="00280B34">
        <w:rPr>
          <w:sz w:val="24"/>
        </w:rPr>
        <w:t>m</w:t>
      </w:r>
      <w:r w:rsidR="00B805B5" w:rsidRPr="00280B34">
        <w:rPr>
          <w:sz w:val="24"/>
        </w:rPr>
        <w:t xml:space="preserve"> </w:t>
      </w:r>
      <w:r w:rsidR="006A7E69" w:rsidRPr="00280B34">
        <w:rPr>
          <w:sz w:val="24"/>
        </w:rPr>
        <w:t xml:space="preserve">nárůstem </w:t>
      </w:r>
      <w:r w:rsidRPr="00280B34">
        <w:rPr>
          <w:sz w:val="24"/>
        </w:rPr>
        <w:t>objem</w:t>
      </w:r>
      <w:r w:rsidR="006A7E69" w:rsidRPr="00280B34">
        <w:rPr>
          <w:sz w:val="24"/>
        </w:rPr>
        <w:t xml:space="preserve">u </w:t>
      </w:r>
      <w:r w:rsidR="004C1D8F" w:rsidRPr="00280B34">
        <w:rPr>
          <w:sz w:val="24"/>
        </w:rPr>
        <w:t xml:space="preserve">převodů na </w:t>
      </w:r>
      <w:r w:rsidR="00951405">
        <w:rPr>
          <w:sz w:val="24"/>
        </w:rPr>
        <w:t xml:space="preserve">169 </w:t>
      </w:r>
      <w:r w:rsidR="004C1D8F" w:rsidRPr="00280B34">
        <w:rPr>
          <w:sz w:val="24"/>
        </w:rPr>
        <w:t>mil.</w:t>
      </w:r>
      <w:r w:rsidR="006A7E69" w:rsidRPr="00280B34">
        <w:rPr>
          <w:sz w:val="24"/>
        </w:rPr>
        <w:t> </w:t>
      </w:r>
      <w:r w:rsidR="004C1D8F" w:rsidRPr="00280B34">
        <w:rPr>
          <w:sz w:val="24"/>
        </w:rPr>
        <w:t>Kč</w:t>
      </w:r>
      <w:r w:rsidR="00951405">
        <w:rPr>
          <w:sz w:val="24"/>
        </w:rPr>
        <w:t xml:space="preserve"> a</w:t>
      </w:r>
      <w:r w:rsidR="00AE040E">
        <w:rPr>
          <w:sz w:val="24"/>
        </w:rPr>
        <w:t> </w:t>
      </w:r>
      <w:r w:rsidR="00951405">
        <w:rPr>
          <w:sz w:val="24"/>
        </w:rPr>
        <w:t>dále také v okrajovém území vnitřního města s objemem 54 mil.</w:t>
      </w:r>
      <w:r w:rsidR="00AE040E">
        <w:rPr>
          <w:sz w:val="24"/>
        </w:rPr>
        <w:t> </w:t>
      </w:r>
      <w:r w:rsidR="00951405">
        <w:rPr>
          <w:sz w:val="24"/>
        </w:rPr>
        <w:t>Kč.</w:t>
      </w:r>
    </w:p>
    <w:p w14:paraId="263714C0" w14:textId="1FDD810C" w:rsidR="00593814" w:rsidRPr="00593814" w:rsidRDefault="00B805B5" w:rsidP="00285ADE">
      <w:pPr>
        <w:spacing w:before="120"/>
        <w:ind w:firstLine="425"/>
        <w:jc w:val="both"/>
        <w:rPr>
          <w:sz w:val="24"/>
        </w:rPr>
      </w:pPr>
      <w:r w:rsidRPr="0025042F">
        <w:rPr>
          <w:sz w:val="24"/>
        </w:rPr>
        <w:lastRenderedPageBreak/>
        <w:t xml:space="preserve">Důvodem </w:t>
      </w:r>
      <w:r w:rsidR="00593814">
        <w:rPr>
          <w:sz w:val="24"/>
        </w:rPr>
        <w:t>extrémního nárůstu cen i celkové výše obchodů v této kategorii byly obchody 3</w:t>
      </w:r>
      <w:r w:rsidR="00AE040E">
        <w:rPr>
          <w:sz w:val="24"/>
        </w:rPr>
        <w:t> </w:t>
      </w:r>
      <w:r w:rsidR="00593814">
        <w:rPr>
          <w:sz w:val="24"/>
        </w:rPr>
        <w:t xml:space="preserve">obchody </w:t>
      </w:r>
      <w:r w:rsidR="00AE040E">
        <w:rPr>
          <w:sz w:val="24"/>
        </w:rPr>
        <w:t>s</w:t>
      </w:r>
      <w:r w:rsidR="00593814">
        <w:rPr>
          <w:sz w:val="24"/>
        </w:rPr>
        <w:t xml:space="preserve"> velmi vysokou dosaženou jednotkovou cenou, a to zmíněný obchod v centru </w:t>
      </w:r>
      <w:r w:rsidR="00593814" w:rsidRPr="00816203">
        <w:rPr>
          <w:sz w:val="24"/>
        </w:rPr>
        <w:t xml:space="preserve">Ostravy s cenou </w:t>
      </w:r>
      <w:r w:rsidR="00AE040E" w:rsidRPr="00816203">
        <w:rPr>
          <w:sz w:val="24"/>
        </w:rPr>
        <w:t xml:space="preserve">cca </w:t>
      </w:r>
      <w:r w:rsidR="00593814" w:rsidRPr="00816203">
        <w:rPr>
          <w:sz w:val="24"/>
        </w:rPr>
        <w:t>14 tis.</w:t>
      </w:r>
      <w:r w:rsidR="00AE040E" w:rsidRPr="00816203">
        <w:rPr>
          <w:sz w:val="24"/>
        </w:rPr>
        <w:t> </w:t>
      </w:r>
      <w:r w:rsidR="00593814" w:rsidRPr="00816203">
        <w:rPr>
          <w:sz w:val="24"/>
        </w:rPr>
        <w:t>Kč za m</w:t>
      </w:r>
      <w:r w:rsidR="00593814" w:rsidRPr="00816203">
        <w:rPr>
          <w:sz w:val="24"/>
          <w:vertAlign w:val="superscript"/>
        </w:rPr>
        <w:t>2</w:t>
      </w:r>
      <w:r w:rsidR="00593814" w:rsidRPr="00816203">
        <w:rPr>
          <w:sz w:val="24"/>
        </w:rPr>
        <w:t xml:space="preserve">, a dále 2 </w:t>
      </w:r>
      <w:r w:rsidR="00AE040E" w:rsidRPr="00816203">
        <w:rPr>
          <w:sz w:val="24"/>
        </w:rPr>
        <w:t xml:space="preserve">transakce s cílem </w:t>
      </w:r>
      <w:r w:rsidR="00593814" w:rsidRPr="00816203">
        <w:rPr>
          <w:sz w:val="24"/>
        </w:rPr>
        <w:t>výstavb</w:t>
      </w:r>
      <w:r w:rsidR="00AE040E" w:rsidRPr="00816203">
        <w:rPr>
          <w:sz w:val="24"/>
        </w:rPr>
        <w:t>y</w:t>
      </w:r>
      <w:r w:rsidR="00593814" w:rsidRPr="00816203">
        <w:rPr>
          <w:sz w:val="24"/>
        </w:rPr>
        <w:t xml:space="preserve"> prodejen smíšeného</w:t>
      </w:r>
      <w:r w:rsidR="00593814">
        <w:rPr>
          <w:sz w:val="24"/>
        </w:rPr>
        <w:t xml:space="preserve"> zboží lokálního významu, kde byly obchodovány pozemky s cenami 6 655 Kč </w:t>
      </w:r>
      <w:r w:rsidR="00AE040E">
        <w:rPr>
          <w:sz w:val="24"/>
        </w:rPr>
        <w:t>za m</w:t>
      </w:r>
      <w:r w:rsidR="00AE040E">
        <w:rPr>
          <w:sz w:val="24"/>
          <w:vertAlign w:val="superscript"/>
        </w:rPr>
        <w:t>2</w:t>
      </w:r>
      <w:r w:rsidR="00AE040E">
        <w:rPr>
          <w:sz w:val="24"/>
        </w:rPr>
        <w:t xml:space="preserve"> </w:t>
      </w:r>
      <w:r w:rsidR="00593814">
        <w:rPr>
          <w:sz w:val="24"/>
        </w:rPr>
        <w:t>v Porub</w:t>
      </w:r>
      <w:r w:rsidR="00AE040E">
        <w:rPr>
          <w:sz w:val="24"/>
        </w:rPr>
        <w:t>ě</w:t>
      </w:r>
      <w:r w:rsidR="00593814">
        <w:rPr>
          <w:sz w:val="24"/>
        </w:rPr>
        <w:t xml:space="preserve"> v ul. Nad Porubkou a ve Slezské Ostravě při ul. Michálkovická za cenu 3 596 Kč</w:t>
      </w:r>
      <w:r w:rsidR="00AE040E">
        <w:rPr>
          <w:sz w:val="24"/>
        </w:rPr>
        <w:t xml:space="preserve"> </w:t>
      </w:r>
      <w:r w:rsidR="00AE040E">
        <w:rPr>
          <w:sz w:val="24"/>
        </w:rPr>
        <w:t>za m</w:t>
      </w:r>
      <w:r w:rsidR="00AE040E">
        <w:rPr>
          <w:sz w:val="24"/>
          <w:vertAlign w:val="superscript"/>
        </w:rPr>
        <w:t>2</w:t>
      </w:r>
      <w:r w:rsidR="00593814">
        <w:rPr>
          <w:sz w:val="24"/>
        </w:rPr>
        <w:t>.</w:t>
      </w:r>
    </w:p>
    <w:p w14:paraId="6485C12A" w14:textId="415A36DE" w:rsidR="00BB4B1E" w:rsidRPr="001B48DE" w:rsidRDefault="00B40892" w:rsidP="00D62429">
      <w:pPr>
        <w:spacing w:before="120"/>
        <w:ind w:firstLine="425"/>
        <w:jc w:val="both"/>
        <w:rPr>
          <w:color w:val="000000" w:themeColor="text1"/>
          <w:sz w:val="24"/>
        </w:rPr>
      </w:pPr>
      <w:r w:rsidRPr="001B48DE">
        <w:rPr>
          <w:color w:val="000000" w:themeColor="text1"/>
          <w:sz w:val="24"/>
        </w:rPr>
        <w:t>Z</w:t>
      </w:r>
      <w:r w:rsidR="009F4705" w:rsidRPr="001B48DE">
        <w:rPr>
          <w:color w:val="000000" w:themeColor="text1"/>
          <w:sz w:val="24"/>
        </w:rPr>
        <w:t xml:space="preserve">  </w:t>
      </w:r>
      <w:r w:rsidR="001B48DE" w:rsidRPr="001B48DE">
        <w:rPr>
          <w:color w:val="000000" w:themeColor="text1"/>
          <w:sz w:val="24"/>
        </w:rPr>
        <w:t xml:space="preserve">dalších </w:t>
      </w:r>
      <w:r w:rsidR="00BB4B1E" w:rsidRPr="001B48DE">
        <w:rPr>
          <w:color w:val="000000" w:themeColor="text1"/>
          <w:sz w:val="24"/>
        </w:rPr>
        <w:t>p</w:t>
      </w:r>
      <w:r w:rsidRPr="001B48DE">
        <w:rPr>
          <w:color w:val="000000" w:themeColor="text1"/>
          <w:sz w:val="24"/>
        </w:rPr>
        <w:t xml:space="preserve">řevodů </w:t>
      </w:r>
      <w:r w:rsidR="001B48DE" w:rsidRPr="001B48DE">
        <w:rPr>
          <w:color w:val="000000" w:themeColor="text1"/>
          <w:sz w:val="24"/>
        </w:rPr>
        <w:t xml:space="preserve">pak byly realizovány </w:t>
      </w:r>
      <w:r w:rsidR="00285ADE" w:rsidRPr="001B48DE">
        <w:rPr>
          <w:color w:val="000000" w:themeColor="text1"/>
          <w:sz w:val="24"/>
        </w:rPr>
        <w:t>jednotliv</w:t>
      </w:r>
      <w:r w:rsidR="00285ADE">
        <w:rPr>
          <w:color w:val="000000" w:themeColor="text1"/>
          <w:sz w:val="24"/>
        </w:rPr>
        <w:t>é</w:t>
      </w:r>
      <w:r w:rsidR="00285ADE" w:rsidRPr="001B48DE">
        <w:rPr>
          <w:color w:val="000000" w:themeColor="text1"/>
          <w:sz w:val="24"/>
        </w:rPr>
        <w:t xml:space="preserve"> </w:t>
      </w:r>
      <w:r w:rsidR="001B48DE" w:rsidRPr="001B48DE">
        <w:rPr>
          <w:color w:val="000000" w:themeColor="text1"/>
          <w:sz w:val="24"/>
        </w:rPr>
        <w:t xml:space="preserve">prodeje v cenovém rozmezí </w:t>
      </w:r>
      <w:r w:rsidR="00A25AC1">
        <w:rPr>
          <w:color w:val="000000" w:themeColor="text1"/>
          <w:sz w:val="24"/>
        </w:rPr>
        <w:t>do 5</w:t>
      </w:r>
      <w:r w:rsidR="00D67A41">
        <w:rPr>
          <w:color w:val="000000" w:themeColor="text1"/>
          <w:sz w:val="24"/>
        </w:rPr>
        <w:t> </w:t>
      </w:r>
      <w:r w:rsidR="001C459B">
        <w:rPr>
          <w:color w:val="000000" w:themeColor="text1"/>
          <w:sz w:val="24"/>
        </w:rPr>
        <w:t>až 1</w:t>
      </w:r>
      <w:r w:rsidR="00762B26">
        <w:rPr>
          <w:color w:val="000000" w:themeColor="text1"/>
          <w:sz w:val="24"/>
        </w:rPr>
        <w:t>1</w:t>
      </w:r>
      <w:r w:rsidR="001C459B">
        <w:rPr>
          <w:color w:val="000000" w:themeColor="text1"/>
          <w:sz w:val="24"/>
        </w:rPr>
        <w:t xml:space="preserve"> </w:t>
      </w:r>
      <w:r w:rsidR="00A25AC1">
        <w:rPr>
          <w:color w:val="000000" w:themeColor="text1"/>
          <w:sz w:val="24"/>
        </w:rPr>
        <w:t xml:space="preserve">mil. </w:t>
      </w:r>
      <w:r w:rsidR="001B48DE" w:rsidRPr="001B48DE">
        <w:rPr>
          <w:color w:val="000000" w:themeColor="text1"/>
          <w:sz w:val="24"/>
        </w:rPr>
        <w:t>Kč, v </w:t>
      </w:r>
      <w:r w:rsidR="00262A85">
        <w:rPr>
          <w:color w:val="000000" w:themeColor="text1"/>
          <w:sz w:val="24"/>
        </w:rPr>
        <w:t>jednotkových</w:t>
      </w:r>
      <w:r w:rsidR="00A25AC1">
        <w:rPr>
          <w:color w:val="000000" w:themeColor="text1"/>
          <w:sz w:val="24"/>
        </w:rPr>
        <w:t xml:space="preserve"> cenách od </w:t>
      </w:r>
      <w:r w:rsidR="00762B26">
        <w:rPr>
          <w:color w:val="000000" w:themeColor="text1"/>
          <w:sz w:val="24"/>
        </w:rPr>
        <w:t xml:space="preserve">2 000 </w:t>
      </w:r>
      <w:r w:rsidR="001B48DE" w:rsidRPr="001B48DE">
        <w:rPr>
          <w:color w:val="000000" w:themeColor="text1"/>
          <w:sz w:val="24"/>
        </w:rPr>
        <w:t xml:space="preserve">do </w:t>
      </w:r>
      <w:r w:rsidR="00762B26">
        <w:rPr>
          <w:color w:val="000000" w:themeColor="text1"/>
          <w:sz w:val="24"/>
        </w:rPr>
        <w:t>4</w:t>
      </w:r>
      <w:r w:rsidR="001B48DE" w:rsidRPr="001B48DE">
        <w:rPr>
          <w:color w:val="000000" w:themeColor="text1"/>
          <w:sz w:val="24"/>
        </w:rPr>
        <w:t> </w:t>
      </w:r>
      <w:r w:rsidR="00762B26">
        <w:rPr>
          <w:color w:val="000000" w:themeColor="text1"/>
          <w:sz w:val="24"/>
        </w:rPr>
        <w:t>6</w:t>
      </w:r>
      <w:r w:rsidR="001B48DE" w:rsidRPr="001B48DE">
        <w:rPr>
          <w:color w:val="000000" w:themeColor="text1"/>
          <w:sz w:val="24"/>
        </w:rPr>
        <w:t>00 Kč za m</w:t>
      </w:r>
      <w:r w:rsidR="001B48DE" w:rsidRPr="001B48DE">
        <w:rPr>
          <w:color w:val="000000" w:themeColor="text1"/>
          <w:sz w:val="24"/>
          <w:vertAlign w:val="superscript"/>
        </w:rPr>
        <w:t>2</w:t>
      </w:r>
      <w:r w:rsidR="001B48DE" w:rsidRPr="001B48DE">
        <w:rPr>
          <w:color w:val="000000" w:themeColor="text1"/>
          <w:sz w:val="24"/>
        </w:rPr>
        <w:t xml:space="preserve">, </w:t>
      </w:r>
      <w:r w:rsidR="00762B26">
        <w:rPr>
          <w:color w:val="000000" w:themeColor="text1"/>
          <w:sz w:val="24"/>
        </w:rPr>
        <w:t>kde se jednalo o převody pozemků pro nové projekty lokálního významu např. automyčka</w:t>
      </w:r>
      <w:r w:rsidR="00BC70D3">
        <w:rPr>
          <w:color w:val="000000" w:themeColor="text1"/>
          <w:sz w:val="24"/>
        </w:rPr>
        <w:t xml:space="preserve"> nebo</w:t>
      </w:r>
      <w:r w:rsidR="00762B26">
        <w:rPr>
          <w:color w:val="000000" w:themeColor="text1"/>
          <w:sz w:val="24"/>
        </w:rPr>
        <w:t xml:space="preserve"> autoservis</w:t>
      </w:r>
      <w:r w:rsidR="00BC70D3">
        <w:rPr>
          <w:color w:val="000000" w:themeColor="text1"/>
          <w:sz w:val="24"/>
        </w:rPr>
        <w:t>,</w:t>
      </w:r>
      <w:r w:rsidR="00762B26">
        <w:rPr>
          <w:color w:val="000000" w:themeColor="text1"/>
          <w:sz w:val="24"/>
        </w:rPr>
        <w:t xml:space="preserve"> umístěné v</w:t>
      </w:r>
      <w:r w:rsidR="00BC70D3">
        <w:rPr>
          <w:color w:val="000000" w:themeColor="text1"/>
          <w:sz w:val="24"/>
        </w:rPr>
        <w:t> </w:t>
      </w:r>
      <w:r w:rsidR="00762B26">
        <w:rPr>
          <w:color w:val="000000" w:themeColor="text1"/>
          <w:sz w:val="24"/>
        </w:rPr>
        <w:t xml:space="preserve">atraktivních lokalitách centra města a navazujícího </w:t>
      </w:r>
      <w:proofErr w:type="gramStart"/>
      <w:r w:rsidR="00762B26">
        <w:rPr>
          <w:color w:val="000000" w:themeColor="text1"/>
          <w:sz w:val="24"/>
        </w:rPr>
        <w:t>území</w:t>
      </w:r>
      <w:r w:rsidR="00BC70D3">
        <w:rPr>
          <w:color w:val="000000" w:themeColor="text1"/>
          <w:sz w:val="24"/>
        </w:rPr>
        <w:t>,</w:t>
      </w:r>
      <w:r w:rsidR="00762B26">
        <w:rPr>
          <w:color w:val="000000" w:themeColor="text1"/>
          <w:sz w:val="24"/>
        </w:rPr>
        <w:t xml:space="preserve"> a nebo ve</w:t>
      </w:r>
      <w:proofErr w:type="gramEnd"/>
      <w:r w:rsidR="00762B26">
        <w:rPr>
          <w:color w:val="000000" w:themeColor="text1"/>
          <w:sz w:val="24"/>
        </w:rPr>
        <w:t xml:space="preserve"> frekventovaných lokalitách obchodních zón v Hrabové nebo např. v Kunčičkách při ul. Frýdecká.</w:t>
      </w:r>
    </w:p>
    <w:p w14:paraId="7A506037" w14:textId="55CF6A8B" w:rsidR="00360526" w:rsidRPr="007052AC" w:rsidRDefault="003E4D0E" w:rsidP="00360526">
      <w:pPr>
        <w:spacing w:before="120"/>
        <w:ind w:firstLine="425"/>
        <w:jc w:val="both"/>
        <w:rPr>
          <w:sz w:val="24"/>
          <w:szCs w:val="24"/>
        </w:rPr>
      </w:pPr>
      <w:r>
        <w:rPr>
          <w:sz w:val="24"/>
          <w:szCs w:val="24"/>
        </w:rPr>
        <w:t>V</w:t>
      </w:r>
      <w:r w:rsidR="00E34006" w:rsidRPr="007052AC">
        <w:rPr>
          <w:sz w:val="24"/>
          <w:szCs w:val="24"/>
        </w:rPr>
        <w:t xml:space="preserve"> kategorii pozemků pro komerční vybavenost </w:t>
      </w:r>
      <w:r>
        <w:rPr>
          <w:sz w:val="24"/>
          <w:szCs w:val="24"/>
        </w:rPr>
        <w:t xml:space="preserve">byla </w:t>
      </w:r>
      <w:r w:rsidR="006A7E69" w:rsidRPr="00124DCA">
        <w:rPr>
          <w:sz w:val="24"/>
          <w:szCs w:val="24"/>
        </w:rPr>
        <w:t xml:space="preserve">při srovnání s minulým obdobím </w:t>
      </w:r>
      <w:r w:rsidR="006A7E69" w:rsidRPr="00816203">
        <w:rPr>
          <w:sz w:val="24"/>
          <w:szCs w:val="24"/>
        </w:rPr>
        <w:t>(</w:t>
      </w:r>
      <w:r w:rsidR="00C10AA5" w:rsidRPr="00816203">
        <w:rPr>
          <w:sz w:val="24"/>
          <w:szCs w:val="24"/>
        </w:rPr>
        <w:t>1</w:t>
      </w:r>
      <w:r w:rsidR="00762B26" w:rsidRPr="00816203">
        <w:rPr>
          <w:sz w:val="24"/>
          <w:szCs w:val="24"/>
        </w:rPr>
        <w:t>,3</w:t>
      </w:r>
      <w:r w:rsidR="006A7E69" w:rsidRPr="00816203">
        <w:rPr>
          <w:sz w:val="24"/>
          <w:szCs w:val="24"/>
        </w:rPr>
        <w:t xml:space="preserve"> ha) </w:t>
      </w:r>
      <w:r w:rsidR="00434582" w:rsidRPr="00816203">
        <w:rPr>
          <w:sz w:val="24"/>
          <w:szCs w:val="24"/>
        </w:rPr>
        <w:t xml:space="preserve">meziročně obchodována </w:t>
      </w:r>
      <w:r w:rsidR="00762B26" w:rsidRPr="00816203">
        <w:rPr>
          <w:sz w:val="24"/>
          <w:szCs w:val="24"/>
        </w:rPr>
        <w:t xml:space="preserve">také výrazně větší </w:t>
      </w:r>
      <w:r w:rsidR="00C10AA5" w:rsidRPr="00816203">
        <w:rPr>
          <w:sz w:val="24"/>
          <w:szCs w:val="24"/>
        </w:rPr>
        <w:t>plocha</w:t>
      </w:r>
      <w:r w:rsidR="00762B26" w:rsidRPr="00816203">
        <w:rPr>
          <w:sz w:val="24"/>
          <w:szCs w:val="24"/>
        </w:rPr>
        <w:t>,</w:t>
      </w:r>
      <w:r w:rsidR="008548B5" w:rsidRPr="00816203">
        <w:rPr>
          <w:sz w:val="24"/>
          <w:szCs w:val="24"/>
        </w:rPr>
        <w:t xml:space="preserve"> </w:t>
      </w:r>
      <w:r w:rsidR="00762B26" w:rsidRPr="00816203">
        <w:rPr>
          <w:sz w:val="24"/>
          <w:szCs w:val="24"/>
        </w:rPr>
        <w:t>a to 8,2</w:t>
      </w:r>
      <w:r w:rsidR="006A7E69" w:rsidRPr="00816203">
        <w:rPr>
          <w:sz w:val="24"/>
          <w:szCs w:val="24"/>
        </w:rPr>
        <w:t> </w:t>
      </w:r>
      <w:r w:rsidR="00A77CDC" w:rsidRPr="00816203">
        <w:rPr>
          <w:sz w:val="24"/>
          <w:szCs w:val="24"/>
        </w:rPr>
        <w:t>ha</w:t>
      </w:r>
      <w:r w:rsidR="009F4705" w:rsidRPr="00816203">
        <w:rPr>
          <w:sz w:val="24"/>
          <w:szCs w:val="24"/>
        </w:rPr>
        <w:t>.</w:t>
      </w:r>
      <w:r w:rsidR="006A7E69" w:rsidRPr="00816203">
        <w:rPr>
          <w:sz w:val="24"/>
          <w:szCs w:val="24"/>
        </w:rPr>
        <w:t xml:space="preserve"> </w:t>
      </w:r>
      <w:r w:rsidR="00624500" w:rsidRPr="00816203">
        <w:rPr>
          <w:sz w:val="24"/>
          <w:szCs w:val="24"/>
        </w:rPr>
        <w:t>Z</w:t>
      </w:r>
      <w:r w:rsidRPr="00816203">
        <w:rPr>
          <w:sz w:val="24"/>
          <w:szCs w:val="24"/>
        </w:rPr>
        <w:t> </w:t>
      </w:r>
      <w:r w:rsidR="00624500" w:rsidRPr="00816203">
        <w:rPr>
          <w:sz w:val="24"/>
          <w:szCs w:val="24"/>
        </w:rPr>
        <w:t>p</w:t>
      </w:r>
      <w:r w:rsidR="0016791F" w:rsidRPr="00816203">
        <w:rPr>
          <w:sz w:val="24"/>
          <w:szCs w:val="24"/>
        </w:rPr>
        <w:t xml:space="preserve">růběžně </w:t>
      </w:r>
      <w:r w:rsidR="00624500" w:rsidRPr="00816203">
        <w:rPr>
          <w:sz w:val="24"/>
          <w:szCs w:val="24"/>
        </w:rPr>
        <w:t xml:space="preserve">sledovaného </w:t>
      </w:r>
      <w:r w:rsidR="00207FBE" w:rsidRPr="00816203">
        <w:rPr>
          <w:sz w:val="24"/>
          <w:szCs w:val="24"/>
        </w:rPr>
        <w:t xml:space="preserve">celkového objemu </w:t>
      </w:r>
      <w:r w:rsidR="00A8643B" w:rsidRPr="00816203">
        <w:rPr>
          <w:sz w:val="24"/>
          <w:szCs w:val="24"/>
        </w:rPr>
        <w:t>převodů</w:t>
      </w:r>
      <w:r w:rsidR="00207FBE" w:rsidRPr="00816203">
        <w:rPr>
          <w:sz w:val="24"/>
          <w:szCs w:val="24"/>
        </w:rPr>
        <w:t xml:space="preserve"> </w:t>
      </w:r>
      <w:r w:rsidR="00624500" w:rsidRPr="00816203">
        <w:rPr>
          <w:sz w:val="24"/>
          <w:szCs w:val="24"/>
        </w:rPr>
        <w:t xml:space="preserve">je objem </w:t>
      </w:r>
      <w:r w:rsidR="00850687" w:rsidRPr="00816203">
        <w:rPr>
          <w:sz w:val="24"/>
          <w:szCs w:val="24"/>
        </w:rPr>
        <w:t xml:space="preserve">v úrovni </w:t>
      </w:r>
      <w:r w:rsidR="008548B5" w:rsidRPr="00816203">
        <w:rPr>
          <w:sz w:val="24"/>
          <w:szCs w:val="24"/>
        </w:rPr>
        <w:t>2</w:t>
      </w:r>
      <w:r w:rsidR="00816203" w:rsidRPr="00816203">
        <w:rPr>
          <w:sz w:val="24"/>
          <w:szCs w:val="24"/>
        </w:rPr>
        <w:t>06</w:t>
      </w:r>
      <w:r w:rsidR="008548B5" w:rsidRPr="00816203">
        <w:rPr>
          <w:sz w:val="24"/>
          <w:szCs w:val="24"/>
        </w:rPr>
        <w:t xml:space="preserve"> mil. Kč </w:t>
      </w:r>
      <w:r w:rsidR="00850687" w:rsidRPr="00816203">
        <w:rPr>
          <w:sz w:val="24"/>
          <w:szCs w:val="24"/>
        </w:rPr>
        <w:t xml:space="preserve">dosažený v </w:t>
      </w:r>
      <w:r w:rsidR="00F36D44" w:rsidRPr="00816203">
        <w:rPr>
          <w:sz w:val="24"/>
          <w:szCs w:val="24"/>
        </w:rPr>
        <w:t>poslední</w:t>
      </w:r>
      <w:r w:rsidR="00850687" w:rsidRPr="00816203">
        <w:rPr>
          <w:sz w:val="24"/>
          <w:szCs w:val="24"/>
        </w:rPr>
        <w:t>m</w:t>
      </w:r>
      <w:r w:rsidR="00F36D44" w:rsidRPr="00124DCA">
        <w:rPr>
          <w:sz w:val="24"/>
          <w:szCs w:val="24"/>
        </w:rPr>
        <w:t xml:space="preserve"> </w:t>
      </w:r>
      <w:r w:rsidR="008E353C" w:rsidRPr="00124DCA">
        <w:rPr>
          <w:sz w:val="24"/>
          <w:szCs w:val="24"/>
        </w:rPr>
        <w:t>zkoumané</w:t>
      </w:r>
      <w:r w:rsidR="00850687">
        <w:rPr>
          <w:sz w:val="24"/>
          <w:szCs w:val="24"/>
        </w:rPr>
        <w:t>m</w:t>
      </w:r>
      <w:r w:rsidR="008E353C" w:rsidRPr="00124DCA">
        <w:rPr>
          <w:sz w:val="24"/>
          <w:szCs w:val="24"/>
        </w:rPr>
        <w:t xml:space="preserve"> </w:t>
      </w:r>
      <w:r w:rsidR="00F36D44" w:rsidRPr="00124DCA">
        <w:rPr>
          <w:sz w:val="24"/>
          <w:szCs w:val="24"/>
        </w:rPr>
        <w:t>období</w:t>
      </w:r>
      <w:r w:rsidR="008548B5">
        <w:rPr>
          <w:sz w:val="24"/>
          <w:szCs w:val="24"/>
        </w:rPr>
        <w:t xml:space="preserve"> roku 2021 absolutně nejvyšším za posledních 10 let, kdy v p</w:t>
      </w:r>
      <w:r w:rsidR="0008152D">
        <w:rPr>
          <w:sz w:val="24"/>
          <w:szCs w:val="24"/>
        </w:rPr>
        <w:t>ředchozí</w:t>
      </w:r>
      <w:r w:rsidR="008548B5">
        <w:rPr>
          <w:sz w:val="24"/>
          <w:szCs w:val="24"/>
        </w:rPr>
        <w:t xml:space="preserve">ch </w:t>
      </w:r>
      <w:r w:rsidR="0025042F" w:rsidRPr="00124DCA">
        <w:rPr>
          <w:sz w:val="24"/>
          <w:szCs w:val="24"/>
        </w:rPr>
        <w:t>období</w:t>
      </w:r>
      <w:r w:rsidR="008548B5">
        <w:rPr>
          <w:sz w:val="24"/>
          <w:szCs w:val="24"/>
        </w:rPr>
        <w:t>ch</w:t>
      </w:r>
      <w:r w:rsidR="0008152D">
        <w:rPr>
          <w:sz w:val="24"/>
          <w:szCs w:val="24"/>
        </w:rPr>
        <w:t xml:space="preserve"> let 2013 až 2020</w:t>
      </w:r>
      <w:r w:rsidR="0025042F" w:rsidRPr="00124DCA">
        <w:rPr>
          <w:sz w:val="24"/>
          <w:szCs w:val="24"/>
        </w:rPr>
        <w:t xml:space="preserve"> se objemy obchodů pohybovaly v rozmezí </w:t>
      </w:r>
      <w:r w:rsidR="0008152D">
        <w:rPr>
          <w:sz w:val="24"/>
          <w:szCs w:val="24"/>
        </w:rPr>
        <w:t>55</w:t>
      </w:r>
      <w:r w:rsidR="0025042F" w:rsidRPr="00124DCA">
        <w:rPr>
          <w:sz w:val="24"/>
          <w:szCs w:val="24"/>
        </w:rPr>
        <w:t xml:space="preserve"> </w:t>
      </w:r>
      <w:r w:rsidR="00E34006" w:rsidRPr="00124DCA">
        <w:rPr>
          <w:sz w:val="24"/>
          <w:szCs w:val="24"/>
        </w:rPr>
        <w:t>a</w:t>
      </w:r>
      <w:r w:rsidR="0025042F" w:rsidRPr="00124DCA">
        <w:rPr>
          <w:sz w:val="24"/>
          <w:szCs w:val="24"/>
        </w:rPr>
        <w:t>ž</w:t>
      </w:r>
      <w:r w:rsidR="00E34006" w:rsidRPr="00124DCA">
        <w:rPr>
          <w:sz w:val="24"/>
          <w:szCs w:val="24"/>
        </w:rPr>
        <w:t xml:space="preserve"> </w:t>
      </w:r>
      <w:r w:rsidR="00124DCA">
        <w:rPr>
          <w:sz w:val="24"/>
          <w:szCs w:val="24"/>
        </w:rPr>
        <w:t>70</w:t>
      </w:r>
      <w:r w:rsidR="00124DCA" w:rsidRPr="00124DCA">
        <w:rPr>
          <w:sz w:val="24"/>
          <w:szCs w:val="24"/>
        </w:rPr>
        <w:t> </w:t>
      </w:r>
      <w:r w:rsidR="00624500" w:rsidRPr="00124DCA">
        <w:rPr>
          <w:sz w:val="24"/>
          <w:szCs w:val="24"/>
        </w:rPr>
        <w:t>mil.</w:t>
      </w:r>
      <w:r w:rsidR="00124DCA" w:rsidRPr="00124DCA">
        <w:rPr>
          <w:sz w:val="24"/>
          <w:szCs w:val="24"/>
        </w:rPr>
        <w:t> </w:t>
      </w:r>
      <w:r w:rsidR="00624500" w:rsidRPr="00124DCA">
        <w:rPr>
          <w:sz w:val="24"/>
          <w:szCs w:val="24"/>
        </w:rPr>
        <w:t>Kč</w:t>
      </w:r>
      <w:r w:rsidR="0008152D">
        <w:rPr>
          <w:sz w:val="24"/>
          <w:szCs w:val="24"/>
        </w:rPr>
        <w:t xml:space="preserve">, s výjimkou období let </w:t>
      </w:r>
      <w:r w:rsidR="00624500" w:rsidRPr="00124DCA">
        <w:rPr>
          <w:sz w:val="24"/>
          <w:szCs w:val="24"/>
        </w:rPr>
        <w:t>20</w:t>
      </w:r>
      <w:r w:rsidR="0025042F" w:rsidRPr="00124DCA">
        <w:rPr>
          <w:sz w:val="24"/>
          <w:szCs w:val="24"/>
        </w:rPr>
        <w:t xml:space="preserve">17 </w:t>
      </w:r>
      <w:r w:rsidR="0008152D">
        <w:rPr>
          <w:sz w:val="24"/>
          <w:szCs w:val="24"/>
        </w:rPr>
        <w:t>až 2019</w:t>
      </w:r>
      <w:r w:rsidR="00262A85">
        <w:rPr>
          <w:sz w:val="24"/>
          <w:szCs w:val="24"/>
        </w:rPr>
        <w:t>, kdy</w:t>
      </w:r>
      <w:r w:rsidR="0008152D">
        <w:rPr>
          <w:sz w:val="24"/>
          <w:szCs w:val="24"/>
        </w:rPr>
        <w:t xml:space="preserve"> </w:t>
      </w:r>
      <w:r w:rsidR="0025042F" w:rsidRPr="00124DCA">
        <w:rPr>
          <w:sz w:val="24"/>
          <w:szCs w:val="24"/>
        </w:rPr>
        <w:t>do</w:t>
      </w:r>
      <w:r w:rsidR="006A7E69">
        <w:rPr>
          <w:sz w:val="24"/>
          <w:szCs w:val="24"/>
        </w:rPr>
        <w:t>cházelo</w:t>
      </w:r>
      <w:r w:rsidR="0025042F" w:rsidRPr="00124DCA">
        <w:rPr>
          <w:sz w:val="24"/>
          <w:szCs w:val="24"/>
        </w:rPr>
        <w:t xml:space="preserve"> k výrazný</w:t>
      </w:r>
      <w:r w:rsidR="00262A85">
        <w:rPr>
          <w:sz w:val="24"/>
          <w:szCs w:val="24"/>
        </w:rPr>
        <w:t>m výkyvům v jednotlivých letech (</w:t>
      </w:r>
      <w:r w:rsidR="0025042F" w:rsidRPr="00124DCA">
        <w:rPr>
          <w:sz w:val="24"/>
          <w:szCs w:val="24"/>
        </w:rPr>
        <w:t xml:space="preserve">v roce 2017 </w:t>
      </w:r>
      <w:r w:rsidR="00262A85">
        <w:rPr>
          <w:sz w:val="24"/>
          <w:szCs w:val="24"/>
        </w:rPr>
        <w:t xml:space="preserve">– objem </w:t>
      </w:r>
      <w:r w:rsidR="0025042F" w:rsidRPr="00124DCA">
        <w:rPr>
          <w:sz w:val="24"/>
          <w:szCs w:val="24"/>
        </w:rPr>
        <w:t>26 mil. Kč</w:t>
      </w:r>
      <w:r w:rsidR="00262A85">
        <w:rPr>
          <w:sz w:val="24"/>
          <w:szCs w:val="24"/>
        </w:rPr>
        <w:t>, v</w:t>
      </w:r>
      <w:r w:rsidR="0015357A" w:rsidRPr="00124DCA">
        <w:rPr>
          <w:sz w:val="24"/>
          <w:szCs w:val="24"/>
        </w:rPr>
        <w:t xml:space="preserve"> ro</w:t>
      </w:r>
      <w:r w:rsidR="00262A85">
        <w:rPr>
          <w:sz w:val="24"/>
          <w:szCs w:val="24"/>
        </w:rPr>
        <w:t>ce</w:t>
      </w:r>
      <w:r w:rsidR="0015357A" w:rsidRPr="00124DCA">
        <w:rPr>
          <w:sz w:val="24"/>
          <w:szCs w:val="24"/>
        </w:rPr>
        <w:t xml:space="preserve"> 201</w:t>
      </w:r>
      <w:r w:rsidR="007738C4" w:rsidRPr="00124DCA">
        <w:rPr>
          <w:sz w:val="24"/>
          <w:szCs w:val="24"/>
        </w:rPr>
        <w:t>8</w:t>
      </w:r>
      <w:r w:rsidR="0025042F" w:rsidRPr="00124DCA">
        <w:rPr>
          <w:sz w:val="24"/>
          <w:szCs w:val="24"/>
        </w:rPr>
        <w:t xml:space="preserve"> </w:t>
      </w:r>
      <w:r w:rsidR="00262A85">
        <w:rPr>
          <w:sz w:val="24"/>
          <w:szCs w:val="24"/>
        </w:rPr>
        <w:t>- objem</w:t>
      </w:r>
      <w:r w:rsidR="0095733F" w:rsidRPr="00124DCA">
        <w:rPr>
          <w:sz w:val="24"/>
          <w:szCs w:val="24"/>
        </w:rPr>
        <w:t xml:space="preserve"> 2</w:t>
      </w:r>
      <w:r w:rsidR="0015357A" w:rsidRPr="00124DCA">
        <w:rPr>
          <w:sz w:val="24"/>
          <w:szCs w:val="24"/>
        </w:rPr>
        <w:t>25 mil. Kč</w:t>
      </w:r>
      <w:r w:rsidR="006A7E69">
        <w:rPr>
          <w:sz w:val="24"/>
          <w:szCs w:val="24"/>
        </w:rPr>
        <w:t xml:space="preserve">, </w:t>
      </w:r>
      <w:r w:rsidR="00262A85">
        <w:rPr>
          <w:sz w:val="24"/>
          <w:szCs w:val="24"/>
        </w:rPr>
        <w:t xml:space="preserve">a </w:t>
      </w:r>
      <w:r w:rsidR="006A7E69">
        <w:rPr>
          <w:sz w:val="24"/>
          <w:szCs w:val="24"/>
        </w:rPr>
        <w:t>v</w:t>
      </w:r>
      <w:r w:rsidR="0015357A" w:rsidRPr="00124DCA">
        <w:rPr>
          <w:sz w:val="24"/>
          <w:szCs w:val="24"/>
        </w:rPr>
        <w:t xml:space="preserve"> ro</w:t>
      </w:r>
      <w:r w:rsidR="006A7E69">
        <w:rPr>
          <w:sz w:val="24"/>
          <w:szCs w:val="24"/>
        </w:rPr>
        <w:t>ce</w:t>
      </w:r>
      <w:r w:rsidR="0015357A" w:rsidRPr="00124DCA">
        <w:rPr>
          <w:sz w:val="24"/>
          <w:szCs w:val="24"/>
        </w:rPr>
        <w:t xml:space="preserve"> 201</w:t>
      </w:r>
      <w:r w:rsidR="00124DCA" w:rsidRPr="00124DCA">
        <w:rPr>
          <w:sz w:val="24"/>
          <w:szCs w:val="24"/>
        </w:rPr>
        <w:t>9</w:t>
      </w:r>
      <w:r w:rsidR="0015357A" w:rsidRPr="00124DCA">
        <w:rPr>
          <w:sz w:val="24"/>
          <w:szCs w:val="24"/>
        </w:rPr>
        <w:t xml:space="preserve"> </w:t>
      </w:r>
      <w:r w:rsidR="00262A85">
        <w:rPr>
          <w:sz w:val="24"/>
          <w:szCs w:val="24"/>
        </w:rPr>
        <w:t>- objem</w:t>
      </w:r>
      <w:r w:rsidR="00124DCA" w:rsidRPr="00124DCA">
        <w:rPr>
          <w:sz w:val="24"/>
          <w:szCs w:val="24"/>
        </w:rPr>
        <w:t>17 </w:t>
      </w:r>
      <w:r w:rsidR="0015357A" w:rsidRPr="00124DCA">
        <w:rPr>
          <w:sz w:val="24"/>
          <w:szCs w:val="24"/>
        </w:rPr>
        <w:t>mil.</w:t>
      </w:r>
      <w:r w:rsidR="006A7E69">
        <w:rPr>
          <w:sz w:val="24"/>
          <w:szCs w:val="24"/>
        </w:rPr>
        <w:t> </w:t>
      </w:r>
      <w:r w:rsidR="0015357A" w:rsidRPr="00124DCA">
        <w:rPr>
          <w:sz w:val="24"/>
          <w:szCs w:val="24"/>
        </w:rPr>
        <w:t>Kč</w:t>
      </w:r>
      <w:r w:rsidR="008548B5">
        <w:rPr>
          <w:sz w:val="24"/>
          <w:szCs w:val="24"/>
        </w:rPr>
        <w:t>) a roku 2013 kdy byly zobchodovány komerční pozemky v celkové hodnotě 120 mil.</w:t>
      </w:r>
      <w:r w:rsidR="00BC70D3">
        <w:rPr>
          <w:sz w:val="24"/>
          <w:szCs w:val="24"/>
        </w:rPr>
        <w:t> </w:t>
      </w:r>
      <w:r w:rsidR="008548B5">
        <w:rPr>
          <w:sz w:val="24"/>
          <w:szCs w:val="24"/>
        </w:rPr>
        <w:t>Kč</w:t>
      </w:r>
      <w:r w:rsidR="00360526" w:rsidRPr="00124DCA">
        <w:rPr>
          <w:sz w:val="24"/>
          <w:szCs w:val="24"/>
        </w:rPr>
        <w:t>.</w:t>
      </w:r>
      <w:r w:rsidR="00360526" w:rsidRPr="007052AC">
        <w:rPr>
          <w:sz w:val="24"/>
          <w:szCs w:val="24"/>
        </w:rPr>
        <w:t xml:space="preserve"> </w:t>
      </w:r>
    </w:p>
    <w:p w14:paraId="4DB78241" w14:textId="46C53FA3" w:rsidR="00F9667C" w:rsidRDefault="000525C1" w:rsidP="00F9667C">
      <w:pPr>
        <w:spacing w:before="120"/>
        <w:ind w:firstLine="425"/>
        <w:jc w:val="both"/>
        <w:rPr>
          <w:sz w:val="24"/>
        </w:rPr>
      </w:pPr>
      <w:r w:rsidRPr="002B430E">
        <w:rPr>
          <w:sz w:val="24"/>
          <w:szCs w:val="24"/>
        </w:rPr>
        <w:t xml:space="preserve">V rámci této kategorie pozemků jsou </w:t>
      </w:r>
      <w:r w:rsidR="002B430E" w:rsidRPr="002B430E">
        <w:rPr>
          <w:sz w:val="24"/>
          <w:szCs w:val="24"/>
        </w:rPr>
        <w:t xml:space="preserve">ve výstavbě nebo </w:t>
      </w:r>
      <w:r w:rsidRPr="002B430E">
        <w:rPr>
          <w:sz w:val="24"/>
          <w:szCs w:val="24"/>
        </w:rPr>
        <w:t xml:space="preserve">byly dokončeny </w:t>
      </w:r>
      <w:r w:rsidR="00A439BC" w:rsidRPr="002B430E">
        <w:rPr>
          <w:sz w:val="24"/>
          <w:szCs w:val="24"/>
        </w:rPr>
        <w:t>projekt</w:t>
      </w:r>
      <w:r w:rsidR="002B430E" w:rsidRPr="002B430E">
        <w:rPr>
          <w:sz w:val="24"/>
          <w:szCs w:val="24"/>
        </w:rPr>
        <w:t>y</w:t>
      </w:r>
      <w:r w:rsidR="00D67A41" w:rsidRPr="002B430E">
        <w:rPr>
          <w:sz w:val="24"/>
          <w:szCs w:val="24"/>
        </w:rPr>
        <w:t>,</w:t>
      </w:r>
      <w:r w:rsidR="00816203">
        <w:rPr>
          <w:sz w:val="24"/>
          <w:szCs w:val="24"/>
        </w:rPr>
        <w:t xml:space="preserve"> v rámci kterých lze</w:t>
      </w:r>
      <w:r w:rsidR="00A439BC" w:rsidRPr="002B430E">
        <w:rPr>
          <w:sz w:val="24"/>
          <w:szCs w:val="24"/>
        </w:rPr>
        <w:t xml:space="preserve"> zmínit např. polyfunkční objekt pro bydlení s občanskou vybavenost</w:t>
      </w:r>
      <w:r w:rsidR="0015357A" w:rsidRPr="002B430E">
        <w:rPr>
          <w:sz w:val="24"/>
          <w:szCs w:val="24"/>
        </w:rPr>
        <w:t>í</w:t>
      </w:r>
      <w:r w:rsidR="00A439BC" w:rsidRPr="002B430E">
        <w:rPr>
          <w:sz w:val="24"/>
          <w:szCs w:val="24"/>
        </w:rPr>
        <w:t xml:space="preserve"> pod názvem Nové Lauby v prostoru mezi Masarykovým náměstím a</w:t>
      </w:r>
      <w:r w:rsidR="006305E3" w:rsidRPr="002B430E">
        <w:rPr>
          <w:sz w:val="24"/>
          <w:szCs w:val="24"/>
        </w:rPr>
        <w:t> </w:t>
      </w:r>
      <w:r w:rsidR="00931B78" w:rsidRPr="002B430E">
        <w:rPr>
          <w:sz w:val="24"/>
          <w:szCs w:val="24"/>
        </w:rPr>
        <w:t>ul. Pivovarskou</w:t>
      </w:r>
      <w:r w:rsidR="00124DCA" w:rsidRPr="002B430E">
        <w:rPr>
          <w:sz w:val="24"/>
          <w:szCs w:val="24"/>
        </w:rPr>
        <w:t xml:space="preserve">, </w:t>
      </w:r>
      <w:r w:rsidR="00F9667C" w:rsidRPr="002B430E">
        <w:rPr>
          <w:sz w:val="24"/>
          <w:szCs w:val="24"/>
        </w:rPr>
        <w:t>nebo</w:t>
      </w:r>
      <w:r w:rsidR="00F9667C" w:rsidRPr="002B430E">
        <w:rPr>
          <w:sz w:val="24"/>
        </w:rPr>
        <w:t xml:space="preserve"> nový obchodní o</w:t>
      </w:r>
      <w:r w:rsidR="00D67A41" w:rsidRPr="002B430E">
        <w:rPr>
          <w:sz w:val="24"/>
        </w:rPr>
        <w:t>bjekt v Přívoze na</w:t>
      </w:r>
      <w:r w:rsidR="00F9667C" w:rsidRPr="002B430E">
        <w:rPr>
          <w:sz w:val="24"/>
        </w:rPr>
        <w:t xml:space="preserve"> ul.</w:t>
      </w:r>
      <w:r w:rsidR="00D67A41" w:rsidRPr="002B430E">
        <w:rPr>
          <w:sz w:val="24"/>
        </w:rPr>
        <w:t> </w:t>
      </w:r>
      <w:r w:rsidR="00F9667C" w:rsidRPr="002B430E">
        <w:rPr>
          <w:sz w:val="24"/>
        </w:rPr>
        <w:t>K</w:t>
      </w:r>
      <w:r w:rsidR="002B430E" w:rsidRPr="002B430E">
        <w:rPr>
          <w:sz w:val="24"/>
        </w:rPr>
        <w:t> </w:t>
      </w:r>
      <w:r w:rsidR="00F9667C" w:rsidRPr="002B430E">
        <w:rPr>
          <w:sz w:val="24"/>
        </w:rPr>
        <w:t>L</w:t>
      </w:r>
      <w:r w:rsidR="00262A85" w:rsidRPr="002B430E">
        <w:rPr>
          <w:sz w:val="24"/>
        </w:rPr>
        <w:t>ávce</w:t>
      </w:r>
      <w:r w:rsidR="002B430E" w:rsidRPr="002B430E">
        <w:rPr>
          <w:sz w:val="24"/>
        </w:rPr>
        <w:t>, a dále objekty obchodního c</w:t>
      </w:r>
      <w:r w:rsidR="00BC70D3">
        <w:rPr>
          <w:sz w:val="24"/>
        </w:rPr>
        <w:t>harakteru ve Slezské Ostravě a </w:t>
      </w:r>
      <w:r w:rsidR="002B430E" w:rsidRPr="002B430E">
        <w:rPr>
          <w:sz w:val="24"/>
        </w:rPr>
        <w:t>Porubě</w:t>
      </w:r>
      <w:r w:rsidR="00F9667C" w:rsidRPr="002B430E">
        <w:rPr>
          <w:sz w:val="24"/>
        </w:rPr>
        <w:t xml:space="preserve">. Pokud se týče nových projektů pro administrativu, lze zmínit </w:t>
      </w:r>
      <w:r w:rsidR="002B430E" w:rsidRPr="002B430E">
        <w:rPr>
          <w:sz w:val="24"/>
        </w:rPr>
        <w:t xml:space="preserve">především </w:t>
      </w:r>
      <w:r w:rsidR="00F9667C" w:rsidRPr="002B430E">
        <w:rPr>
          <w:sz w:val="24"/>
        </w:rPr>
        <w:t xml:space="preserve">výstavbu nové administrativní budovy na území Nové Karoliny, </w:t>
      </w:r>
      <w:r w:rsidR="00DB1548">
        <w:rPr>
          <w:sz w:val="24"/>
        </w:rPr>
        <w:t xml:space="preserve">nebo </w:t>
      </w:r>
      <w:r w:rsidR="00F9667C" w:rsidRPr="002B430E">
        <w:rPr>
          <w:sz w:val="24"/>
        </w:rPr>
        <w:t>dále připravované projekty v</w:t>
      </w:r>
      <w:r w:rsidR="00DB1548">
        <w:rPr>
          <w:sz w:val="24"/>
        </w:rPr>
        <w:t> </w:t>
      </w:r>
      <w:r w:rsidR="00F9667C" w:rsidRPr="002B430E">
        <w:rPr>
          <w:sz w:val="24"/>
        </w:rPr>
        <w:t>rámci rozšíření vědecko-technologického parku v</w:t>
      </w:r>
      <w:r w:rsidR="00DB1548">
        <w:rPr>
          <w:sz w:val="24"/>
        </w:rPr>
        <w:t> </w:t>
      </w:r>
      <w:r w:rsidR="00F9667C" w:rsidRPr="002B430E">
        <w:rPr>
          <w:sz w:val="24"/>
        </w:rPr>
        <w:t>Pustkovci</w:t>
      </w:r>
      <w:r w:rsidR="00DB1548">
        <w:rPr>
          <w:sz w:val="24"/>
        </w:rPr>
        <w:t>.</w:t>
      </w:r>
      <w:r w:rsidR="00F9667C" w:rsidRPr="002B430E">
        <w:rPr>
          <w:sz w:val="24"/>
        </w:rPr>
        <w:t xml:space="preserve"> V segmentu projektů pro občanskou vybavenost jsou dále plánovány projekty polyfunkčního charakteru, zejména v kombinaci s bydlením.</w:t>
      </w:r>
    </w:p>
    <w:p w14:paraId="59EE10B1" w14:textId="587FA98D" w:rsidR="00DC38E6" w:rsidRPr="00231ABC" w:rsidRDefault="00DC38E6" w:rsidP="00DC38E6">
      <w:pPr>
        <w:pStyle w:val="Zhlav"/>
        <w:tabs>
          <w:tab w:val="clear" w:pos="4536"/>
          <w:tab w:val="clear" w:pos="9072"/>
        </w:tabs>
        <w:spacing w:before="120"/>
      </w:pPr>
      <w:r>
        <w:t>CM 2020</w:t>
      </w: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61"/>
        <w:gridCol w:w="1842"/>
        <w:gridCol w:w="1843"/>
        <w:gridCol w:w="1985"/>
      </w:tblGrid>
      <w:tr w:rsidR="00DC38E6" w:rsidRPr="00CE2FA1" w14:paraId="6112B662" w14:textId="77777777" w:rsidTr="00D5526F">
        <w:trPr>
          <w:cantSplit/>
        </w:trPr>
        <w:tc>
          <w:tcPr>
            <w:tcW w:w="3261" w:type="dxa"/>
            <w:vMerge w:val="restart"/>
            <w:tcBorders>
              <w:top w:val="single" w:sz="18" w:space="0" w:color="auto"/>
              <w:left w:val="single" w:sz="18" w:space="0" w:color="auto"/>
              <w:right w:val="single" w:sz="18" w:space="0" w:color="auto"/>
            </w:tcBorders>
            <w:vAlign w:val="center"/>
          </w:tcPr>
          <w:p w14:paraId="1D0343D9" w14:textId="77777777" w:rsidR="00DC38E6" w:rsidRPr="00CE2FA1" w:rsidRDefault="00DC38E6" w:rsidP="00D5526F">
            <w:pPr>
              <w:pStyle w:val="Nadpis1"/>
              <w:jc w:val="center"/>
              <w:rPr>
                <w:b/>
              </w:rPr>
            </w:pPr>
            <w:r w:rsidRPr="00CE2FA1">
              <w:rPr>
                <w:b/>
              </w:rPr>
              <w:t>Poloha</w:t>
            </w:r>
          </w:p>
        </w:tc>
        <w:tc>
          <w:tcPr>
            <w:tcW w:w="5670" w:type="dxa"/>
            <w:gridSpan w:val="3"/>
            <w:tcBorders>
              <w:top w:val="single" w:sz="18" w:space="0" w:color="auto"/>
              <w:left w:val="nil"/>
              <w:bottom w:val="nil"/>
              <w:right w:val="single" w:sz="18" w:space="0" w:color="auto"/>
            </w:tcBorders>
          </w:tcPr>
          <w:p w14:paraId="214EA4BD" w14:textId="77777777" w:rsidR="00DC38E6" w:rsidRPr="00CE2FA1" w:rsidRDefault="00DC38E6" w:rsidP="00D5526F">
            <w:pPr>
              <w:ind w:left="356"/>
              <w:jc w:val="center"/>
              <w:rPr>
                <w:b/>
                <w:sz w:val="24"/>
              </w:rPr>
            </w:pPr>
            <w:r w:rsidRPr="00CE2FA1">
              <w:rPr>
                <w:b/>
                <w:sz w:val="24"/>
              </w:rPr>
              <w:t>Kč/m</w:t>
            </w:r>
            <w:r w:rsidRPr="00CE2FA1">
              <w:rPr>
                <w:b/>
                <w:sz w:val="24"/>
                <w:vertAlign w:val="superscript"/>
              </w:rPr>
              <w:t>2</w:t>
            </w:r>
            <w:r w:rsidRPr="00CE2FA1">
              <w:rPr>
                <w:b/>
                <w:sz w:val="24"/>
              </w:rPr>
              <w:t xml:space="preserve"> </w:t>
            </w:r>
          </w:p>
        </w:tc>
      </w:tr>
      <w:tr w:rsidR="00DC38E6" w:rsidRPr="00CE2FA1" w14:paraId="2A28E323" w14:textId="77777777" w:rsidTr="00D5526F">
        <w:tc>
          <w:tcPr>
            <w:tcW w:w="3261" w:type="dxa"/>
            <w:vMerge/>
            <w:tcBorders>
              <w:left w:val="single" w:sz="18" w:space="0" w:color="auto"/>
              <w:bottom w:val="single" w:sz="18" w:space="0" w:color="auto"/>
              <w:right w:val="single" w:sz="18" w:space="0" w:color="auto"/>
            </w:tcBorders>
          </w:tcPr>
          <w:p w14:paraId="25EBB1A2" w14:textId="77777777" w:rsidR="00DC38E6" w:rsidRPr="00CE2FA1" w:rsidRDefault="00DC38E6" w:rsidP="00D5526F">
            <w:pPr>
              <w:pStyle w:val="Nadpis1"/>
            </w:pPr>
          </w:p>
        </w:tc>
        <w:tc>
          <w:tcPr>
            <w:tcW w:w="1842" w:type="dxa"/>
            <w:tcBorders>
              <w:top w:val="single" w:sz="12" w:space="0" w:color="auto"/>
              <w:left w:val="nil"/>
              <w:bottom w:val="single" w:sz="18" w:space="0" w:color="auto"/>
              <w:right w:val="single" w:sz="6" w:space="0" w:color="auto"/>
            </w:tcBorders>
          </w:tcPr>
          <w:p w14:paraId="5E0A5A22" w14:textId="77777777" w:rsidR="00DC38E6" w:rsidRPr="00CE2FA1" w:rsidRDefault="00DC38E6" w:rsidP="00D5526F">
            <w:pPr>
              <w:jc w:val="center"/>
              <w:rPr>
                <w:b/>
                <w:sz w:val="24"/>
              </w:rPr>
            </w:pPr>
            <w:r w:rsidRPr="00CE2FA1">
              <w:rPr>
                <w:b/>
                <w:sz w:val="24"/>
              </w:rPr>
              <w:t>Průměrná cena</w:t>
            </w:r>
          </w:p>
        </w:tc>
        <w:tc>
          <w:tcPr>
            <w:tcW w:w="1843" w:type="dxa"/>
            <w:tcBorders>
              <w:top w:val="single" w:sz="12" w:space="0" w:color="auto"/>
              <w:left w:val="single" w:sz="6" w:space="0" w:color="auto"/>
              <w:bottom w:val="single" w:sz="18" w:space="0" w:color="auto"/>
              <w:right w:val="single" w:sz="6" w:space="0" w:color="auto"/>
            </w:tcBorders>
          </w:tcPr>
          <w:p w14:paraId="4E30B2BA" w14:textId="77777777" w:rsidR="00DC38E6" w:rsidRPr="00CE2FA1" w:rsidRDefault="00DC38E6" w:rsidP="00D5526F">
            <w:pPr>
              <w:ind w:left="72"/>
              <w:jc w:val="center"/>
              <w:rPr>
                <w:b/>
                <w:sz w:val="24"/>
              </w:rPr>
            </w:pPr>
            <w:r w:rsidRPr="00CE2FA1">
              <w:rPr>
                <w:b/>
                <w:sz w:val="24"/>
              </w:rPr>
              <w:t>Minimální cena</w:t>
            </w:r>
          </w:p>
        </w:tc>
        <w:tc>
          <w:tcPr>
            <w:tcW w:w="1985" w:type="dxa"/>
            <w:tcBorders>
              <w:top w:val="single" w:sz="12" w:space="0" w:color="auto"/>
              <w:left w:val="single" w:sz="6" w:space="0" w:color="auto"/>
              <w:bottom w:val="single" w:sz="18" w:space="0" w:color="auto"/>
              <w:right w:val="single" w:sz="18" w:space="0" w:color="auto"/>
            </w:tcBorders>
          </w:tcPr>
          <w:p w14:paraId="3D456462" w14:textId="77777777" w:rsidR="00DC38E6" w:rsidRPr="00CE2FA1" w:rsidRDefault="00DC38E6" w:rsidP="00D5526F">
            <w:pPr>
              <w:jc w:val="center"/>
              <w:rPr>
                <w:b/>
                <w:sz w:val="24"/>
              </w:rPr>
            </w:pPr>
            <w:r w:rsidRPr="00CE2FA1">
              <w:rPr>
                <w:b/>
                <w:sz w:val="24"/>
              </w:rPr>
              <w:t>Maximální cena</w:t>
            </w:r>
          </w:p>
        </w:tc>
      </w:tr>
      <w:tr w:rsidR="00DC38E6" w:rsidRPr="00CE2FA1" w14:paraId="08403967" w14:textId="77777777" w:rsidTr="00D5526F">
        <w:tc>
          <w:tcPr>
            <w:tcW w:w="3261" w:type="dxa"/>
            <w:tcBorders>
              <w:top w:val="nil"/>
              <w:left w:val="single" w:sz="18" w:space="0" w:color="auto"/>
              <w:bottom w:val="single" w:sz="6" w:space="0" w:color="auto"/>
              <w:right w:val="single" w:sz="18" w:space="0" w:color="auto"/>
            </w:tcBorders>
          </w:tcPr>
          <w:p w14:paraId="7D9E7FE4" w14:textId="77777777" w:rsidR="00DC38E6" w:rsidRPr="00CE2FA1" w:rsidRDefault="00DC38E6" w:rsidP="00D5526F">
            <w:pPr>
              <w:rPr>
                <w:sz w:val="24"/>
              </w:rPr>
            </w:pPr>
            <w:r w:rsidRPr="00CE2FA1">
              <w:rPr>
                <w:sz w:val="24"/>
              </w:rPr>
              <w:t>Vnitřní město</w:t>
            </w:r>
          </w:p>
        </w:tc>
        <w:tc>
          <w:tcPr>
            <w:tcW w:w="1842" w:type="dxa"/>
            <w:tcBorders>
              <w:top w:val="nil"/>
              <w:left w:val="nil"/>
              <w:bottom w:val="single" w:sz="6" w:space="0" w:color="auto"/>
              <w:right w:val="single" w:sz="6" w:space="0" w:color="auto"/>
            </w:tcBorders>
          </w:tcPr>
          <w:p w14:paraId="449D4749" w14:textId="04D23AE9" w:rsidR="00DC38E6" w:rsidRPr="00CE2FA1" w:rsidRDefault="00CE2FA1" w:rsidP="00D5526F">
            <w:pPr>
              <w:jc w:val="center"/>
              <w:rPr>
                <w:sz w:val="24"/>
              </w:rPr>
            </w:pPr>
            <w:r w:rsidRPr="00CE2FA1">
              <w:rPr>
                <w:sz w:val="24"/>
              </w:rPr>
              <w:t>4 618</w:t>
            </w:r>
          </w:p>
        </w:tc>
        <w:tc>
          <w:tcPr>
            <w:tcW w:w="1843" w:type="dxa"/>
            <w:tcBorders>
              <w:top w:val="nil"/>
              <w:left w:val="single" w:sz="6" w:space="0" w:color="auto"/>
              <w:bottom w:val="single" w:sz="6" w:space="0" w:color="auto"/>
              <w:right w:val="single" w:sz="6" w:space="0" w:color="auto"/>
            </w:tcBorders>
          </w:tcPr>
          <w:p w14:paraId="60C4A64A" w14:textId="3D425E83" w:rsidR="00DC38E6" w:rsidRPr="00CE2FA1" w:rsidRDefault="00CE2FA1" w:rsidP="00D5526F">
            <w:pPr>
              <w:jc w:val="center"/>
              <w:rPr>
                <w:sz w:val="24"/>
              </w:rPr>
            </w:pPr>
            <w:r w:rsidRPr="00CE2FA1">
              <w:rPr>
                <w:sz w:val="24"/>
              </w:rPr>
              <w:t>251</w:t>
            </w:r>
          </w:p>
        </w:tc>
        <w:tc>
          <w:tcPr>
            <w:tcW w:w="1985" w:type="dxa"/>
            <w:tcBorders>
              <w:top w:val="nil"/>
              <w:left w:val="single" w:sz="6" w:space="0" w:color="auto"/>
              <w:bottom w:val="single" w:sz="6" w:space="0" w:color="auto"/>
              <w:right w:val="single" w:sz="18" w:space="0" w:color="auto"/>
            </w:tcBorders>
          </w:tcPr>
          <w:p w14:paraId="732C5EDD" w14:textId="5AA5D153" w:rsidR="00DC38E6" w:rsidRPr="00CE2FA1" w:rsidRDefault="00CE2FA1" w:rsidP="00D5526F">
            <w:pPr>
              <w:jc w:val="center"/>
              <w:rPr>
                <w:sz w:val="24"/>
              </w:rPr>
            </w:pPr>
            <w:r w:rsidRPr="00CE2FA1">
              <w:rPr>
                <w:sz w:val="24"/>
              </w:rPr>
              <w:t>24 691</w:t>
            </w:r>
          </w:p>
        </w:tc>
      </w:tr>
      <w:tr w:rsidR="00DC38E6" w:rsidRPr="00CE2FA1" w14:paraId="289F51F2" w14:textId="77777777" w:rsidTr="00D5526F">
        <w:tc>
          <w:tcPr>
            <w:tcW w:w="3261" w:type="dxa"/>
            <w:tcBorders>
              <w:top w:val="single" w:sz="6" w:space="0" w:color="auto"/>
              <w:left w:val="single" w:sz="18" w:space="0" w:color="auto"/>
              <w:bottom w:val="single" w:sz="6" w:space="0" w:color="auto"/>
              <w:right w:val="single" w:sz="18" w:space="0" w:color="auto"/>
            </w:tcBorders>
          </w:tcPr>
          <w:p w14:paraId="22E6D44D" w14:textId="77777777" w:rsidR="00DC38E6" w:rsidRPr="00CE2FA1" w:rsidRDefault="00DC38E6" w:rsidP="00D5526F">
            <w:pPr>
              <w:rPr>
                <w:sz w:val="24"/>
              </w:rPr>
            </w:pPr>
            <w:r w:rsidRPr="00CE2FA1">
              <w:rPr>
                <w:sz w:val="24"/>
              </w:rPr>
              <w:t>Okrajová část vnitřního města</w:t>
            </w:r>
          </w:p>
        </w:tc>
        <w:tc>
          <w:tcPr>
            <w:tcW w:w="1842" w:type="dxa"/>
            <w:tcBorders>
              <w:top w:val="single" w:sz="6" w:space="0" w:color="auto"/>
              <w:left w:val="nil"/>
              <w:bottom w:val="single" w:sz="6" w:space="0" w:color="auto"/>
              <w:right w:val="single" w:sz="6" w:space="0" w:color="auto"/>
            </w:tcBorders>
          </w:tcPr>
          <w:p w14:paraId="0C6B4413" w14:textId="7B0EC789" w:rsidR="00DC38E6" w:rsidRPr="00CE2FA1" w:rsidRDefault="00CE2FA1" w:rsidP="00D5526F">
            <w:pPr>
              <w:jc w:val="center"/>
              <w:rPr>
                <w:sz w:val="24"/>
              </w:rPr>
            </w:pPr>
            <w:r w:rsidRPr="00CE2FA1">
              <w:rPr>
                <w:sz w:val="24"/>
              </w:rPr>
              <w:t>984</w:t>
            </w:r>
          </w:p>
        </w:tc>
        <w:tc>
          <w:tcPr>
            <w:tcW w:w="1843" w:type="dxa"/>
            <w:tcBorders>
              <w:top w:val="single" w:sz="6" w:space="0" w:color="auto"/>
              <w:left w:val="single" w:sz="6" w:space="0" w:color="auto"/>
              <w:bottom w:val="single" w:sz="6" w:space="0" w:color="auto"/>
              <w:right w:val="single" w:sz="6" w:space="0" w:color="auto"/>
            </w:tcBorders>
          </w:tcPr>
          <w:p w14:paraId="0A1F45ED" w14:textId="05ADED2D" w:rsidR="00DC38E6" w:rsidRPr="00CE2FA1" w:rsidRDefault="00CE2FA1" w:rsidP="00D5526F">
            <w:pPr>
              <w:jc w:val="center"/>
              <w:rPr>
                <w:sz w:val="24"/>
              </w:rPr>
            </w:pPr>
            <w:r w:rsidRPr="00CE2FA1">
              <w:rPr>
                <w:sz w:val="24"/>
              </w:rPr>
              <w:t>484</w:t>
            </w:r>
          </w:p>
        </w:tc>
        <w:tc>
          <w:tcPr>
            <w:tcW w:w="1985" w:type="dxa"/>
            <w:tcBorders>
              <w:top w:val="single" w:sz="6" w:space="0" w:color="auto"/>
              <w:left w:val="single" w:sz="6" w:space="0" w:color="auto"/>
              <w:bottom w:val="single" w:sz="6" w:space="0" w:color="auto"/>
              <w:right w:val="single" w:sz="18" w:space="0" w:color="auto"/>
            </w:tcBorders>
          </w:tcPr>
          <w:p w14:paraId="6CCA5156" w14:textId="7AD85FF8" w:rsidR="00DC38E6" w:rsidRPr="00CE2FA1" w:rsidRDefault="00CE2FA1" w:rsidP="00D5526F">
            <w:pPr>
              <w:jc w:val="center"/>
              <w:rPr>
                <w:sz w:val="24"/>
              </w:rPr>
            </w:pPr>
            <w:r w:rsidRPr="00CE2FA1">
              <w:rPr>
                <w:sz w:val="24"/>
              </w:rPr>
              <w:t>2 210</w:t>
            </w:r>
          </w:p>
        </w:tc>
      </w:tr>
      <w:tr w:rsidR="00DC38E6" w:rsidRPr="00CE2FA1" w14:paraId="4979B06A" w14:textId="77777777" w:rsidTr="00D5526F">
        <w:tc>
          <w:tcPr>
            <w:tcW w:w="3261" w:type="dxa"/>
            <w:tcBorders>
              <w:top w:val="single" w:sz="6" w:space="0" w:color="auto"/>
              <w:left w:val="single" w:sz="18" w:space="0" w:color="auto"/>
              <w:bottom w:val="single" w:sz="6" w:space="0" w:color="auto"/>
              <w:right w:val="single" w:sz="18" w:space="0" w:color="auto"/>
            </w:tcBorders>
          </w:tcPr>
          <w:p w14:paraId="03177494" w14:textId="77777777" w:rsidR="00DC38E6" w:rsidRPr="00CE2FA1" w:rsidRDefault="00DC38E6" w:rsidP="00D5526F">
            <w:pPr>
              <w:rPr>
                <w:sz w:val="24"/>
              </w:rPr>
            </w:pPr>
            <w:r w:rsidRPr="00CE2FA1">
              <w:rPr>
                <w:sz w:val="24"/>
              </w:rPr>
              <w:t>Průmyslové části</w:t>
            </w:r>
          </w:p>
        </w:tc>
        <w:tc>
          <w:tcPr>
            <w:tcW w:w="1842" w:type="dxa"/>
            <w:tcBorders>
              <w:top w:val="single" w:sz="6" w:space="0" w:color="auto"/>
              <w:left w:val="nil"/>
              <w:bottom w:val="single" w:sz="6" w:space="0" w:color="auto"/>
              <w:right w:val="single" w:sz="6" w:space="0" w:color="auto"/>
            </w:tcBorders>
          </w:tcPr>
          <w:p w14:paraId="35E00611" w14:textId="3F051AB6" w:rsidR="00DC38E6" w:rsidRPr="00CE2FA1" w:rsidRDefault="00CE2FA1" w:rsidP="00D5526F">
            <w:pPr>
              <w:jc w:val="center"/>
              <w:rPr>
                <w:sz w:val="24"/>
              </w:rPr>
            </w:pPr>
            <w:r w:rsidRPr="00CE2FA1">
              <w:rPr>
                <w:sz w:val="24"/>
              </w:rPr>
              <w:t>1 572</w:t>
            </w:r>
          </w:p>
        </w:tc>
        <w:tc>
          <w:tcPr>
            <w:tcW w:w="1843" w:type="dxa"/>
            <w:tcBorders>
              <w:top w:val="single" w:sz="6" w:space="0" w:color="auto"/>
              <w:left w:val="single" w:sz="6" w:space="0" w:color="auto"/>
              <w:bottom w:val="single" w:sz="6" w:space="0" w:color="auto"/>
              <w:right w:val="single" w:sz="6" w:space="0" w:color="auto"/>
            </w:tcBorders>
          </w:tcPr>
          <w:p w14:paraId="6E558BC6" w14:textId="09D80F88" w:rsidR="00DC38E6" w:rsidRPr="00CE2FA1" w:rsidRDefault="00CE2FA1" w:rsidP="00D5526F">
            <w:pPr>
              <w:jc w:val="center"/>
              <w:rPr>
                <w:sz w:val="24"/>
              </w:rPr>
            </w:pPr>
            <w:r w:rsidRPr="00CE2FA1">
              <w:rPr>
                <w:sz w:val="24"/>
              </w:rPr>
              <w:t>800</w:t>
            </w:r>
          </w:p>
        </w:tc>
        <w:tc>
          <w:tcPr>
            <w:tcW w:w="1985" w:type="dxa"/>
            <w:tcBorders>
              <w:top w:val="single" w:sz="6" w:space="0" w:color="auto"/>
              <w:left w:val="single" w:sz="6" w:space="0" w:color="auto"/>
              <w:bottom w:val="single" w:sz="6" w:space="0" w:color="auto"/>
              <w:right w:val="single" w:sz="18" w:space="0" w:color="auto"/>
            </w:tcBorders>
          </w:tcPr>
          <w:p w14:paraId="62E0145A" w14:textId="7C1E96E4" w:rsidR="00DC38E6" w:rsidRPr="00CE2FA1" w:rsidRDefault="00CE2FA1" w:rsidP="00D5526F">
            <w:pPr>
              <w:jc w:val="center"/>
              <w:rPr>
                <w:sz w:val="24"/>
              </w:rPr>
            </w:pPr>
            <w:r w:rsidRPr="00CE2FA1">
              <w:rPr>
                <w:sz w:val="24"/>
              </w:rPr>
              <w:t>2 403</w:t>
            </w:r>
          </w:p>
        </w:tc>
      </w:tr>
      <w:tr w:rsidR="00DC38E6" w:rsidRPr="00231ABC" w14:paraId="172EF285" w14:textId="77777777" w:rsidTr="00D5526F">
        <w:tc>
          <w:tcPr>
            <w:tcW w:w="3261" w:type="dxa"/>
            <w:tcBorders>
              <w:top w:val="single" w:sz="6" w:space="0" w:color="auto"/>
              <w:left w:val="single" w:sz="18" w:space="0" w:color="auto"/>
              <w:bottom w:val="single" w:sz="18" w:space="0" w:color="auto"/>
              <w:right w:val="single" w:sz="18" w:space="0" w:color="auto"/>
            </w:tcBorders>
          </w:tcPr>
          <w:p w14:paraId="5C71A5AD" w14:textId="77777777" w:rsidR="00DC38E6" w:rsidRPr="00CE2FA1" w:rsidRDefault="00DC38E6" w:rsidP="00D5526F">
            <w:pPr>
              <w:rPr>
                <w:sz w:val="24"/>
              </w:rPr>
            </w:pPr>
            <w:r w:rsidRPr="00CE2FA1">
              <w:rPr>
                <w:sz w:val="24"/>
              </w:rPr>
              <w:t>Území mimo kompaktní město</w:t>
            </w:r>
          </w:p>
        </w:tc>
        <w:tc>
          <w:tcPr>
            <w:tcW w:w="1842" w:type="dxa"/>
            <w:tcBorders>
              <w:top w:val="single" w:sz="6" w:space="0" w:color="auto"/>
              <w:left w:val="nil"/>
              <w:bottom w:val="single" w:sz="18" w:space="0" w:color="auto"/>
              <w:right w:val="single" w:sz="6" w:space="0" w:color="auto"/>
            </w:tcBorders>
          </w:tcPr>
          <w:p w14:paraId="0EEDCF84" w14:textId="691A4285" w:rsidR="00DC38E6" w:rsidRPr="00CE2FA1" w:rsidRDefault="00CE2FA1" w:rsidP="00D5526F">
            <w:pPr>
              <w:jc w:val="center"/>
              <w:rPr>
                <w:sz w:val="24"/>
              </w:rPr>
            </w:pPr>
            <w:r w:rsidRPr="00CE2FA1">
              <w:rPr>
                <w:sz w:val="24"/>
              </w:rPr>
              <w:t>1 069</w:t>
            </w:r>
          </w:p>
        </w:tc>
        <w:tc>
          <w:tcPr>
            <w:tcW w:w="1843" w:type="dxa"/>
            <w:tcBorders>
              <w:top w:val="single" w:sz="6" w:space="0" w:color="auto"/>
              <w:left w:val="single" w:sz="6" w:space="0" w:color="auto"/>
              <w:bottom w:val="single" w:sz="18" w:space="0" w:color="auto"/>
              <w:right w:val="single" w:sz="6" w:space="0" w:color="auto"/>
            </w:tcBorders>
          </w:tcPr>
          <w:p w14:paraId="543EC37C" w14:textId="024D6639" w:rsidR="00DC38E6" w:rsidRPr="00CE2FA1" w:rsidRDefault="00CE2FA1" w:rsidP="00D5526F">
            <w:pPr>
              <w:jc w:val="center"/>
              <w:rPr>
                <w:sz w:val="24"/>
              </w:rPr>
            </w:pPr>
            <w:r w:rsidRPr="00CE2FA1">
              <w:rPr>
                <w:sz w:val="24"/>
              </w:rPr>
              <w:t>548</w:t>
            </w:r>
          </w:p>
        </w:tc>
        <w:tc>
          <w:tcPr>
            <w:tcW w:w="1985" w:type="dxa"/>
            <w:tcBorders>
              <w:top w:val="single" w:sz="6" w:space="0" w:color="auto"/>
              <w:left w:val="single" w:sz="6" w:space="0" w:color="auto"/>
              <w:bottom w:val="single" w:sz="18" w:space="0" w:color="auto"/>
              <w:right w:val="single" w:sz="18" w:space="0" w:color="auto"/>
            </w:tcBorders>
          </w:tcPr>
          <w:p w14:paraId="06DE3F4C" w14:textId="3335779A" w:rsidR="00DC38E6" w:rsidRPr="00231ABC" w:rsidRDefault="00CE2FA1" w:rsidP="00D5526F">
            <w:pPr>
              <w:jc w:val="center"/>
              <w:rPr>
                <w:sz w:val="24"/>
              </w:rPr>
            </w:pPr>
            <w:r w:rsidRPr="00CE2FA1">
              <w:rPr>
                <w:sz w:val="24"/>
              </w:rPr>
              <w:t>3 630</w:t>
            </w:r>
          </w:p>
        </w:tc>
      </w:tr>
    </w:tbl>
    <w:p w14:paraId="375A49F5" w14:textId="10381623" w:rsidR="00200723" w:rsidRPr="00231ABC" w:rsidRDefault="00200723" w:rsidP="00200723">
      <w:pPr>
        <w:pStyle w:val="Zhlav"/>
        <w:tabs>
          <w:tab w:val="clear" w:pos="4536"/>
          <w:tab w:val="clear" w:pos="9072"/>
        </w:tabs>
        <w:spacing w:before="120"/>
      </w:pPr>
      <w:r w:rsidRPr="00231ABC">
        <w:t>CM 20</w:t>
      </w:r>
      <w:r>
        <w:t>21</w:t>
      </w:r>
    </w:p>
    <w:tbl>
      <w:tblPr>
        <w:tblW w:w="0" w:type="auto"/>
        <w:tblInd w:w="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61"/>
        <w:gridCol w:w="1890"/>
        <w:gridCol w:w="1890"/>
        <w:gridCol w:w="1890"/>
      </w:tblGrid>
      <w:tr w:rsidR="00200723" w:rsidRPr="00231ABC" w14:paraId="097798EE" w14:textId="77777777" w:rsidTr="00200723">
        <w:trPr>
          <w:cantSplit/>
        </w:trPr>
        <w:tc>
          <w:tcPr>
            <w:tcW w:w="3261" w:type="dxa"/>
            <w:vMerge w:val="restart"/>
            <w:tcBorders>
              <w:top w:val="single" w:sz="18" w:space="0" w:color="auto"/>
              <w:left w:val="single" w:sz="18" w:space="0" w:color="auto"/>
              <w:right w:val="single" w:sz="18" w:space="0" w:color="auto"/>
            </w:tcBorders>
            <w:vAlign w:val="center"/>
          </w:tcPr>
          <w:p w14:paraId="1DD3FEEB" w14:textId="77777777" w:rsidR="00200723" w:rsidRPr="00231ABC" w:rsidRDefault="00200723" w:rsidP="00200723">
            <w:pPr>
              <w:pStyle w:val="Nadpis1"/>
              <w:jc w:val="center"/>
              <w:rPr>
                <w:b/>
              </w:rPr>
            </w:pPr>
            <w:r w:rsidRPr="00231ABC">
              <w:rPr>
                <w:b/>
              </w:rPr>
              <w:t>Poloha</w:t>
            </w:r>
          </w:p>
        </w:tc>
        <w:tc>
          <w:tcPr>
            <w:tcW w:w="5670" w:type="dxa"/>
            <w:gridSpan w:val="3"/>
            <w:tcBorders>
              <w:top w:val="single" w:sz="18" w:space="0" w:color="auto"/>
              <w:left w:val="nil"/>
              <w:bottom w:val="nil"/>
              <w:right w:val="single" w:sz="18" w:space="0" w:color="auto"/>
            </w:tcBorders>
          </w:tcPr>
          <w:p w14:paraId="68E738B6" w14:textId="77777777" w:rsidR="00200723" w:rsidRPr="00231ABC" w:rsidRDefault="00200723" w:rsidP="00200723">
            <w:pPr>
              <w:jc w:val="center"/>
              <w:rPr>
                <w:b/>
                <w:sz w:val="24"/>
              </w:rPr>
            </w:pPr>
            <w:r w:rsidRPr="00231ABC">
              <w:rPr>
                <w:b/>
                <w:sz w:val="24"/>
              </w:rPr>
              <w:t>Kč/m</w:t>
            </w:r>
            <w:r w:rsidRPr="00231ABC">
              <w:rPr>
                <w:b/>
                <w:sz w:val="24"/>
                <w:vertAlign w:val="superscript"/>
              </w:rPr>
              <w:t>2</w:t>
            </w:r>
            <w:r w:rsidRPr="00231ABC">
              <w:rPr>
                <w:b/>
                <w:sz w:val="24"/>
              </w:rPr>
              <w:t xml:space="preserve"> </w:t>
            </w:r>
          </w:p>
        </w:tc>
      </w:tr>
      <w:tr w:rsidR="00200723" w:rsidRPr="00231ABC" w14:paraId="0A56EDA9" w14:textId="77777777" w:rsidTr="00200723">
        <w:tc>
          <w:tcPr>
            <w:tcW w:w="3261" w:type="dxa"/>
            <w:vMerge/>
            <w:tcBorders>
              <w:left w:val="single" w:sz="18" w:space="0" w:color="auto"/>
              <w:bottom w:val="single" w:sz="18" w:space="0" w:color="auto"/>
              <w:right w:val="single" w:sz="18" w:space="0" w:color="auto"/>
            </w:tcBorders>
          </w:tcPr>
          <w:p w14:paraId="4C328AC6" w14:textId="77777777" w:rsidR="00200723" w:rsidRPr="00231ABC" w:rsidRDefault="00200723" w:rsidP="00200723">
            <w:pPr>
              <w:pStyle w:val="Nadpis1"/>
            </w:pPr>
          </w:p>
        </w:tc>
        <w:tc>
          <w:tcPr>
            <w:tcW w:w="1890" w:type="dxa"/>
            <w:tcBorders>
              <w:top w:val="single" w:sz="12" w:space="0" w:color="auto"/>
              <w:left w:val="nil"/>
              <w:bottom w:val="single" w:sz="18" w:space="0" w:color="auto"/>
              <w:right w:val="single" w:sz="6" w:space="0" w:color="auto"/>
            </w:tcBorders>
          </w:tcPr>
          <w:p w14:paraId="4A029D21" w14:textId="77777777" w:rsidR="00200723" w:rsidRPr="00231ABC" w:rsidRDefault="00200723" w:rsidP="00200723">
            <w:pPr>
              <w:jc w:val="center"/>
              <w:rPr>
                <w:b/>
                <w:sz w:val="24"/>
              </w:rPr>
            </w:pPr>
            <w:r w:rsidRPr="00231ABC">
              <w:rPr>
                <w:b/>
                <w:sz w:val="24"/>
              </w:rPr>
              <w:t>Průměrná cena</w:t>
            </w:r>
          </w:p>
        </w:tc>
        <w:tc>
          <w:tcPr>
            <w:tcW w:w="1890" w:type="dxa"/>
            <w:tcBorders>
              <w:top w:val="single" w:sz="12" w:space="0" w:color="auto"/>
              <w:left w:val="single" w:sz="6" w:space="0" w:color="auto"/>
              <w:bottom w:val="single" w:sz="18" w:space="0" w:color="auto"/>
              <w:right w:val="single" w:sz="6" w:space="0" w:color="auto"/>
            </w:tcBorders>
          </w:tcPr>
          <w:p w14:paraId="6152D49A" w14:textId="77777777" w:rsidR="00200723" w:rsidRPr="00231ABC" w:rsidRDefault="00200723" w:rsidP="00200723">
            <w:pPr>
              <w:jc w:val="center"/>
              <w:rPr>
                <w:b/>
                <w:sz w:val="24"/>
              </w:rPr>
            </w:pPr>
            <w:r w:rsidRPr="00231ABC">
              <w:rPr>
                <w:b/>
                <w:sz w:val="24"/>
              </w:rPr>
              <w:t>Minimální cena</w:t>
            </w:r>
          </w:p>
        </w:tc>
        <w:tc>
          <w:tcPr>
            <w:tcW w:w="1890" w:type="dxa"/>
            <w:tcBorders>
              <w:top w:val="single" w:sz="12" w:space="0" w:color="auto"/>
              <w:left w:val="single" w:sz="6" w:space="0" w:color="auto"/>
              <w:bottom w:val="single" w:sz="18" w:space="0" w:color="auto"/>
              <w:right w:val="single" w:sz="18" w:space="0" w:color="auto"/>
            </w:tcBorders>
          </w:tcPr>
          <w:p w14:paraId="41B2FB13" w14:textId="77777777" w:rsidR="00200723" w:rsidRPr="00231ABC" w:rsidRDefault="00200723" w:rsidP="00200723">
            <w:pPr>
              <w:jc w:val="center"/>
              <w:rPr>
                <w:b/>
                <w:sz w:val="24"/>
              </w:rPr>
            </w:pPr>
            <w:r w:rsidRPr="00231ABC">
              <w:rPr>
                <w:b/>
                <w:sz w:val="24"/>
              </w:rPr>
              <w:t>Maximální cena</w:t>
            </w:r>
          </w:p>
        </w:tc>
      </w:tr>
      <w:tr w:rsidR="00200723" w:rsidRPr="00231ABC" w14:paraId="623A0806" w14:textId="77777777" w:rsidTr="00200723">
        <w:tc>
          <w:tcPr>
            <w:tcW w:w="3261" w:type="dxa"/>
            <w:tcBorders>
              <w:top w:val="nil"/>
              <w:left w:val="single" w:sz="18" w:space="0" w:color="auto"/>
              <w:bottom w:val="single" w:sz="6" w:space="0" w:color="auto"/>
              <w:right w:val="single" w:sz="18" w:space="0" w:color="auto"/>
            </w:tcBorders>
          </w:tcPr>
          <w:p w14:paraId="43E81322" w14:textId="77777777" w:rsidR="00200723" w:rsidRPr="00231ABC" w:rsidRDefault="00200723" w:rsidP="00200723">
            <w:pPr>
              <w:rPr>
                <w:sz w:val="24"/>
              </w:rPr>
            </w:pPr>
            <w:r w:rsidRPr="00231ABC">
              <w:rPr>
                <w:sz w:val="24"/>
              </w:rPr>
              <w:t>Vnitřní město</w:t>
            </w:r>
          </w:p>
        </w:tc>
        <w:tc>
          <w:tcPr>
            <w:tcW w:w="1890" w:type="dxa"/>
            <w:tcBorders>
              <w:top w:val="nil"/>
              <w:left w:val="nil"/>
              <w:bottom w:val="single" w:sz="6" w:space="0" w:color="auto"/>
              <w:right w:val="single" w:sz="6" w:space="0" w:color="auto"/>
            </w:tcBorders>
          </w:tcPr>
          <w:p w14:paraId="3932D5AB" w14:textId="2C9DAD81" w:rsidR="00200723" w:rsidRPr="00231ABC" w:rsidRDefault="00200723" w:rsidP="00200723">
            <w:pPr>
              <w:jc w:val="center"/>
              <w:rPr>
                <w:sz w:val="24"/>
              </w:rPr>
            </w:pPr>
            <w:r>
              <w:rPr>
                <w:sz w:val="24"/>
              </w:rPr>
              <w:t>1 150</w:t>
            </w:r>
          </w:p>
        </w:tc>
        <w:tc>
          <w:tcPr>
            <w:tcW w:w="1890" w:type="dxa"/>
            <w:tcBorders>
              <w:top w:val="nil"/>
              <w:left w:val="single" w:sz="6" w:space="0" w:color="auto"/>
              <w:bottom w:val="single" w:sz="6" w:space="0" w:color="auto"/>
              <w:right w:val="single" w:sz="6" w:space="0" w:color="auto"/>
            </w:tcBorders>
          </w:tcPr>
          <w:p w14:paraId="6E3BE48C" w14:textId="664E2A8E" w:rsidR="00200723" w:rsidRPr="00231ABC" w:rsidRDefault="00200723" w:rsidP="00200723">
            <w:pPr>
              <w:jc w:val="center"/>
              <w:rPr>
                <w:sz w:val="24"/>
              </w:rPr>
            </w:pPr>
            <w:r>
              <w:rPr>
                <w:sz w:val="24"/>
              </w:rPr>
              <w:t>222</w:t>
            </w:r>
          </w:p>
        </w:tc>
        <w:tc>
          <w:tcPr>
            <w:tcW w:w="1890" w:type="dxa"/>
            <w:tcBorders>
              <w:top w:val="nil"/>
              <w:left w:val="single" w:sz="6" w:space="0" w:color="auto"/>
              <w:bottom w:val="single" w:sz="6" w:space="0" w:color="auto"/>
              <w:right w:val="single" w:sz="18" w:space="0" w:color="auto"/>
            </w:tcBorders>
          </w:tcPr>
          <w:p w14:paraId="0ABBD07D" w14:textId="73EE1D4D" w:rsidR="00200723" w:rsidRPr="00231ABC" w:rsidRDefault="00200723" w:rsidP="00200723">
            <w:pPr>
              <w:jc w:val="center"/>
              <w:rPr>
                <w:sz w:val="24"/>
              </w:rPr>
            </w:pPr>
            <w:r>
              <w:rPr>
                <w:sz w:val="24"/>
              </w:rPr>
              <w:t>2 100</w:t>
            </w:r>
          </w:p>
        </w:tc>
      </w:tr>
      <w:tr w:rsidR="00200723" w:rsidRPr="00231ABC" w14:paraId="464183BE" w14:textId="77777777" w:rsidTr="00200723">
        <w:tc>
          <w:tcPr>
            <w:tcW w:w="3261" w:type="dxa"/>
            <w:tcBorders>
              <w:top w:val="single" w:sz="6" w:space="0" w:color="auto"/>
              <w:left w:val="single" w:sz="18" w:space="0" w:color="auto"/>
              <w:bottom w:val="single" w:sz="6" w:space="0" w:color="auto"/>
              <w:right w:val="single" w:sz="18" w:space="0" w:color="auto"/>
            </w:tcBorders>
          </w:tcPr>
          <w:p w14:paraId="6752CC5B" w14:textId="77777777" w:rsidR="00200723" w:rsidRPr="00231ABC" w:rsidRDefault="00200723" w:rsidP="00200723">
            <w:pPr>
              <w:rPr>
                <w:sz w:val="24"/>
              </w:rPr>
            </w:pPr>
            <w:r w:rsidRPr="00231ABC">
              <w:rPr>
                <w:sz w:val="24"/>
              </w:rPr>
              <w:t>Okrajová část vnitřního města</w:t>
            </w:r>
          </w:p>
        </w:tc>
        <w:tc>
          <w:tcPr>
            <w:tcW w:w="1890" w:type="dxa"/>
            <w:tcBorders>
              <w:top w:val="single" w:sz="6" w:space="0" w:color="auto"/>
              <w:left w:val="nil"/>
              <w:bottom w:val="single" w:sz="6" w:space="0" w:color="auto"/>
              <w:right w:val="single" w:sz="6" w:space="0" w:color="auto"/>
            </w:tcBorders>
          </w:tcPr>
          <w:p w14:paraId="6E76BAC3" w14:textId="0B3B8205" w:rsidR="00200723" w:rsidRPr="00231ABC" w:rsidRDefault="00200723" w:rsidP="00200723">
            <w:pPr>
              <w:jc w:val="center"/>
              <w:rPr>
                <w:sz w:val="24"/>
              </w:rPr>
            </w:pPr>
            <w:r>
              <w:rPr>
                <w:sz w:val="24"/>
              </w:rPr>
              <w:t>2 188</w:t>
            </w:r>
          </w:p>
        </w:tc>
        <w:tc>
          <w:tcPr>
            <w:tcW w:w="1890" w:type="dxa"/>
            <w:tcBorders>
              <w:top w:val="single" w:sz="6" w:space="0" w:color="auto"/>
              <w:left w:val="single" w:sz="6" w:space="0" w:color="auto"/>
              <w:bottom w:val="single" w:sz="6" w:space="0" w:color="auto"/>
              <w:right w:val="single" w:sz="6" w:space="0" w:color="auto"/>
            </w:tcBorders>
          </w:tcPr>
          <w:p w14:paraId="5BE7C6C5" w14:textId="01F4A1D0" w:rsidR="00200723" w:rsidRPr="00231ABC" w:rsidRDefault="00200723" w:rsidP="00200723">
            <w:pPr>
              <w:jc w:val="center"/>
              <w:rPr>
                <w:sz w:val="24"/>
              </w:rPr>
            </w:pPr>
            <w:r>
              <w:rPr>
                <w:sz w:val="24"/>
              </w:rPr>
              <w:t>159</w:t>
            </w:r>
          </w:p>
        </w:tc>
        <w:tc>
          <w:tcPr>
            <w:tcW w:w="1890" w:type="dxa"/>
            <w:tcBorders>
              <w:top w:val="single" w:sz="6" w:space="0" w:color="auto"/>
              <w:left w:val="single" w:sz="6" w:space="0" w:color="auto"/>
              <w:bottom w:val="single" w:sz="6" w:space="0" w:color="auto"/>
              <w:right w:val="single" w:sz="18" w:space="0" w:color="auto"/>
            </w:tcBorders>
          </w:tcPr>
          <w:p w14:paraId="65C15E0A" w14:textId="4AE7E290" w:rsidR="00200723" w:rsidRPr="00231ABC" w:rsidRDefault="00200723" w:rsidP="00200723">
            <w:pPr>
              <w:jc w:val="center"/>
              <w:rPr>
                <w:sz w:val="24"/>
              </w:rPr>
            </w:pPr>
            <w:r>
              <w:rPr>
                <w:sz w:val="24"/>
              </w:rPr>
              <w:t>26 454</w:t>
            </w:r>
          </w:p>
        </w:tc>
      </w:tr>
      <w:tr w:rsidR="00200723" w:rsidRPr="00231ABC" w14:paraId="7D9EB9B0" w14:textId="77777777" w:rsidTr="00200723">
        <w:tc>
          <w:tcPr>
            <w:tcW w:w="3261" w:type="dxa"/>
            <w:tcBorders>
              <w:top w:val="single" w:sz="6" w:space="0" w:color="auto"/>
              <w:left w:val="single" w:sz="18" w:space="0" w:color="auto"/>
              <w:bottom w:val="single" w:sz="6" w:space="0" w:color="auto"/>
              <w:right w:val="single" w:sz="18" w:space="0" w:color="auto"/>
            </w:tcBorders>
          </w:tcPr>
          <w:p w14:paraId="5A67EF42" w14:textId="77777777" w:rsidR="00200723" w:rsidRPr="00231ABC" w:rsidRDefault="00200723" w:rsidP="00200723">
            <w:pPr>
              <w:rPr>
                <w:sz w:val="24"/>
              </w:rPr>
            </w:pPr>
            <w:r w:rsidRPr="00231ABC">
              <w:rPr>
                <w:sz w:val="24"/>
              </w:rPr>
              <w:t>Průmyslové části</w:t>
            </w:r>
          </w:p>
        </w:tc>
        <w:tc>
          <w:tcPr>
            <w:tcW w:w="1890" w:type="dxa"/>
            <w:tcBorders>
              <w:top w:val="single" w:sz="6" w:space="0" w:color="auto"/>
              <w:left w:val="nil"/>
              <w:bottom w:val="single" w:sz="6" w:space="0" w:color="auto"/>
              <w:right w:val="single" w:sz="6" w:space="0" w:color="auto"/>
            </w:tcBorders>
          </w:tcPr>
          <w:p w14:paraId="60528BA5" w14:textId="7019BC5C" w:rsidR="00200723" w:rsidRPr="00231ABC" w:rsidRDefault="00200723" w:rsidP="00200723">
            <w:pPr>
              <w:jc w:val="center"/>
              <w:rPr>
                <w:sz w:val="24"/>
              </w:rPr>
            </w:pPr>
            <w:r>
              <w:rPr>
                <w:sz w:val="24"/>
              </w:rPr>
              <w:t>-</w:t>
            </w:r>
          </w:p>
        </w:tc>
        <w:tc>
          <w:tcPr>
            <w:tcW w:w="1890" w:type="dxa"/>
            <w:tcBorders>
              <w:top w:val="single" w:sz="6" w:space="0" w:color="auto"/>
              <w:left w:val="single" w:sz="6" w:space="0" w:color="auto"/>
              <w:bottom w:val="single" w:sz="6" w:space="0" w:color="auto"/>
              <w:right w:val="single" w:sz="6" w:space="0" w:color="auto"/>
            </w:tcBorders>
          </w:tcPr>
          <w:p w14:paraId="59C41C85" w14:textId="32C957E5" w:rsidR="00200723" w:rsidRPr="00231ABC" w:rsidRDefault="00200723" w:rsidP="00200723">
            <w:pPr>
              <w:jc w:val="center"/>
              <w:rPr>
                <w:sz w:val="24"/>
              </w:rPr>
            </w:pPr>
            <w:r>
              <w:rPr>
                <w:sz w:val="24"/>
              </w:rPr>
              <w:t>-</w:t>
            </w:r>
          </w:p>
        </w:tc>
        <w:tc>
          <w:tcPr>
            <w:tcW w:w="1890" w:type="dxa"/>
            <w:tcBorders>
              <w:top w:val="single" w:sz="6" w:space="0" w:color="auto"/>
              <w:left w:val="single" w:sz="6" w:space="0" w:color="auto"/>
              <w:bottom w:val="single" w:sz="6" w:space="0" w:color="auto"/>
              <w:right w:val="single" w:sz="18" w:space="0" w:color="auto"/>
            </w:tcBorders>
          </w:tcPr>
          <w:p w14:paraId="53870384" w14:textId="7E1CBD97" w:rsidR="00200723" w:rsidRPr="00231ABC" w:rsidRDefault="00200723" w:rsidP="00200723">
            <w:pPr>
              <w:jc w:val="center"/>
              <w:rPr>
                <w:sz w:val="24"/>
              </w:rPr>
            </w:pPr>
            <w:r>
              <w:rPr>
                <w:sz w:val="24"/>
              </w:rPr>
              <w:t>-</w:t>
            </w:r>
          </w:p>
        </w:tc>
      </w:tr>
      <w:tr w:rsidR="00200723" w:rsidRPr="00231ABC" w14:paraId="42C73FD1" w14:textId="77777777" w:rsidTr="00200723">
        <w:tc>
          <w:tcPr>
            <w:tcW w:w="3261" w:type="dxa"/>
            <w:tcBorders>
              <w:top w:val="single" w:sz="6" w:space="0" w:color="auto"/>
              <w:left w:val="single" w:sz="18" w:space="0" w:color="auto"/>
              <w:bottom w:val="single" w:sz="18" w:space="0" w:color="auto"/>
              <w:right w:val="single" w:sz="18" w:space="0" w:color="auto"/>
            </w:tcBorders>
          </w:tcPr>
          <w:p w14:paraId="4D4693DE" w14:textId="77777777" w:rsidR="00200723" w:rsidRPr="00231ABC" w:rsidRDefault="00200723" w:rsidP="00200723">
            <w:pPr>
              <w:rPr>
                <w:sz w:val="24"/>
              </w:rPr>
            </w:pPr>
            <w:r w:rsidRPr="00231ABC">
              <w:rPr>
                <w:sz w:val="24"/>
              </w:rPr>
              <w:t>Území mimo kompaktní město</w:t>
            </w:r>
          </w:p>
        </w:tc>
        <w:tc>
          <w:tcPr>
            <w:tcW w:w="1890" w:type="dxa"/>
            <w:tcBorders>
              <w:top w:val="single" w:sz="6" w:space="0" w:color="auto"/>
              <w:left w:val="nil"/>
              <w:bottom w:val="single" w:sz="18" w:space="0" w:color="auto"/>
              <w:right w:val="single" w:sz="6" w:space="0" w:color="auto"/>
            </w:tcBorders>
          </w:tcPr>
          <w:p w14:paraId="27A379F3" w14:textId="1AEB7D6B" w:rsidR="00200723" w:rsidRPr="00231ABC" w:rsidRDefault="00200723" w:rsidP="00200723">
            <w:pPr>
              <w:jc w:val="center"/>
              <w:rPr>
                <w:sz w:val="24"/>
              </w:rPr>
            </w:pPr>
            <w:r>
              <w:rPr>
                <w:sz w:val="24"/>
              </w:rPr>
              <w:t>1 001</w:t>
            </w:r>
          </w:p>
        </w:tc>
        <w:tc>
          <w:tcPr>
            <w:tcW w:w="1890" w:type="dxa"/>
            <w:tcBorders>
              <w:top w:val="single" w:sz="6" w:space="0" w:color="auto"/>
              <w:left w:val="single" w:sz="6" w:space="0" w:color="auto"/>
              <w:bottom w:val="single" w:sz="18" w:space="0" w:color="auto"/>
              <w:right w:val="single" w:sz="6" w:space="0" w:color="auto"/>
            </w:tcBorders>
          </w:tcPr>
          <w:p w14:paraId="458A3200" w14:textId="57A06A1E" w:rsidR="00200723" w:rsidRPr="00231ABC" w:rsidRDefault="00200723" w:rsidP="00200723">
            <w:pPr>
              <w:jc w:val="center"/>
              <w:rPr>
                <w:sz w:val="24"/>
              </w:rPr>
            </w:pPr>
            <w:r>
              <w:rPr>
                <w:sz w:val="24"/>
              </w:rPr>
              <w:t>800</w:t>
            </w:r>
          </w:p>
        </w:tc>
        <w:tc>
          <w:tcPr>
            <w:tcW w:w="1890" w:type="dxa"/>
            <w:tcBorders>
              <w:top w:val="single" w:sz="6" w:space="0" w:color="auto"/>
              <w:left w:val="single" w:sz="6" w:space="0" w:color="auto"/>
              <w:bottom w:val="single" w:sz="18" w:space="0" w:color="auto"/>
              <w:right w:val="single" w:sz="18" w:space="0" w:color="auto"/>
            </w:tcBorders>
          </w:tcPr>
          <w:p w14:paraId="61ACF1DB" w14:textId="216BD644" w:rsidR="00200723" w:rsidRPr="00231ABC" w:rsidRDefault="00200723" w:rsidP="00200723">
            <w:pPr>
              <w:jc w:val="center"/>
              <w:rPr>
                <w:sz w:val="24"/>
              </w:rPr>
            </w:pPr>
            <w:r>
              <w:rPr>
                <w:sz w:val="24"/>
              </w:rPr>
              <w:t>1 250</w:t>
            </w:r>
          </w:p>
        </w:tc>
      </w:tr>
    </w:tbl>
    <w:p w14:paraId="12E95B0A" w14:textId="6D33F84F" w:rsidR="002B430E" w:rsidRPr="00231ABC" w:rsidRDefault="00DB1548" w:rsidP="002B430E">
      <w:pPr>
        <w:pStyle w:val="Zhlav"/>
        <w:tabs>
          <w:tab w:val="clear" w:pos="4536"/>
          <w:tab w:val="clear" w:pos="9072"/>
        </w:tabs>
        <w:spacing w:before="120"/>
      </w:pPr>
      <w:r w:rsidRPr="00231ABC">
        <w:t xml:space="preserve">CM </w:t>
      </w:r>
      <w:r w:rsidR="002B430E">
        <w:t>2022</w:t>
      </w: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61"/>
        <w:gridCol w:w="1842"/>
        <w:gridCol w:w="1843"/>
        <w:gridCol w:w="1985"/>
      </w:tblGrid>
      <w:tr w:rsidR="002B430E" w:rsidRPr="00231ABC" w14:paraId="6C603DF6" w14:textId="77777777" w:rsidTr="00263152">
        <w:trPr>
          <w:cantSplit/>
        </w:trPr>
        <w:tc>
          <w:tcPr>
            <w:tcW w:w="3261" w:type="dxa"/>
            <w:vMerge w:val="restart"/>
            <w:tcBorders>
              <w:top w:val="single" w:sz="18" w:space="0" w:color="auto"/>
              <w:left w:val="single" w:sz="18" w:space="0" w:color="auto"/>
              <w:right w:val="single" w:sz="18" w:space="0" w:color="auto"/>
            </w:tcBorders>
            <w:vAlign w:val="center"/>
          </w:tcPr>
          <w:p w14:paraId="1D563D3E" w14:textId="77777777" w:rsidR="002B430E" w:rsidRPr="00231ABC" w:rsidRDefault="002B430E" w:rsidP="00263152">
            <w:pPr>
              <w:pStyle w:val="Nadpis1"/>
              <w:jc w:val="center"/>
              <w:rPr>
                <w:b/>
              </w:rPr>
            </w:pPr>
            <w:r w:rsidRPr="00231ABC">
              <w:rPr>
                <w:b/>
              </w:rPr>
              <w:t>Poloha</w:t>
            </w:r>
          </w:p>
        </w:tc>
        <w:tc>
          <w:tcPr>
            <w:tcW w:w="5670" w:type="dxa"/>
            <w:gridSpan w:val="3"/>
            <w:tcBorders>
              <w:top w:val="single" w:sz="18" w:space="0" w:color="auto"/>
              <w:left w:val="nil"/>
              <w:bottom w:val="nil"/>
              <w:right w:val="single" w:sz="18" w:space="0" w:color="auto"/>
            </w:tcBorders>
          </w:tcPr>
          <w:p w14:paraId="10782641" w14:textId="77777777" w:rsidR="002B430E" w:rsidRPr="00231ABC" w:rsidRDefault="002B430E" w:rsidP="00263152">
            <w:pPr>
              <w:ind w:left="356"/>
              <w:jc w:val="center"/>
              <w:rPr>
                <w:b/>
                <w:sz w:val="24"/>
              </w:rPr>
            </w:pPr>
            <w:r w:rsidRPr="00231ABC">
              <w:rPr>
                <w:b/>
                <w:sz w:val="24"/>
              </w:rPr>
              <w:t>Kč/m</w:t>
            </w:r>
            <w:r w:rsidRPr="00231ABC">
              <w:rPr>
                <w:b/>
                <w:sz w:val="24"/>
                <w:vertAlign w:val="superscript"/>
              </w:rPr>
              <w:t>2</w:t>
            </w:r>
            <w:r w:rsidRPr="00231ABC">
              <w:rPr>
                <w:b/>
                <w:sz w:val="24"/>
              </w:rPr>
              <w:t xml:space="preserve"> </w:t>
            </w:r>
          </w:p>
        </w:tc>
      </w:tr>
      <w:tr w:rsidR="002B430E" w:rsidRPr="00231ABC" w14:paraId="5EBBA5E7" w14:textId="77777777" w:rsidTr="00263152">
        <w:tc>
          <w:tcPr>
            <w:tcW w:w="3261" w:type="dxa"/>
            <w:vMerge/>
            <w:tcBorders>
              <w:left w:val="single" w:sz="18" w:space="0" w:color="auto"/>
              <w:bottom w:val="single" w:sz="18" w:space="0" w:color="auto"/>
              <w:right w:val="single" w:sz="18" w:space="0" w:color="auto"/>
            </w:tcBorders>
          </w:tcPr>
          <w:p w14:paraId="433608F8" w14:textId="77777777" w:rsidR="002B430E" w:rsidRPr="00231ABC" w:rsidRDefault="002B430E" w:rsidP="00263152">
            <w:pPr>
              <w:pStyle w:val="Nadpis1"/>
            </w:pPr>
          </w:p>
        </w:tc>
        <w:tc>
          <w:tcPr>
            <w:tcW w:w="1842" w:type="dxa"/>
            <w:tcBorders>
              <w:top w:val="single" w:sz="12" w:space="0" w:color="auto"/>
              <w:left w:val="nil"/>
              <w:bottom w:val="single" w:sz="18" w:space="0" w:color="auto"/>
              <w:right w:val="single" w:sz="6" w:space="0" w:color="auto"/>
            </w:tcBorders>
          </w:tcPr>
          <w:p w14:paraId="0B02DCA7" w14:textId="77777777" w:rsidR="002B430E" w:rsidRPr="00231ABC" w:rsidRDefault="002B430E" w:rsidP="00263152">
            <w:pPr>
              <w:jc w:val="center"/>
              <w:rPr>
                <w:b/>
                <w:sz w:val="24"/>
              </w:rPr>
            </w:pPr>
            <w:r w:rsidRPr="00231ABC">
              <w:rPr>
                <w:b/>
                <w:sz w:val="24"/>
              </w:rPr>
              <w:t>Průměrná cena</w:t>
            </w:r>
          </w:p>
        </w:tc>
        <w:tc>
          <w:tcPr>
            <w:tcW w:w="1843" w:type="dxa"/>
            <w:tcBorders>
              <w:top w:val="single" w:sz="12" w:space="0" w:color="auto"/>
              <w:left w:val="single" w:sz="6" w:space="0" w:color="auto"/>
              <w:bottom w:val="single" w:sz="18" w:space="0" w:color="auto"/>
              <w:right w:val="single" w:sz="6" w:space="0" w:color="auto"/>
            </w:tcBorders>
          </w:tcPr>
          <w:p w14:paraId="07D79BE2" w14:textId="77777777" w:rsidR="002B430E" w:rsidRPr="00231ABC" w:rsidRDefault="002B430E" w:rsidP="00263152">
            <w:pPr>
              <w:ind w:left="72"/>
              <w:jc w:val="center"/>
              <w:rPr>
                <w:b/>
                <w:sz w:val="24"/>
              </w:rPr>
            </w:pPr>
            <w:r w:rsidRPr="00231ABC">
              <w:rPr>
                <w:b/>
                <w:sz w:val="24"/>
              </w:rPr>
              <w:t>Minimální cena</w:t>
            </w:r>
          </w:p>
        </w:tc>
        <w:tc>
          <w:tcPr>
            <w:tcW w:w="1985" w:type="dxa"/>
            <w:tcBorders>
              <w:top w:val="single" w:sz="12" w:space="0" w:color="auto"/>
              <w:left w:val="single" w:sz="6" w:space="0" w:color="auto"/>
              <w:bottom w:val="single" w:sz="18" w:space="0" w:color="auto"/>
              <w:right w:val="single" w:sz="18" w:space="0" w:color="auto"/>
            </w:tcBorders>
          </w:tcPr>
          <w:p w14:paraId="7583DCD4" w14:textId="77777777" w:rsidR="002B430E" w:rsidRPr="00231ABC" w:rsidRDefault="002B430E" w:rsidP="00263152">
            <w:pPr>
              <w:jc w:val="center"/>
              <w:rPr>
                <w:b/>
                <w:sz w:val="24"/>
              </w:rPr>
            </w:pPr>
            <w:r w:rsidRPr="00231ABC">
              <w:rPr>
                <w:b/>
                <w:sz w:val="24"/>
              </w:rPr>
              <w:t>Maximální cena</w:t>
            </w:r>
          </w:p>
        </w:tc>
      </w:tr>
      <w:tr w:rsidR="002B430E" w:rsidRPr="00231ABC" w14:paraId="5F02AEF9" w14:textId="77777777" w:rsidTr="00263152">
        <w:tc>
          <w:tcPr>
            <w:tcW w:w="3261" w:type="dxa"/>
            <w:tcBorders>
              <w:top w:val="nil"/>
              <w:left w:val="single" w:sz="18" w:space="0" w:color="auto"/>
              <w:bottom w:val="single" w:sz="6" w:space="0" w:color="auto"/>
              <w:right w:val="single" w:sz="18" w:space="0" w:color="auto"/>
            </w:tcBorders>
          </w:tcPr>
          <w:p w14:paraId="5FD8768B" w14:textId="77777777" w:rsidR="002B430E" w:rsidRPr="00231ABC" w:rsidRDefault="002B430E" w:rsidP="00263152">
            <w:pPr>
              <w:rPr>
                <w:sz w:val="24"/>
              </w:rPr>
            </w:pPr>
            <w:r w:rsidRPr="00231ABC">
              <w:rPr>
                <w:sz w:val="24"/>
              </w:rPr>
              <w:t>Vnitřní město</w:t>
            </w:r>
          </w:p>
        </w:tc>
        <w:tc>
          <w:tcPr>
            <w:tcW w:w="1842" w:type="dxa"/>
            <w:tcBorders>
              <w:top w:val="nil"/>
              <w:left w:val="nil"/>
              <w:bottom w:val="single" w:sz="6" w:space="0" w:color="auto"/>
              <w:right w:val="single" w:sz="6" w:space="0" w:color="auto"/>
            </w:tcBorders>
          </w:tcPr>
          <w:p w14:paraId="0E48945B" w14:textId="2D9D2E21" w:rsidR="002B430E" w:rsidRPr="00231ABC" w:rsidRDefault="002B430E" w:rsidP="002B430E">
            <w:pPr>
              <w:jc w:val="center"/>
              <w:rPr>
                <w:sz w:val="24"/>
              </w:rPr>
            </w:pPr>
            <w:r>
              <w:rPr>
                <w:sz w:val="24"/>
              </w:rPr>
              <w:t>6 594</w:t>
            </w:r>
          </w:p>
        </w:tc>
        <w:tc>
          <w:tcPr>
            <w:tcW w:w="1843" w:type="dxa"/>
            <w:tcBorders>
              <w:top w:val="nil"/>
              <w:left w:val="single" w:sz="6" w:space="0" w:color="auto"/>
              <w:bottom w:val="single" w:sz="6" w:space="0" w:color="auto"/>
              <w:right w:val="single" w:sz="6" w:space="0" w:color="auto"/>
            </w:tcBorders>
          </w:tcPr>
          <w:p w14:paraId="11702314" w14:textId="1853E6A9" w:rsidR="002B430E" w:rsidRPr="00231ABC" w:rsidRDefault="002B430E" w:rsidP="002B430E">
            <w:pPr>
              <w:jc w:val="center"/>
              <w:rPr>
                <w:sz w:val="24"/>
              </w:rPr>
            </w:pPr>
            <w:r>
              <w:rPr>
                <w:sz w:val="24"/>
              </w:rPr>
              <w:t>447</w:t>
            </w:r>
          </w:p>
        </w:tc>
        <w:tc>
          <w:tcPr>
            <w:tcW w:w="1985" w:type="dxa"/>
            <w:tcBorders>
              <w:top w:val="nil"/>
              <w:left w:val="single" w:sz="6" w:space="0" w:color="auto"/>
              <w:bottom w:val="single" w:sz="6" w:space="0" w:color="auto"/>
              <w:right w:val="single" w:sz="18" w:space="0" w:color="auto"/>
            </w:tcBorders>
          </w:tcPr>
          <w:p w14:paraId="15FE7CB3" w14:textId="6F7BFD8B" w:rsidR="002B430E" w:rsidRPr="00231ABC" w:rsidRDefault="002B430E" w:rsidP="002B430E">
            <w:pPr>
              <w:jc w:val="center"/>
              <w:rPr>
                <w:sz w:val="24"/>
              </w:rPr>
            </w:pPr>
            <w:r>
              <w:rPr>
                <w:sz w:val="24"/>
              </w:rPr>
              <w:t>14 401</w:t>
            </w:r>
          </w:p>
        </w:tc>
      </w:tr>
      <w:tr w:rsidR="002B430E" w:rsidRPr="00231ABC" w14:paraId="02CDA2E2" w14:textId="77777777" w:rsidTr="00263152">
        <w:tc>
          <w:tcPr>
            <w:tcW w:w="3261" w:type="dxa"/>
            <w:tcBorders>
              <w:top w:val="single" w:sz="6" w:space="0" w:color="auto"/>
              <w:left w:val="single" w:sz="18" w:space="0" w:color="auto"/>
              <w:bottom w:val="single" w:sz="6" w:space="0" w:color="auto"/>
              <w:right w:val="single" w:sz="18" w:space="0" w:color="auto"/>
            </w:tcBorders>
          </w:tcPr>
          <w:p w14:paraId="04FF7F65" w14:textId="77777777" w:rsidR="002B430E" w:rsidRPr="00231ABC" w:rsidRDefault="002B430E" w:rsidP="00263152">
            <w:pPr>
              <w:rPr>
                <w:sz w:val="24"/>
              </w:rPr>
            </w:pPr>
            <w:r w:rsidRPr="00231ABC">
              <w:rPr>
                <w:sz w:val="24"/>
              </w:rPr>
              <w:t>Okrajová část vnitřního města</w:t>
            </w:r>
          </w:p>
        </w:tc>
        <w:tc>
          <w:tcPr>
            <w:tcW w:w="1842" w:type="dxa"/>
            <w:tcBorders>
              <w:top w:val="single" w:sz="6" w:space="0" w:color="auto"/>
              <w:left w:val="nil"/>
              <w:bottom w:val="single" w:sz="6" w:space="0" w:color="auto"/>
              <w:right w:val="single" w:sz="6" w:space="0" w:color="auto"/>
            </w:tcBorders>
          </w:tcPr>
          <w:p w14:paraId="58C6FF9C" w14:textId="1349EB4F" w:rsidR="002B430E" w:rsidRPr="00231ABC" w:rsidRDefault="002B430E" w:rsidP="002B430E">
            <w:pPr>
              <w:jc w:val="center"/>
              <w:rPr>
                <w:sz w:val="24"/>
              </w:rPr>
            </w:pPr>
            <w:r>
              <w:rPr>
                <w:sz w:val="24"/>
              </w:rPr>
              <w:t xml:space="preserve"> 2 370</w:t>
            </w:r>
          </w:p>
        </w:tc>
        <w:tc>
          <w:tcPr>
            <w:tcW w:w="1843" w:type="dxa"/>
            <w:tcBorders>
              <w:top w:val="single" w:sz="6" w:space="0" w:color="auto"/>
              <w:left w:val="single" w:sz="6" w:space="0" w:color="auto"/>
              <w:bottom w:val="single" w:sz="6" w:space="0" w:color="auto"/>
              <w:right w:val="single" w:sz="6" w:space="0" w:color="auto"/>
            </w:tcBorders>
          </w:tcPr>
          <w:p w14:paraId="6548ED2B" w14:textId="1F1401BE" w:rsidR="002B430E" w:rsidRPr="00231ABC" w:rsidRDefault="002B430E" w:rsidP="002B430E">
            <w:pPr>
              <w:jc w:val="center"/>
              <w:rPr>
                <w:sz w:val="24"/>
              </w:rPr>
            </w:pPr>
            <w:r>
              <w:rPr>
                <w:sz w:val="24"/>
              </w:rPr>
              <w:t>72</w:t>
            </w:r>
          </w:p>
        </w:tc>
        <w:tc>
          <w:tcPr>
            <w:tcW w:w="1985" w:type="dxa"/>
            <w:tcBorders>
              <w:top w:val="single" w:sz="6" w:space="0" w:color="auto"/>
              <w:left w:val="single" w:sz="6" w:space="0" w:color="auto"/>
              <w:bottom w:val="single" w:sz="6" w:space="0" w:color="auto"/>
              <w:right w:val="single" w:sz="18" w:space="0" w:color="auto"/>
            </w:tcBorders>
          </w:tcPr>
          <w:p w14:paraId="39BF813C" w14:textId="2AB2B6AE" w:rsidR="002B430E" w:rsidRPr="00231ABC" w:rsidRDefault="002B430E" w:rsidP="002B430E">
            <w:pPr>
              <w:jc w:val="center"/>
              <w:rPr>
                <w:sz w:val="24"/>
              </w:rPr>
            </w:pPr>
            <w:r>
              <w:rPr>
                <w:sz w:val="24"/>
              </w:rPr>
              <w:t>4 568</w:t>
            </w:r>
          </w:p>
        </w:tc>
      </w:tr>
      <w:tr w:rsidR="002B430E" w:rsidRPr="00231ABC" w14:paraId="6802EF83" w14:textId="77777777" w:rsidTr="00263152">
        <w:tc>
          <w:tcPr>
            <w:tcW w:w="3261" w:type="dxa"/>
            <w:tcBorders>
              <w:top w:val="single" w:sz="6" w:space="0" w:color="auto"/>
              <w:left w:val="single" w:sz="18" w:space="0" w:color="auto"/>
              <w:bottom w:val="single" w:sz="6" w:space="0" w:color="auto"/>
              <w:right w:val="single" w:sz="18" w:space="0" w:color="auto"/>
            </w:tcBorders>
          </w:tcPr>
          <w:p w14:paraId="25EE618A" w14:textId="77777777" w:rsidR="002B430E" w:rsidRPr="00231ABC" w:rsidRDefault="002B430E" w:rsidP="00263152">
            <w:pPr>
              <w:rPr>
                <w:sz w:val="24"/>
              </w:rPr>
            </w:pPr>
            <w:r w:rsidRPr="00231ABC">
              <w:rPr>
                <w:sz w:val="24"/>
              </w:rPr>
              <w:lastRenderedPageBreak/>
              <w:t>Průmyslové části</w:t>
            </w:r>
          </w:p>
        </w:tc>
        <w:tc>
          <w:tcPr>
            <w:tcW w:w="1842" w:type="dxa"/>
            <w:tcBorders>
              <w:top w:val="single" w:sz="6" w:space="0" w:color="auto"/>
              <w:left w:val="nil"/>
              <w:bottom w:val="single" w:sz="6" w:space="0" w:color="auto"/>
              <w:right w:val="single" w:sz="6" w:space="0" w:color="auto"/>
            </w:tcBorders>
          </w:tcPr>
          <w:p w14:paraId="4520AFC5" w14:textId="79E879E2" w:rsidR="002B430E" w:rsidRPr="00231ABC" w:rsidRDefault="002B430E" w:rsidP="00263152">
            <w:pPr>
              <w:jc w:val="center"/>
              <w:rPr>
                <w:sz w:val="24"/>
              </w:rPr>
            </w:pPr>
            <w:r>
              <w:rPr>
                <w:sz w:val="24"/>
              </w:rPr>
              <w:t>-</w:t>
            </w:r>
          </w:p>
        </w:tc>
        <w:tc>
          <w:tcPr>
            <w:tcW w:w="1843" w:type="dxa"/>
            <w:tcBorders>
              <w:top w:val="single" w:sz="6" w:space="0" w:color="auto"/>
              <w:left w:val="single" w:sz="6" w:space="0" w:color="auto"/>
              <w:bottom w:val="single" w:sz="6" w:space="0" w:color="auto"/>
              <w:right w:val="single" w:sz="6" w:space="0" w:color="auto"/>
            </w:tcBorders>
          </w:tcPr>
          <w:p w14:paraId="1203F1BC" w14:textId="6698C584" w:rsidR="002B430E" w:rsidRPr="00231ABC" w:rsidRDefault="002B430E" w:rsidP="00263152">
            <w:pPr>
              <w:jc w:val="center"/>
              <w:rPr>
                <w:sz w:val="24"/>
              </w:rPr>
            </w:pPr>
            <w:r>
              <w:rPr>
                <w:sz w:val="24"/>
              </w:rPr>
              <w:t>-</w:t>
            </w:r>
          </w:p>
        </w:tc>
        <w:tc>
          <w:tcPr>
            <w:tcW w:w="1985" w:type="dxa"/>
            <w:tcBorders>
              <w:top w:val="single" w:sz="6" w:space="0" w:color="auto"/>
              <w:left w:val="single" w:sz="6" w:space="0" w:color="auto"/>
              <w:bottom w:val="single" w:sz="6" w:space="0" w:color="auto"/>
              <w:right w:val="single" w:sz="18" w:space="0" w:color="auto"/>
            </w:tcBorders>
          </w:tcPr>
          <w:p w14:paraId="3C5D729E" w14:textId="77777777" w:rsidR="002B430E" w:rsidRPr="00231ABC" w:rsidRDefault="002B430E" w:rsidP="00263152">
            <w:pPr>
              <w:jc w:val="center"/>
              <w:rPr>
                <w:sz w:val="24"/>
              </w:rPr>
            </w:pPr>
            <w:r>
              <w:rPr>
                <w:sz w:val="24"/>
              </w:rPr>
              <w:t>-</w:t>
            </w:r>
          </w:p>
        </w:tc>
      </w:tr>
      <w:tr w:rsidR="002B430E" w:rsidRPr="00231ABC" w14:paraId="4486F380" w14:textId="77777777" w:rsidTr="00263152">
        <w:tc>
          <w:tcPr>
            <w:tcW w:w="3261" w:type="dxa"/>
            <w:tcBorders>
              <w:top w:val="single" w:sz="6" w:space="0" w:color="auto"/>
              <w:left w:val="single" w:sz="18" w:space="0" w:color="auto"/>
              <w:bottom w:val="single" w:sz="18" w:space="0" w:color="auto"/>
              <w:right w:val="single" w:sz="18" w:space="0" w:color="auto"/>
            </w:tcBorders>
          </w:tcPr>
          <w:p w14:paraId="53AB65CE" w14:textId="77777777" w:rsidR="002B430E" w:rsidRPr="00231ABC" w:rsidRDefault="002B430E" w:rsidP="00263152">
            <w:pPr>
              <w:rPr>
                <w:sz w:val="24"/>
              </w:rPr>
            </w:pPr>
            <w:r w:rsidRPr="00231ABC">
              <w:rPr>
                <w:sz w:val="24"/>
              </w:rPr>
              <w:t>Území mimo kompaktní město</w:t>
            </w:r>
          </w:p>
        </w:tc>
        <w:tc>
          <w:tcPr>
            <w:tcW w:w="1842" w:type="dxa"/>
            <w:tcBorders>
              <w:top w:val="single" w:sz="6" w:space="0" w:color="auto"/>
              <w:left w:val="nil"/>
              <w:bottom w:val="single" w:sz="18" w:space="0" w:color="auto"/>
              <w:right w:val="single" w:sz="6" w:space="0" w:color="auto"/>
            </w:tcBorders>
          </w:tcPr>
          <w:p w14:paraId="716D7B48" w14:textId="1D71315A" w:rsidR="002B430E" w:rsidRPr="00231ABC" w:rsidRDefault="002B430E" w:rsidP="00263152">
            <w:pPr>
              <w:jc w:val="center"/>
              <w:rPr>
                <w:sz w:val="24"/>
              </w:rPr>
            </w:pPr>
            <w:r>
              <w:rPr>
                <w:sz w:val="24"/>
              </w:rPr>
              <w:t>781</w:t>
            </w:r>
          </w:p>
        </w:tc>
        <w:tc>
          <w:tcPr>
            <w:tcW w:w="1843" w:type="dxa"/>
            <w:tcBorders>
              <w:top w:val="single" w:sz="6" w:space="0" w:color="auto"/>
              <w:left w:val="single" w:sz="6" w:space="0" w:color="auto"/>
              <w:bottom w:val="single" w:sz="18" w:space="0" w:color="auto"/>
              <w:right w:val="single" w:sz="6" w:space="0" w:color="auto"/>
            </w:tcBorders>
          </w:tcPr>
          <w:p w14:paraId="101F6522" w14:textId="2D111267" w:rsidR="002B430E" w:rsidRPr="00231ABC" w:rsidRDefault="002B430E" w:rsidP="00263152">
            <w:pPr>
              <w:jc w:val="center"/>
              <w:rPr>
                <w:sz w:val="24"/>
              </w:rPr>
            </w:pPr>
            <w:r>
              <w:rPr>
                <w:sz w:val="24"/>
              </w:rPr>
              <w:t>222</w:t>
            </w:r>
          </w:p>
        </w:tc>
        <w:tc>
          <w:tcPr>
            <w:tcW w:w="1985" w:type="dxa"/>
            <w:tcBorders>
              <w:top w:val="single" w:sz="6" w:space="0" w:color="auto"/>
              <w:left w:val="single" w:sz="6" w:space="0" w:color="auto"/>
              <w:bottom w:val="single" w:sz="18" w:space="0" w:color="auto"/>
              <w:right w:val="single" w:sz="18" w:space="0" w:color="auto"/>
            </w:tcBorders>
          </w:tcPr>
          <w:p w14:paraId="1F777317" w14:textId="70B5811A" w:rsidR="002B430E" w:rsidRPr="00231ABC" w:rsidRDefault="002B430E" w:rsidP="002B430E">
            <w:pPr>
              <w:jc w:val="center"/>
              <w:rPr>
                <w:sz w:val="24"/>
              </w:rPr>
            </w:pPr>
            <w:r>
              <w:rPr>
                <w:sz w:val="24"/>
              </w:rPr>
              <w:t>3 112</w:t>
            </w:r>
          </w:p>
        </w:tc>
      </w:tr>
    </w:tbl>
    <w:p w14:paraId="5FB737ED" w14:textId="77777777" w:rsidR="002B430E" w:rsidRPr="002B430E" w:rsidRDefault="002B430E" w:rsidP="002B430E"/>
    <w:p w14:paraId="3EC55228" w14:textId="77777777" w:rsidR="00360526" w:rsidRPr="00231ABC" w:rsidRDefault="00360526" w:rsidP="00CC3E8F">
      <w:pPr>
        <w:pStyle w:val="Nadpis4"/>
        <w:numPr>
          <w:ilvl w:val="0"/>
          <w:numId w:val="0"/>
        </w:numPr>
        <w:tabs>
          <w:tab w:val="clear" w:pos="864"/>
        </w:tabs>
        <w:spacing w:before="240"/>
      </w:pPr>
      <w:r w:rsidRPr="00231ABC">
        <w:t>Pozemky s objekty pro občanskou vybavenost (nekomerční)</w:t>
      </w:r>
    </w:p>
    <w:p w14:paraId="76FB34C1" w14:textId="774C1C5E" w:rsidR="00E53B52" w:rsidRDefault="00360526" w:rsidP="00E80BB6">
      <w:pPr>
        <w:pStyle w:val="Zkladntext"/>
        <w:spacing w:before="240" w:after="120"/>
        <w:ind w:firstLine="425"/>
      </w:pPr>
      <w:r w:rsidRPr="00AC0E93">
        <w:t xml:space="preserve">Další hodnocenou skupinou byly pozemky zastavěné objekty </w:t>
      </w:r>
      <w:r w:rsidRPr="001F21BE">
        <w:rPr>
          <w:b/>
        </w:rPr>
        <w:t>občanské vybavenosti</w:t>
      </w:r>
      <w:r w:rsidRPr="00AC0E93">
        <w:t xml:space="preserve"> </w:t>
      </w:r>
      <w:r w:rsidRPr="001F21BE">
        <w:t xml:space="preserve">mimo komerční zástavbu. V této kategorii </w:t>
      </w:r>
      <w:r w:rsidR="005975BF" w:rsidRPr="001F21BE">
        <w:t>b</w:t>
      </w:r>
      <w:r w:rsidRPr="001F21BE">
        <w:t>yl</w:t>
      </w:r>
      <w:r w:rsidR="00A6064B" w:rsidRPr="001F21BE">
        <w:t xml:space="preserve"> </w:t>
      </w:r>
      <w:r w:rsidR="00A46152" w:rsidRPr="001F21BE">
        <w:t xml:space="preserve">zaznamenán </w:t>
      </w:r>
      <w:r w:rsidR="001F21BE" w:rsidRPr="001F21BE">
        <w:t xml:space="preserve">mírný </w:t>
      </w:r>
      <w:r w:rsidR="002B430E" w:rsidRPr="001F21BE">
        <w:t>nárůst</w:t>
      </w:r>
      <w:r w:rsidR="00200723" w:rsidRPr="001F21BE">
        <w:t xml:space="preserve"> </w:t>
      </w:r>
      <w:r w:rsidR="00A073F9" w:rsidRPr="001F21BE">
        <w:t>obchodů</w:t>
      </w:r>
      <w:r w:rsidR="00DB1548" w:rsidRPr="001F21BE">
        <w:t xml:space="preserve"> (počtu transakcí)</w:t>
      </w:r>
      <w:r w:rsidR="00AC0E93" w:rsidRPr="001F21BE">
        <w:t>,</w:t>
      </w:r>
      <w:r w:rsidR="00A073F9" w:rsidRPr="001F21BE">
        <w:t xml:space="preserve"> celkov</w:t>
      </w:r>
      <w:r w:rsidR="00AC0E93" w:rsidRPr="001F21BE">
        <w:t>ý</w:t>
      </w:r>
      <w:r w:rsidR="00A073F9" w:rsidRPr="001F21BE">
        <w:t xml:space="preserve"> objem obchodů</w:t>
      </w:r>
      <w:r w:rsidR="00AC0E93" w:rsidRPr="001F21BE">
        <w:t xml:space="preserve"> činil</w:t>
      </w:r>
      <w:r w:rsidR="00A073F9" w:rsidRPr="001F21BE">
        <w:t xml:space="preserve"> </w:t>
      </w:r>
      <w:r w:rsidR="002B430E" w:rsidRPr="001F21BE">
        <w:t>19,2</w:t>
      </w:r>
      <w:r w:rsidR="00A073F9" w:rsidRPr="001F21BE">
        <w:t xml:space="preserve"> mil. Kč, což představuje oproti minulému</w:t>
      </w:r>
      <w:r w:rsidR="00A073F9" w:rsidRPr="00AC0E93">
        <w:t xml:space="preserve"> období </w:t>
      </w:r>
      <w:r w:rsidR="001F21BE">
        <w:t>nárůst</w:t>
      </w:r>
      <w:r w:rsidR="00200723">
        <w:t xml:space="preserve"> </w:t>
      </w:r>
      <w:r w:rsidR="00A073F9" w:rsidRPr="00AC0E93">
        <w:t>o</w:t>
      </w:r>
      <w:r w:rsidR="00521093" w:rsidRPr="00AC0E93">
        <w:t> </w:t>
      </w:r>
      <w:r w:rsidR="002B430E">
        <w:t>9,6</w:t>
      </w:r>
      <w:r w:rsidR="00521093" w:rsidRPr="00AC0E93">
        <w:t> </w:t>
      </w:r>
      <w:r w:rsidR="00A073F9" w:rsidRPr="00AC0E93">
        <w:t>mil.</w:t>
      </w:r>
      <w:r w:rsidR="00521093" w:rsidRPr="00AC0E93">
        <w:t> </w:t>
      </w:r>
      <w:r w:rsidR="00A073F9" w:rsidRPr="00AC0E93">
        <w:t xml:space="preserve">Kč </w:t>
      </w:r>
      <w:r w:rsidR="00A06F4E" w:rsidRPr="00AC0E93">
        <w:t>(</w:t>
      </w:r>
      <w:r w:rsidR="00A073F9" w:rsidRPr="00AC0E93">
        <w:t>tj.</w:t>
      </w:r>
      <w:r w:rsidR="00DB1548">
        <w:t> </w:t>
      </w:r>
      <w:r w:rsidR="002B430E">
        <w:t>100</w:t>
      </w:r>
      <w:r w:rsidR="00A06F4E" w:rsidRPr="00AC0E93">
        <w:t> </w:t>
      </w:r>
      <w:r w:rsidR="00A073F9" w:rsidRPr="00AC0E93">
        <w:t>%</w:t>
      </w:r>
      <w:r w:rsidR="00A06F4E" w:rsidRPr="00AC0E93">
        <w:t>)</w:t>
      </w:r>
      <w:r w:rsidR="00A073F9" w:rsidRPr="00AC0E93">
        <w:t xml:space="preserve">, </w:t>
      </w:r>
      <w:r w:rsidR="00E53B52">
        <w:t xml:space="preserve">průměrná cena </w:t>
      </w:r>
      <w:r w:rsidR="001F21BE">
        <w:t>ale</w:t>
      </w:r>
      <w:r w:rsidR="00200723">
        <w:t xml:space="preserve"> </w:t>
      </w:r>
      <w:r w:rsidR="00DE6DAB">
        <w:t>po</w:t>
      </w:r>
      <w:r w:rsidR="00E53B52">
        <w:t>klesla</w:t>
      </w:r>
      <w:r w:rsidR="00A073F9" w:rsidRPr="00AC0E93">
        <w:t xml:space="preserve"> (na </w:t>
      </w:r>
      <w:r w:rsidR="002B430E">
        <w:t>381</w:t>
      </w:r>
      <w:r w:rsidR="00A073F9" w:rsidRPr="00AC0E93">
        <w:t xml:space="preserve"> Kč za m</w:t>
      </w:r>
      <w:r w:rsidR="00A073F9" w:rsidRPr="00AC0E93">
        <w:rPr>
          <w:vertAlign w:val="superscript"/>
        </w:rPr>
        <w:t>2</w:t>
      </w:r>
      <w:r w:rsidR="00A073F9" w:rsidRPr="00AC0E93">
        <w:t>)</w:t>
      </w:r>
      <w:r w:rsidR="002B430E">
        <w:t>, což bylo způsobeno absencí významných transakcí v této kategorii</w:t>
      </w:r>
      <w:r w:rsidR="00A073F9" w:rsidRPr="00AC0E93">
        <w:t>.</w:t>
      </w:r>
      <w:r w:rsidR="00C80649">
        <w:t xml:space="preserve"> </w:t>
      </w:r>
    </w:p>
    <w:p w14:paraId="32EDAAEA" w14:textId="3F5F923D" w:rsidR="00A073F9" w:rsidRDefault="00E53B52" w:rsidP="00E53B52">
      <w:pPr>
        <w:pStyle w:val="Zkladntext"/>
        <w:spacing w:before="120" w:after="120"/>
        <w:ind w:firstLine="425"/>
      </w:pPr>
      <w:r>
        <w:t>Jediným významným převodem v této katego</w:t>
      </w:r>
      <w:r w:rsidR="00E31257">
        <w:t>rii byl prodej pozemku</w:t>
      </w:r>
      <w:r>
        <w:t xml:space="preserve"> </w:t>
      </w:r>
      <w:r w:rsidR="004C0DE1">
        <w:t>za účelem vytvoření územní rezervy pro rozšíření hřbitova v Proskovicích</w:t>
      </w:r>
      <w:r>
        <w:t xml:space="preserve">. U transakce ve výši </w:t>
      </w:r>
      <w:r w:rsidR="004C0DE1">
        <w:t>2</w:t>
      </w:r>
      <w:r w:rsidR="00E31257">
        <w:t>,</w:t>
      </w:r>
      <w:r w:rsidR="004C0DE1">
        <w:t>2</w:t>
      </w:r>
      <w:r>
        <w:t xml:space="preserve"> mil. Kč činila jednotková cena </w:t>
      </w:r>
      <w:r w:rsidR="004C0DE1">
        <w:t>588</w:t>
      </w:r>
      <w:r>
        <w:t> Kč za m</w:t>
      </w:r>
      <w:r w:rsidRPr="00E53B52">
        <w:rPr>
          <w:vertAlign w:val="superscript"/>
        </w:rPr>
        <w:t>2</w:t>
      </w:r>
      <w:r>
        <w:t>.</w:t>
      </w:r>
    </w:p>
    <w:p w14:paraId="2CC343D0" w14:textId="3ECB82CA" w:rsidR="009F0F57" w:rsidRDefault="00A46152" w:rsidP="001A6607">
      <w:pPr>
        <w:pStyle w:val="Zkladntext"/>
        <w:spacing w:before="120" w:after="120"/>
        <w:ind w:firstLine="425"/>
      </w:pPr>
      <w:r w:rsidRPr="00A30307">
        <w:t>V</w:t>
      </w:r>
      <w:r w:rsidR="001A28BC" w:rsidRPr="00A30307">
        <w:t xml:space="preserve">  kategorii </w:t>
      </w:r>
      <w:r w:rsidR="00C80649">
        <w:t xml:space="preserve">pozemků s využitím pro občanskou vybavenost nekomerčního charakteru je připravována nebo zahájena na již připravených plochách celá řada významných projektů. </w:t>
      </w:r>
    </w:p>
    <w:p w14:paraId="750E81DE" w14:textId="2B233EAC" w:rsidR="00B378D8" w:rsidRDefault="00931B78" w:rsidP="001A6607">
      <w:pPr>
        <w:pStyle w:val="Zkladntext"/>
        <w:spacing w:before="120" w:after="120"/>
        <w:ind w:firstLine="425"/>
      </w:pPr>
      <w:r w:rsidRPr="00060023">
        <w:t>V</w:t>
      </w:r>
      <w:r w:rsidR="00A30307" w:rsidRPr="00060023">
        <w:t xml:space="preserve">e </w:t>
      </w:r>
      <w:r w:rsidRPr="00060023">
        <w:t xml:space="preserve">fázi přípravy je </w:t>
      </w:r>
      <w:r w:rsidR="001940FE" w:rsidRPr="00060023">
        <w:t>výstavba nové koncertní haly u Domu kultury v Moravské Ostravě na</w:t>
      </w:r>
      <w:r w:rsidR="001940FE">
        <w:t xml:space="preserve"> ul. 28. října, </w:t>
      </w:r>
      <w:r w:rsidR="00C8252B">
        <w:t>probíhá</w:t>
      </w:r>
      <w:r w:rsidR="009751BE">
        <w:t xml:space="preserve"> </w:t>
      </w:r>
      <w:r w:rsidR="001940FE" w:rsidRPr="00A30307">
        <w:t xml:space="preserve">výstavba </w:t>
      </w:r>
      <w:r w:rsidR="001940FE">
        <w:t>nov</w:t>
      </w:r>
      <w:r w:rsidR="009751BE">
        <w:t xml:space="preserve">ého </w:t>
      </w:r>
      <w:r w:rsidR="001940FE" w:rsidRPr="00A30307">
        <w:t>park</w:t>
      </w:r>
      <w:r w:rsidR="001940FE">
        <w:t>ovací</w:t>
      </w:r>
      <w:r w:rsidR="00D67A41">
        <w:t>ho</w:t>
      </w:r>
      <w:r w:rsidR="009751BE">
        <w:t xml:space="preserve"> </w:t>
      </w:r>
      <w:r w:rsidR="001940FE">
        <w:t>dom</w:t>
      </w:r>
      <w:r w:rsidR="009751BE">
        <w:t xml:space="preserve">u </w:t>
      </w:r>
      <w:r w:rsidR="001940FE">
        <w:t>v Moravské Ostravě</w:t>
      </w:r>
      <w:r w:rsidR="009751BE">
        <w:t xml:space="preserve"> u</w:t>
      </w:r>
      <w:r w:rsidR="00D67A41">
        <w:t> </w:t>
      </w:r>
      <w:r w:rsidR="009751BE">
        <w:t>městské nemocnice v lokalitě na Fifejdách a další výstavba parkovacích domů v centru města se připravuje</w:t>
      </w:r>
      <w:r w:rsidR="00A96D6E">
        <w:t xml:space="preserve">. </w:t>
      </w:r>
      <w:r w:rsidR="00C8252B">
        <w:t xml:space="preserve">Ve výstavbě je nová budova ekonomické fakulty v areálu Vysoké školy Báňské v Porubě nebo smuteční síň ve Vítkovicích. </w:t>
      </w:r>
      <w:r w:rsidR="00A96D6E">
        <w:t>D</w:t>
      </w:r>
      <w:r w:rsidR="009751BE">
        <w:t xml:space="preserve">okončen byl </w:t>
      </w:r>
      <w:r w:rsidR="00E33A0A">
        <w:t>psychiatrický pavilon ve Fakultní nemocnici v Po</w:t>
      </w:r>
      <w:r w:rsidR="00DB1548">
        <w:t>r</w:t>
      </w:r>
      <w:r w:rsidR="00E33A0A">
        <w:t>ubě, městské centrum uměleckých terapií v Mariánských Horách a</w:t>
      </w:r>
      <w:r w:rsidR="00DB1548">
        <w:t> </w:t>
      </w:r>
      <w:r w:rsidR="00E33A0A">
        <w:t xml:space="preserve">Hulvákách nebo </w:t>
      </w:r>
      <w:r w:rsidR="009751BE">
        <w:t>d</w:t>
      </w:r>
      <w:r w:rsidR="0023407F">
        <w:t>omy</w:t>
      </w:r>
      <w:r w:rsidR="009751BE">
        <w:t xml:space="preserve"> s pečovatelskou službou pro seniory </w:t>
      </w:r>
      <w:r w:rsidR="00B378D8">
        <w:t>v Ostravě-Porubě</w:t>
      </w:r>
      <w:r w:rsidR="009751BE">
        <w:t xml:space="preserve"> na ul.</w:t>
      </w:r>
      <w:r w:rsidR="0023407F">
        <w:t> </w:t>
      </w:r>
      <w:r w:rsidR="009751BE">
        <w:t>Dělnické a v Krásném Poli</w:t>
      </w:r>
      <w:r w:rsidR="009C2AA2">
        <w:t>.</w:t>
      </w:r>
      <w:r w:rsidR="00DB1548">
        <w:t xml:space="preserve"> </w:t>
      </w:r>
      <w:r w:rsidR="0023407F">
        <w:t xml:space="preserve"> </w:t>
      </w:r>
    </w:p>
    <w:p w14:paraId="44EF2BFA" w14:textId="290E2E5B" w:rsidR="009C2AA2" w:rsidRDefault="00B378D8" w:rsidP="00A96D6E">
      <w:pPr>
        <w:pStyle w:val="Zkladntext"/>
        <w:spacing w:before="120" w:after="120"/>
        <w:ind w:firstLine="425"/>
      </w:pPr>
      <w:r>
        <w:t xml:space="preserve">Aktuálně </w:t>
      </w:r>
      <w:r w:rsidR="00E33A0A">
        <w:t xml:space="preserve">byly </w:t>
      </w:r>
      <w:r w:rsidR="00C8252B">
        <w:t xml:space="preserve">dokončeny </w:t>
      </w:r>
      <w:r w:rsidR="00A96D6E">
        <w:t>projekty</w:t>
      </w:r>
      <w:r>
        <w:t xml:space="preserve"> </w:t>
      </w:r>
      <w:r w:rsidR="00A30307" w:rsidRPr="00A30307">
        <w:t>rekonstrukce původního komplexu jatek v Moravské Ostravě</w:t>
      </w:r>
      <w:r w:rsidR="00E33A0A">
        <w:t xml:space="preserve"> na uměleckou galerii pro moderní umění</w:t>
      </w:r>
      <w:r w:rsidR="00A30307" w:rsidRPr="00A30307">
        <w:t>,</w:t>
      </w:r>
      <w:r w:rsidR="00931B78">
        <w:t xml:space="preserve"> </w:t>
      </w:r>
      <w:r>
        <w:t xml:space="preserve">výstavba </w:t>
      </w:r>
      <w:r w:rsidR="00931B78">
        <w:t>nové</w:t>
      </w:r>
      <w:r>
        <w:t>ho</w:t>
      </w:r>
      <w:r w:rsidR="00931B78">
        <w:t xml:space="preserve"> univerzitní</w:t>
      </w:r>
      <w:r>
        <w:t>ho</w:t>
      </w:r>
      <w:r w:rsidR="00931B78">
        <w:t xml:space="preserve"> centr</w:t>
      </w:r>
      <w:r>
        <w:t>a</w:t>
      </w:r>
      <w:r w:rsidR="00931B78">
        <w:t xml:space="preserve"> </w:t>
      </w:r>
      <w:r w:rsidR="00931B78" w:rsidRPr="00A30307">
        <w:t xml:space="preserve">Ostravské univerzity v Moravské Ostravě </w:t>
      </w:r>
      <w:r w:rsidR="00931B78">
        <w:t xml:space="preserve">na území Černé louky poblíž řeky Ostravice, </w:t>
      </w:r>
      <w:r>
        <w:t xml:space="preserve">nebo </w:t>
      </w:r>
      <w:r w:rsidRPr="00A30307">
        <w:t>další postupn</w:t>
      </w:r>
      <w:r>
        <w:t>á</w:t>
      </w:r>
      <w:r w:rsidRPr="00A30307">
        <w:t xml:space="preserve"> adaptac</w:t>
      </w:r>
      <w:r>
        <w:t>e</w:t>
      </w:r>
      <w:r w:rsidRPr="00A30307">
        <w:t xml:space="preserve"> průmyslových objektů v Dolní oblasti Vítkovic s přeměnou využití pro kulturně-vzdělávací účely</w:t>
      </w:r>
      <w:r w:rsidR="00DE6DAB">
        <w:t xml:space="preserve">, volný čas </w:t>
      </w:r>
      <w:r>
        <w:t>a</w:t>
      </w:r>
      <w:r w:rsidR="00DE6DAB">
        <w:t> </w:t>
      </w:r>
      <w:r>
        <w:t xml:space="preserve">podnikání. </w:t>
      </w:r>
      <w:r w:rsidR="00EC7340">
        <w:t xml:space="preserve">V oblasti sportu byla dokončena </w:t>
      </w:r>
      <w:r w:rsidR="00427BC7">
        <w:t>výstavba sportovní</w:t>
      </w:r>
      <w:r w:rsidR="00DE6DAB">
        <w:t>ch</w:t>
      </w:r>
      <w:r w:rsidR="00427BC7">
        <w:t xml:space="preserve"> hal v </w:t>
      </w:r>
      <w:r w:rsidR="00EC7340">
        <w:t>Nové Bělé</w:t>
      </w:r>
      <w:r w:rsidR="009C2AA2">
        <w:t xml:space="preserve"> a </w:t>
      </w:r>
      <w:r w:rsidR="00C8252B">
        <w:t xml:space="preserve">realizuje </w:t>
      </w:r>
      <w:r w:rsidR="009C2AA2">
        <w:t>se výstavba sportovní haly v </w:t>
      </w:r>
      <w:r w:rsidR="00C8252B">
        <w:t>Třebovicích</w:t>
      </w:r>
      <w:r w:rsidR="009C2AA2">
        <w:t xml:space="preserve">. </w:t>
      </w:r>
    </w:p>
    <w:p w14:paraId="675A188A" w14:textId="3082DE6E" w:rsidR="00416373" w:rsidRPr="00416373" w:rsidRDefault="00416373" w:rsidP="00416373">
      <w:pPr>
        <w:pStyle w:val="Zhlav"/>
        <w:tabs>
          <w:tab w:val="clear" w:pos="4536"/>
          <w:tab w:val="clear" w:pos="9072"/>
        </w:tabs>
      </w:pPr>
      <w:r w:rsidRPr="00416373">
        <w:t>CM 2020</w:t>
      </w: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61"/>
        <w:gridCol w:w="1842"/>
        <w:gridCol w:w="1843"/>
        <w:gridCol w:w="1985"/>
      </w:tblGrid>
      <w:tr w:rsidR="00416373" w:rsidRPr="00416373" w14:paraId="6CBB7F29" w14:textId="77777777" w:rsidTr="00D5526F">
        <w:trPr>
          <w:cantSplit/>
        </w:trPr>
        <w:tc>
          <w:tcPr>
            <w:tcW w:w="3261" w:type="dxa"/>
            <w:vMerge w:val="restart"/>
            <w:tcBorders>
              <w:top w:val="single" w:sz="18" w:space="0" w:color="auto"/>
              <w:left w:val="single" w:sz="18" w:space="0" w:color="auto"/>
              <w:right w:val="single" w:sz="18" w:space="0" w:color="auto"/>
            </w:tcBorders>
            <w:vAlign w:val="center"/>
          </w:tcPr>
          <w:p w14:paraId="066C65D1" w14:textId="77777777" w:rsidR="00416373" w:rsidRPr="00416373" w:rsidRDefault="00416373" w:rsidP="00D5526F">
            <w:pPr>
              <w:pStyle w:val="Nadpis1"/>
              <w:jc w:val="center"/>
              <w:rPr>
                <w:b/>
              </w:rPr>
            </w:pPr>
            <w:r w:rsidRPr="00416373">
              <w:rPr>
                <w:b/>
              </w:rPr>
              <w:t>Poloha</w:t>
            </w:r>
          </w:p>
        </w:tc>
        <w:tc>
          <w:tcPr>
            <w:tcW w:w="5670" w:type="dxa"/>
            <w:gridSpan w:val="3"/>
            <w:tcBorders>
              <w:top w:val="single" w:sz="18" w:space="0" w:color="auto"/>
              <w:left w:val="nil"/>
              <w:bottom w:val="nil"/>
              <w:right w:val="single" w:sz="18" w:space="0" w:color="auto"/>
            </w:tcBorders>
          </w:tcPr>
          <w:p w14:paraId="078AA3D3" w14:textId="77777777" w:rsidR="00416373" w:rsidRPr="00416373" w:rsidRDefault="00416373" w:rsidP="00D5526F">
            <w:pPr>
              <w:jc w:val="center"/>
              <w:rPr>
                <w:b/>
                <w:sz w:val="24"/>
              </w:rPr>
            </w:pPr>
            <w:r w:rsidRPr="00416373">
              <w:rPr>
                <w:b/>
                <w:sz w:val="24"/>
              </w:rPr>
              <w:t>Kč/m</w:t>
            </w:r>
            <w:r w:rsidRPr="00416373">
              <w:rPr>
                <w:b/>
                <w:sz w:val="24"/>
                <w:vertAlign w:val="superscript"/>
              </w:rPr>
              <w:t>2</w:t>
            </w:r>
            <w:r w:rsidRPr="00416373">
              <w:rPr>
                <w:b/>
                <w:sz w:val="24"/>
              </w:rPr>
              <w:t xml:space="preserve"> </w:t>
            </w:r>
          </w:p>
        </w:tc>
      </w:tr>
      <w:tr w:rsidR="00416373" w:rsidRPr="00416373" w14:paraId="298E1C18" w14:textId="77777777" w:rsidTr="00D5526F">
        <w:tc>
          <w:tcPr>
            <w:tcW w:w="3261" w:type="dxa"/>
            <w:vMerge/>
            <w:tcBorders>
              <w:left w:val="single" w:sz="18" w:space="0" w:color="auto"/>
              <w:bottom w:val="single" w:sz="18" w:space="0" w:color="auto"/>
              <w:right w:val="single" w:sz="18" w:space="0" w:color="auto"/>
            </w:tcBorders>
            <w:vAlign w:val="center"/>
          </w:tcPr>
          <w:p w14:paraId="700A39DC" w14:textId="77777777" w:rsidR="00416373" w:rsidRPr="00416373" w:rsidRDefault="00416373" w:rsidP="00D5526F">
            <w:pPr>
              <w:pStyle w:val="Nadpis1"/>
              <w:jc w:val="center"/>
            </w:pPr>
          </w:p>
        </w:tc>
        <w:tc>
          <w:tcPr>
            <w:tcW w:w="1842" w:type="dxa"/>
            <w:tcBorders>
              <w:top w:val="single" w:sz="12" w:space="0" w:color="auto"/>
              <w:left w:val="nil"/>
              <w:bottom w:val="single" w:sz="18" w:space="0" w:color="auto"/>
              <w:right w:val="single" w:sz="6" w:space="0" w:color="auto"/>
            </w:tcBorders>
          </w:tcPr>
          <w:p w14:paraId="535A9166" w14:textId="77777777" w:rsidR="00416373" w:rsidRPr="00416373" w:rsidRDefault="00416373" w:rsidP="00D5526F">
            <w:pPr>
              <w:jc w:val="center"/>
              <w:rPr>
                <w:b/>
                <w:sz w:val="24"/>
              </w:rPr>
            </w:pPr>
            <w:r w:rsidRPr="00416373">
              <w:rPr>
                <w:b/>
                <w:sz w:val="24"/>
              </w:rPr>
              <w:t>Průměrná cena</w:t>
            </w:r>
          </w:p>
        </w:tc>
        <w:tc>
          <w:tcPr>
            <w:tcW w:w="1843" w:type="dxa"/>
            <w:tcBorders>
              <w:top w:val="single" w:sz="12" w:space="0" w:color="auto"/>
              <w:left w:val="single" w:sz="6" w:space="0" w:color="auto"/>
              <w:bottom w:val="single" w:sz="18" w:space="0" w:color="auto"/>
              <w:right w:val="single" w:sz="6" w:space="0" w:color="auto"/>
            </w:tcBorders>
          </w:tcPr>
          <w:p w14:paraId="5488E639" w14:textId="77777777" w:rsidR="00416373" w:rsidRPr="00416373" w:rsidRDefault="00416373" w:rsidP="00D5526F">
            <w:pPr>
              <w:jc w:val="center"/>
              <w:rPr>
                <w:b/>
                <w:sz w:val="24"/>
              </w:rPr>
            </w:pPr>
            <w:r w:rsidRPr="00416373">
              <w:rPr>
                <w:b/>
                <w:sz w:val="24"/>
              </w:rPr>
              <w:t>Minimální cena</w:t>
            </w:r>
          </w:p>
        </w:tc>
        <w:tc>
          <w:tcPr>
            <w:tcW w:w="1985" w:type="dxa"/>
            <w:tcBorders>
              <w:top w:val="single" w:sz="12" w:space="0" w:color="auto"/>
              <w:left w:val="single" w:sz="6" w:space="0" w:color="auto"/>
              <w:bottom w:val="single" w:sz="18" w:space="0" w:color="auto"/>
              <w:right w:val="single" w:sz="18" w:space="0" w:color="auto"/>
            </w:tcBorders>
          </w:tcPr>
          <w:p w14:paraId="22F4EF54" w14:textId="77777777" w:rsidR="00416373" w:rsidRPr="00416373" w:rsidRDefault="00416373" w:rsidP="00D5526F">
            <w:pPr>
              <w:jc w:val="center"/>
              <w:rPr>
                <w:b/>
                <w:sz w:val="24"/>
              </w:rPr>
            </w:pPr>
            <w:r w:rsidRPr="00416373">
              <w:rPr>
                <w:b/>
                <w:sz w:val="24"/>
              </w:rPr>
              <w:t>Maximální cena</w:t>
            </w:r>
          </w:p>
        </w:tc>
      </w:tr>
      <w:tr w:rsidR="00416373" w:rsidRPr="00416373" w14:paraId="01103148" w14:textId="77777777" w:rsidTr="00D5526F">
        <w:tc>
          <w:tcPr>
            <w:tcW w:w="3261" w:type="dxa"/>
            <w:tcBorders>
              <w:top w:val="nil"/>
              <w:left w:val="single" w:sz="18" w:space="0" w:color="auto"/>
              <w:bottom w:val="single" w:sz="6" w:space="0" w:color="auto"/>
              <w:right w:val="single" w:sz="18" w:space="0" w:color="auto"/>
            </w:tcBorders>
          </w:tcPr>
          <w:p w14:paraId="4BD88F7F" w14:textId="77777777" w:rsidR="00416373" w:rsidRPr="00416373" w:rsidRDefault="00416373" w:rsidP="00D5526F">
            <w:pPr>
              <w:rPr>
                <w:sz w:val="24"/>
              </w:rPr>
            </w:pPr>
            <w:r w:rsidRPr="00416373">
              <w:rPr>
                <w:sz w:val="24"/>
              </w:rPr>
              <w:t>Vnitřní město</w:t>
            </w:r>
          </w:p>
        </w:tc>
        <w:tc>
          <w:tcPr>
            <w:tcW w:w="1842" w:type="dxa"/>
            <w:tcBorders>
              <w:top w:val="nil"/>
              <w:left w:val="nil"/>
              <w:bottom w:val="single" w:sz="6" w:space="0" w:color="auto"/>
              <w:right w:val="single" w:sz="6" w:space="0" w:color="auto"/>
            </w:tcBorders>
          </w:tcPr>
          <w:p w14:paraId="4E05DF9D" w14:textId="56373D72" w:rsidR="00416373" w:rsidRPr="00416373" w:rsidRDefault="00416373" w:rsidP="00D5526F">
            <w:pPr>
              <w:jc w:val="center"/>
              <w:rPr>
                <w:sz w:val="24"/>
              </w:rPr>
            </w:pPr>
            <w:r w:rsidRPr="00416373">
              <w:rPr>
                <w:sz w:val="24"/>
              </w:rPr>
              <w:t>1 661</w:t>
            </w:r>
          </w:p>
        </w:tc>
        <w:tc>
          <w:tcPr>
            <w:tcW w:w="1843" w:type="dxa"/>
            <w:tcBorders>
              <w:top w:val="nil"/>
              <w:left w:val="single" w:sz="6" w:space="0" w:color="auto"/>
              <w:bottom w:val="single" w:sz="6" w:space="0" w:color="auto"/>
              <w:right w:val="single" w:sz="6" w:space="0" w:color="auto"/>
            </w:tcBorders>
          </w:tcPr>
          <w:p w14:paraId="52607A21" w14:textId="38E65F63" w:rsidR="00416373" w:rsidRPr="00416373" w:rsidRDefault="00416373" w:rsidP="00D5526F">
            <w:pPr>
              <w:jc w:val="center"/>
              <w:rPr>
                <w:sz w:val="24"/>
              </w:rPr>
            </w:pPr>
            <w:r w:rsidRPr="00416373">
              <w:rPr>
                <w:sz w:val="24"/>
              </w:rPr>
              <w:t>1 182</w:t>
            </w:r>
          </w:p>
        </w:tc>
        <w:tc>
          <w:tcPr>
            <w:tcW w:w="1985" w:type="dxa"/>
            <w:tcBorders>
              <w:top w:val="nil"/>
              <w:left w:val="single" w:sz="6" w:space="0" w:color="auto"/>
              <w:bottom w:val="single" w:sz="6" w:space="0" w:color="auto"/>
              <w:right w:val="single" w:sz="18" w:space="0" w:color="auto"/>
            </w:tcBorders>
          </w:tcPr>
          <w:p w14:paraId="5A3A13A3" w14:textId="10EB41AF" w:rsidR="00416373" w:rsidRPr="00416373" w:rsidRDefault="00416373" w:rsidP="00D5526F">
            <w:pPr>
              <w:jc w:val="center"/>
              <w:rPr>
                <w:sz w:val="24"/>
              </w:rPr>
            </w:pPr>
            <w:r w:rsidRPr="00416373">
              <w:rPr>
                <w:sz w:val="24"/>
              </w:rPr>
              <w:t>17 195</w:t>
            </w:r>
          </w:p>
        </w:tc>
      </w:tr>
      <w:tr w:rsidR="00416373" w:rsidRPr="00416373" w14:paraId="27EF6637" w14:textId="77777777" w:rsidTr="00D5526F">
        <w:tc>
          <w:tcPr>
            <w:tcW w:w="3261" w:type="dxa"/>
            <w:tcBorders>
              <w:top w:val="single" w:sz="6" w:space="0" w:color="auto"/>
              <w:left w:val="single" w:sz="18" w:space="0" w:color="auto"/>
              <w:bottom w:val="single" w:sz="6" w:space="0" w:color="auto"/>
              <w:right w:val="single" w:sz="18" w:space="0" w:color="auto"/>
            </w:tcBorders>
          </w:tcPr>
          <w:p w14:paraId="653F3B32" w14:textId="77777777" w:rsidR="00416373" w:rsidRPr="00416373" w:rsidRDefault="00416373" w:rsidP="00D5526F">
            <w:pPr>
              <w:rPr>
                <w:sz w:val="24"/>
              </w:rPr>
            </w:pPr>
            <w:r w:rsidRPr="00416373">
              <w:rPr>
                <w:sz w:val="24"/>
              </w:rPr>
              <w:t>Okrajová část vnitřního města</w:t>
            </w:r>
          </w:p>
        </w:tc>
        <w:tc>
          <w:tcPr>
            <w:tcW w:w="1842" w:type="dxa"/>
            <w:tcBorders>
              <w:top w:val="single" w:sz="6" w:space="0" w:color="auto"/>
              <w:left w:val="nil"/>
              <w:bottom w:val="single" w:sz="6" w:space="0" w:color="auto"/>
              <w:right w:val="single" w:sz="6" w:space="0" w:color="auto"/>
            </w:tcBorders>
          </w:tcPr>
          <w:p w14:paraId="45CED52A" w14:textId="5B8091F2" w:rsidR="00416373" w:rsidRPr="00416373" w:rsidRDefault="00416373" w:rsidP="00D5526F">
            <w:pPr>
              <w:jc w:val="center"/>
              <w:rPr>
                <w:sz w:val="24"/>
              </w:rPr>
            </w:pPr>
            <w:r w:rsidRPr="00416373">
              <w:rPr>
                <w:sz w:val="24"/>
              </w:rPr>
              <w:t>1 462</w:t>
            </w:r>
          </w:p>
        </w:tc>
        <w:tc>
          <w:tcPr>
            <w:tcW w:w="1843" w:type="dxa"/>
            <w:tcBorders>
              <w:top w:val="single" w:sz="6" w:space="0" w:color="auto"/>
              <w:left w:val="single" w:sz="6" w:space="0" w:color="auto"/>
              <w:bottom w:val="single" w:sz="6" w:space="0" w:color="auto"/>
              <w:right w:val="single" w:sz="6" w:space="0" w:color="auto"/>
            </w:tcBorders>
          </w:tcPr>
          <w:p w14:paraId="2AD4960F" w14:textId="5927DE70" w:rsidR="00416373" w:rsidRPr="00416373" w:rsidRDefault="00416373" w:rsidP="00D5526F">
            <w:pPr>
              <w:jc w:val="center"/>
              <w:rPr>
                <w:sz w:val="24"/>
              </w:rPr>
            </w:pPr>
            <w:r w:rsidRPr="00416373">
              <w:rPr>
                <w:sz w:val="24"/>
              </w:rPr>
              <w:t>43</w:t>
            </w:r>
          </w:p>
        </w:tc>
        <w:tc>
          <w:tcPr>
            <w:tcW w:w="1985" w:type="dxa"/>
            <w:tcBorders>
              <w:top w:val="single" w:sz="6" w:space="0" w:color="auto"/>
              <w:left w:val="single" w:sz="6" w:space="0" w:color="auto"/>
              <w:bottom w:val="single" w:sz="6" w:space="0" w:color="auto"/>
              <w:right w:val="single" w:sz="18" w:space="0" w:color="auto"/>
            </w:tcBorders>
          </w:tcPr>
          <w:p w14:paraId="388D8335" w14:textId="10B657DB" w:rsidR="00416373" w:rsidRPr="00416373" w:rsidRDefault="00416373" w:rsidP="00D5526F">
            <w:pPr>
              <w:jc w:val="center"/>
              <w:rPr>
                <w:sz w:val="24"/>
              </w:rPr>
            </w:pPr>
            <w:r w:rsidRPr="00416373">
              <w:rPr>
                <w:sz w:val="24"/>
              </w:rPr>
              <w:t>2 081</w:t>
            </w:r>
          </w:p>
        </w:tc>
      </w:tr>
      <w:tr w:rsidR="00416373" w:rsidRPr="00416373" w14:paraId="744BC513" w14:textId="77777777" w:rsidTr="00D5526F">
        <w:tc>
          <w:tcPr>
            <w:tcW w:w="3261" w:type="dxa"/>
            <w:tcBorders>
              <w:top w:val="single" w:sz="6" w:space="0" w:color="auto"/>
              <w:left w:val="single" w:sz="18" w:space="0" w:color="auto"/>
              <w:bottom w:val="single" w:sz="6" w:space="0" w:color="auto"/>
              <w:right w:val="single" w:sz="18" w:space="0" w:color="auto"/>
            </w:tcBorders>
          </w:tcPr>
          <w:p w14:paraId="26311D48" w14:textId="77777777" w:rsidR="00416373" w:rsidRPr="00416373" w:rsidRDefault="00416373" w:rsidP="00D5526F">
            <w:pPr>
              <w:rPr>
                <w:sz w:val="24"/>
              </w:rPr>
            </w:pPr>
            <w:r w:rsidRPr="00416373">
              <w:rPr>
                <w:sz w:val="24"/>
              </w:rPr>
              <w:t>Průmyslové části</w:t>
            </w:r>
          </w:p>
        </w:tc>
        <w:tc>
          <w:tcPr>
            <w:tcW w:w="1842" w:type="dxa"/>
            <w:tcBorders>
              <w:top w:val="single" w:sz="6" w:space="0" w:color="auto"/>
              <w:left w:val="nil"/>
              <w:bottom w:val="single" w:sz="6" w:space="0" w:color="auto"/>
              <w:right w:val="single" w:sz="6" w:space="0" w:color="auto"/>
            </w:tcBorders>
          </w:tcPr>
          <w:p w14:paraId="453D09B4" w14:textId="5863F32B" w:rsidR="00416373" w:rsidRPr="00416373" w:rsidRDefault="00416373" w:rsidP="00D5526F">
            <w:pPr>
              <w:jc w:val="center"/>
              <w:rPr>
                <w:sz w:val="24"/>
              </w:rPr>
            </w:pPr>
            <w:r w:rsidRPr="00416373">
              <w:rPr>
                <w:sz w:val="24"/>
              </w:rPr>
              <w:t>387</w:t>
            </w:r>
          </w:p>
        </w:tc>
        <w:tc>
          <w:tcPr>
            <w:tcW w:w="1843" w:type="dxa"/>
            <w:tcBorders>
              <w:top w:val="single" w:sz="6" w:space="0" w:color="auto"/>
              <w:left w:val="single" w:sz="6" w:space="0" w:color="auto"/>
              <w:bottom w:val="single" w:sz="6" w:space="0" w:color="auto"/>
              <w:right w:val="single" w:sz="6" w:space="0" w:color="auto"/>
            </w:tcBorders>
          </w:tcPr>
          <w:p w14:paraId="51AA2138" w14:textId="4B9938A9" w:rsidR="00416373" w:rsidRPr="00416373" w:rsidRDefault="00416373" w:rsidP="00D5526F">
            <w:pPr>
              <w:jc w:val="center"/>
              <w:rPr>
                <w:sz w:val="24"/>
              </w:rPr>
            </w:pPr>
            <w:r w:rsidRPr="00416373">
              <w:rPr>
                <w:sz w:val="24"/>
              </w:rPr>
              <w:t>61</w:t>
            </w:r>
          </w:p>
        </w:tc>
        <w:tc>
          <w:tcPr>
            <w:tcW w:w="1985" w:type="dxa"/>
            <w:tcBorders>
              <w:top w:val="single" w:sz="6" w:space="0" w:color="auto"/>
              <w:left w:val="single" w:sz="6" w:space="0" w:color="auto"/>
              <w:bottom w:val="single" w:sz="6" w:space="0" w:color="auto"/>
              <w:right w:val="single" w:sz="18" w:space="0" w:color="auto"/>
            </w:tcBorders>
          </w:tcPr>
          <w:p w14:paraId="06C95197" w14:textId="7BE64022" w:rsidR="00416373" w:rsidRPr="00416373" w:rsidRDefault="00416373" w:rsidP="00D5526F">
            <w:pPr>
              <w:jc w:val="center"/>
              <w:rPr>
                <w:sz w:val="24"/>
              </w:rPr>
            </w:pPr>
            <w:r w:rsidRPr="00416373">
              <w:rPr>
                <w:sz w:val="24"/>
              </w:rPr>
              <w:t>1 400</w:t>
            </w:r>
          </w:p>
        </w:tc>
      </w:tr>
      <w:tr w:rsidR="00416373" w:rsidRPr="00231ABC" w14:paraId="4A376E05" w14:textId="77777777" w:rsidTr="00D5526F">
        <w:tc>
          <w:tcPr>
            <w:tcW w:w="3261" w:type="dxa"/>
            <w:tcBorders>
              <w:top w:val="single" w:sz="6" w:space="0" w:color="auto"/>
              <w:left w:val="single" w:sz="18" w:space="0" w:color="auto"/>
              <w:bottom w:val="single" w:sz="18" w:space="0" w:color="auto"/>
              <w:right w:val="single" w:sz="18" w:space="0" w:color="auto"/>
            </w:tcBorders>
          </w:tcPr>
          <w:p w14:paraId="19D46516" w14:textId="77777777" w:rsidR="00416373" w:rsidRPr="00416373" w:rsidRDefault="00416373" w:rsidP="00D5526F">
            <w:pPr>
              <w:rPr>
                <w:sz w:val="24"/>
              </w:rPr>
            </w:pPr>
            <w:r w:rsidRPr="00416373">
              <w:rPr>
                <w:sz w:val="24"/>
              </w:rPr>
              <w:t>Území mimo kompaktní město</w:t>
            </w:r>
          </w:p>
        </w:tc>
        <w:tc>
          <w:tcPr>
            <w:tcW w:w="1842" w:type="dxa"/>
            <w:tcBorders>
              <w:top w:val="single" w:sz="6" w:space="0" w:color="auto"/>
              <w:left w:val="nil"/>
              <w:bottom w:val="single" w:sz="18" w:space="0" w:color="auto"/>
              <w:right w:val="single" w:sz="6" w:space="0" w:color="auto"/>
            </w:tcBorders>
          </w:tcPr>
          <w:p w14:paraId="0436C826" w14:textId="0C37DEDE" w:rsidR="00416373" w:rsidRPr="00416373" w:rsidRDefault="00416373" w:rsidP="00D5526F">
            <w:pPr>
              <w:jc w:val="center"/>
              <w:rPr>
                <w:sz w:val="24"/>
              </w:rPr>
            </w:pPr>
            <w:r w:rsidRPr="00416373">
              <w:rPr>
                <w:sz w:val="24"/>
              </w:rPr>
              <w:t>866</w:t>
            </w:r>
          </w:p>
        </w:tc>
        <w:tc>
          <w:tcPr>
            <w:tcW w:w="1843" w:type="dxa"/>
            <w:tcBorders>
              <w:top w:val="single" w:sz="6" w:space="0" w:color="auto"/>
              <w:left w:val="single" w:sz="6" w:space="0" w:color="auto"/>
              <w:bottom w:val="single" w:sz="18" w:space="0" w:color="auto"/>
              <w:right w:val="single" w:sz="6" w:space="0" w:color="auto"/>
            </w:tcBorders>
          </w:tcPr>
          <w:p w14:paraId="44A91466" w14:textId="0C305C25" w:rsidR="00416373" w:rsidRPr="00416373" w:rsidRDefault="00416373" w:rsidP="00D5526F">
            <w:pPr>
              <w:jc w:val="center"/>
              <w:rPr>
                <w:sz w:val="24"/>
              </w:rPr>
            </w:pPr>
            <w:r w:rsidRPr="00416373">
              <w:rPr>
                <w:sz w:val="24"/>
              </w:rPr>
              <w:t>37</w:t>
            </w:r>
          </w:p>
        </w:tc>
        <w:tc>
          <w:tcPr>
            <w:tcW w:w="1985" w:type="dxa"/>
            <w:tcBorders>
              <w:top w:val="single" w:sz="6" w:space="0" w:color="auto"/>
              <w:left w:val="single" w:sz="6" w:space="0" w:color="auto"/>
              <w:bottom w:val="single" w:sz="18" w:space="0" w:color="auto"/>
              <w:right w:val="single" w:sz="18" w:space="0" w:color="auto"/>
            </w:tcBorders>
          </w:tcPr>
          <w:p w14:paraId="2580688B" w14:textId="3DB1791D" w:rsidR="00416373" w:rsidRPr="00231ABC" w:rsidRDefault="00416373" w:rsidP="00D5526F">
            <w:pPr>
              <w:jc w:val="center"/>
              <w:rPr>
                <w:sz w:val="24"/>
              </w:rPr>
            </w:pPr>
            <w:r w:rsidRPr="00416373">
              <w:rPr>
                <w:sz w:val="24"/>
              </w:rPr>
              <w:t>1 172</w:t>
            </w:r>
          </w:p>
        </w:tc>
      </w:tr>
    </w:tbl>
    <w:p w14:paraId="2C24F362" w14:textId="77777777" w:rsidR="00BF7968" w:rsidRDefault="00BF7968" w:rsidP="00BF7968">
      <w:pPr>
        <w:pStyle w:val="Zhlav"/>
        <w:tabs>
          <w:tab w:val="clear" w:pos="4536"/>
          <w:tab w:val="clear" w:pos="9072"/>
        </w:tabs>
      </w:pPr>
    </w:p>
    <w:p w14:paraId="4FBDCE90" w14:textId="433E0601" w:rsidR="00BF7968" w:rsidRPr="00231ABC" w:rsidRDefault="00BF7968" w:rsidP="00BF7968">
      <w:pPr>
        <w:pStyle w:val="Zhlav"/>
        <w:tabs>
          <w:tab w:val="clear" w:pos="4536"/>
          <w:tab w:val="clear" w:pos="9072"/>
        </w:tabs>
      </w:pPr>
      <w:r w:rsidRPr="00231ABC">
        <w:t>CM 20</w:t>
      </w:r>
      <w:r>
        <w:t>21</w:t>
      </w: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61"/>
        <w:gridCol w:w="1842"/>
        <w:gridCol w:w="1843"/>
        <w:gridCol w:w="1985"/>
      </w:tblGrid>
      <w:tr w:rsidR="00BF7968" w:rsidRPr="00AE2BE5" w14:paraId="5208994F" w14:textId="77777777" w:rsidTr="009C240A">
        <w:trPr>
          <w:cantSplit/>
        </w:trPr>
        <w:tc>
          <w:tcPr>
            <w:tcW w:w="3261" w:type="dxa"/>
            <w:vMerge w:val="restart"/>
            <w:tcBorders>
              <w:top w:val="single" w:sz="18" w:space="0" w:color="auto"/>
              <w:left w:val="single" w:sz="18" w:space="0" w:color="auto"/>
              <w:right w:val="single" w:sz="18" w:space="0" w:color="auto"/>
            </w:tcBorders>
            <w:vAlign w:val="center"/>
          </w:tcPr>
          <w:p w14:paraId="3FAA4A72" w14:textId="77777777" w:rsidR="00BF7968" w:rsidRPr="00AE2BE5" w:rsidRDefault="00BF7968" w:rsidP="009C240A">
            <w:pPr>
              <w:pStyle w:val="Nadpis1"/>
              <w:jc w:val="center"/>
              <w:rPr>
                <w:b/>
              </w:rPr>
            </w:pPr>
            <w:r w:rsidRPr="00AE2BE5">
              <w:rPr>
                <w:b/>
              </w:rPr>
              <w:t>Poloha</w:t>
            </w:r>
          </w:p>
        </w:tc>
        <w:tc>
          <w:tcPr>
            <w:tcW w:w="5670" w:type="dxa"/>
            <w:gridSpan w:val="3"/>
            <w:tcBorders>
              <w:top w:val="single" w:sz="18" w:space="0" w:color="auto"/>
              <w:left w:val="nil"/>
              <w:bottom w:val="nil"/>
              <w:right w:val="single" w:sz="18" w:space="0" w:color="auto"/>
            </w:tcBorders>
          </w:tcPr>
          <w:p w14:paraId="02F6D2FB" w14:textId="77777777" w:rsidR="00BF7968" w:rsidRPr="00AE2BE5" w:rsidRDefault="00BF7968" w:rsidP="009C240A">
            <w:pPr>
              <w:jc w:val="center"/>
              <w:rPr>
                <w:b/>
                <w:sz w:val="24"/>
              </w:rPr>
            </w:pPr>
            <w:r w:rsidRPr="00AE2BE5">
              <w:rPr>
                <w:b/>
                <w:sz w:val="24"/>
              </w:rPr>
              <w:t>Kč/m</w:t>
            </w:r>
            <w:r w:rsidRPr="00AE2BE5">
              <w:rPr>
                <w:b/>
                <w:sz w:val="24"/>
                <w:vertAlign w:val="superscript"/>
              </w:rPr>
              <w:t>2</w:t>
            </w:r>
            <w:r w:rsidRPr="00AE2BE5">
              <w:rPr>
                <w:b/>
                <w:sz w:val="24"/>
              </w:rPr>
              <w:t xml:space="preserve"> </w:t>
            </w:r>
          </w:p>
        </w:tc>
      </w:tr>
      <w:tr w:rsidR="00BF7968" w:rsidRPr="00AE2BE5" w14:paraId="0618B966" w14:textId="77777777" w:rsidTr="009C240A">
        <w:tc>
          <w:tcPr>
            <w:tcW w:w="3261" w:type="dxa"/>
            <w:vMerge/>
            <w:tcBorders>
              <w:left w:val="single" w:sz="18" w:space="0" w:color="auto"/>
              <w:bottom w:val="single" w:sz="18" w:space="0" w:color="auto"/>
              <w:right w:val="single" w:sz="18" w:space="0" w:color="auto"/>
            </w:tcBorders>
            <w:vAlign w:val="center"/>
          </w:tcPr>
          <w:p w14:paraId="2EEE5966" w14:textId="77777777" w:rsidR="00BF7968" w:rsidRPr="00AE2BE5" w:rsidRDefault="00BF7968" w:rsidP="009C240A">
            <w:pPr>
              <w:pStyle w:val="Nadpis1"/>
              <w:jc w:val="center"/>
            </w:pPr>
          </w:p>
        </w:tc>
        <w:tc>
          <w:tcPr>
            <w:tcW w:w="1842" w:type="dxa"/>
            <w:tcBorders>
              <w:top w:val="single" w:sz="12" w:space="0" w:color="auto"/>
              <w:left w:val="nil"/>
              <w:bottom w:val="single" w:sz="18" w:space="0" w:color="auto"/>
              <w:right w:val="single" w:sz="6" w:space="0" w:color="auto"/>
            </w:tcBorders>
          </w:tcPr>
          <w:p w14:paraId="08E8658A" w14:textId="77777777" w:rsidR="00BF7968" w:rsidRPr="00AE2BE5" w:rsidRDefault="00BF7968" w:rsidP="009C240A">
            <w:pPr>
              <w:jc w:val="center"/>
              <w:rPr>
                <w:b/>
                <w:sz w:val="24"/>
              </w:rPr>
            </w:pPr>
            <w:r w:rsidRPr="00AE2BE5">
              <w:rPr>
                <w:b/>
                <w:sz w:val="24"/>
              </w:rPr>
              <w:t>Průměrná cena</w:t>
            </w:r>
          </w:p>
        </w:tc>
        <w:tc>
          <w:tcPr>
            <w:tcW w:w="1843" w:type="dxa"/>
            <w:tcBorders>
              <w:top w:val="single" w:sz="12" w:space="0" w:color="auto"/>
              <w:left w:val="single" w:sz="6" w:space="0" w:color="auto"/>
              <w:bottom w:val="single" w:sz="18" w:space="0" w:color="auto"/>
              <w:right w:val="single" w:sz="6" w:space="0" w:color="auto"/>
            </w:tcBorders>
          </w:tcPr>
          <w:p w14:paraId="568C1D8C" w14:textId="77777777" w:rsidR="00BF7968" w:rsidRPr="00AE2BE5" w:rsidRDefault="00BF7968" w:rsidP="009C240A">
            <w:pPr>
              <w:jc w:val="center"/>
              <w:rPr>
                <w:b/>
                <w:sz w:val="24"/>
              </w:rPr>
            </w:pPr>
            <w:r w:rsidRPr="00AE2BE5">
              <w:rPr>
                <w:b/>
                <w:sz w:val="24"/>
              </w:rPr>
              <w:t>Minimální cena</w:t>
            </w:r>
          </w:p>
        </w:tc>
        <w:tc>
          <w:tcPr>
            <w:tcW w:w="1985" w:type="dxa"/>
            <w:tcBorders>
              <w:top w:val="single" w:sz="12" w:space="0" w:color="auto"/>
              <w:left w:val="single" w:sz="6" w:space="0" w:color="auto"/>
              <w:bottom w:val="single" w:sz="18" w:space="0" w:color="auto"/>
              <w:right w:val="single" w:sz="18" w:space="0" w:color="auto"/>
            </w:tcBorders>
          </w:tcPr>
          <w:p w14:paraId="58566976" w14:textId="77777777" w:rsidR="00BF7968" w:rsidRPr="00AE2BE5" w:rsidRDefault="00BF7968" w:rsidP="009C240A">
            <w:pPr>
              <w:jc w:val="center"/>
              <w:rPr>
                <w:b/>
                <w:sz w:val="24"/>
              </w:rPr>
            </w:pPr>
            <w:r w:rsidRPr="00AE2BE5">
              <w:rPr>
                <w:b/>
                <w:sz w:val="24"/>
              </w:rPr>
              <w:t>Maximální cena</w:t>
            </w:r>
          </w:p>
        </w:tc>
      </w:tr>
      <w:tr w:rsidR="00BF7968" w:rsidRPr="00AE2BE5" w14:paraId="3462E0DE" w14:textId="77777777" w:rsidTr="009C240A">
        <w:tc>
          <w:tcPr>
            <w:tcW w:w="3261" w:type="dxa"/>
            <w:tcBorders>
              <w:top w:val="nil"/>
              <w:left w:val="single" w:sz="18" w:space="0" w:color="auto"/>
              <w:bottom w:val="single" w:sz="6" w:space="0" w:color="auto"/>
              <w:right w:val="single" w:sz="18" w:space="0" w:color="auto"/>
            </w:tcBorders>
          </w:tcPr>
          <w:p w14:paraId="7D8D363F" w14:textId="77777777" w:rsidR="00BF7968" w:rsidRPr="00AE2BE5" w:rsidRDefault="00BF7968" w:rsidP="009C240A">
            <w:pPr>
              <w:rPr>
                <w:sz w:val="24"/>
              </w:rPr>
            </w:pPr>
            <w:r w:rsidRPr="00AE2BE5">
              <w:rPr>
                <w:sz w:val="24"/>
              </w:rPr>
              <w:t>Vnitřní město</w:t>
            </w:r>
          </w:p>
        </w:tc>
        <w:tc>
          <w:tcPr>
            <w:tcW w:w="1842" w:type="dxa"/>
            <w:tcBorders>
              <w:top w:val="nil"/>
              <w:left w:val="nil"/>
              <w:bottom w:val="single" w:sz="6" w:space="0" w:color="auto"/>
              <w:right w:val="single" w:sz="6" w:space="0" w:color="auto"/>
            </w:tcBorders>
          </w:tcPr>
          <w:p w14:paraId="2D6717EF" w14:textId="6E588244" w:rsidR="00BF7968" w:rsidRPr="00AE2BE5" w:rsidRDefault="00BF7968" w:rsidP="00BF7968">
            <w:pPr>
              <w:jc w:val="center"/>
              <w:rPr>
                <w:sz w:val="24"/>
              </w:rPr>
            </w:pPr>
            <w:r>
              <w:rPr>
                <w:sz w:val="24"/>
              </w:rPr>
              <w:t>808</w:t>
            </w:r>
          </w:p>
        </w:tc>
        <w:tc>
          <w:tcPr>
            <w:tcW w:w="1843" w:type="dxa"/>
            <w:tcBorders>
              <w:top w:val="nil"/>
              <w:left w:val="single" w:sz="6" w:space="0" w:color="auto"/>
              <w:bottom w:val="single" w:sz="6" w:space="0" w:color="auto"/>
              <w:right w:val="single" w:sz="6" w:space="0" w:color="auto"/>
            </w:tcBorders>
          </w:tcPr>
          <w:p w14:paraId="670DE7D7" w14:textId="731E6895" w:rsidR="00BF7968" w:rsidRPr="00AE2BE5" w:rsidRDefault="00BF7968" w:rsidP="009C240A">
            <w:pPr>
              <w:jc w:val="center"/>
              <w:rPr>
                <w:sz w:val="24"/>
              </w:rPr>
            </w:pPr>
            <w:r>
              <w:rPr>
                <w:sz w:val="24"/>
              </w:rPr>
              <w:t>757</w:t>
            </w:r>
          </w:p>
        </w:tc>
        <w:tc>
          <w:tcPr>
            <w:tcW w:w="1985" w:type="dxa"/>
            <w:tcBorders>
              <w:top w:val="nil"/>
              <w:left w:val="single" w:sz="6" w:space="0" w:color="auto"/>
              <w:bottom w:val="single" w:sz="6" w:space="0" w:color="auto"/>
              <w:right w:val="single" w:sz="18" w:space="0" w:color="auto"/>
            </w:tcBorders>
          </w:tcPr>
          <w:p w14:paraId="1B840FE7" w14:textId="58A0C3EE" w:rsidR="00BF7968" w:rsidRPr="00AE2BE5" w:rsidRDefault="00BF7968" w:rsidP="009C240A">
            <w:pPr>
              <w:jc w:val="center"/>
              <w:rPr>
                <w:sz w:val="24"/>
              </w:rPr>
            </w:pPr>
            <w:r>
              <w:rPr>
                <w:sz w:val="24"/>
              </w:rPr>
              <w:t>831</w:t>
            </w:r>
          </w:p>
        </w:tc>
      </w:tr>
      <w:tr w:rsidR="00BF7968" w:rsidRPr="00AE2BE5" w14:paraId="7E7742F4" w14:textId="77777777" w:rsidTr="009C240A">
        <w:tc>
          <w:tcPr>
            <w:tcW w:w="3261" w:type="dxa"/>
            <w:tcBorders>
              <w:top w:val="single" w:sz="6" w:space="0" w:color="auto"/>
              <w:left w:val="single" w:sz="18" w:space="0" w:color="auto"/>
              <w:bottom w:val="single" w:sz="6" w:space="0" w:color="auto"/>
              <w:right w:val="single" w:sz="18" w:space="0" w:color="auto"/>
            </w:tcBorders>
          </w:tcPr>
          <w:p w14:paraId="50597738" w14:textId="77777777" w:rsidR="00BF7968" w:rsidRPr="00AE2BE5" w:rsidRDefault="00BF7968" w:rsidP="009C240A">
            <w:pPr>
              <w:rPr>
                <w:sz w:val="24"/>
              </w:rPr>
            </w:pPr>
            <w:r w:rsidRPr="00AE2BE5">
              <w:rPr>
                <w:sz w:val="24"/>
              </w:rPr>
              <w:t>Okrajová část vnitřního města</w:t>
            </w:r>
          </w:p>
        </w:tc>
        <w:tc>
          <w:tcPr>
            <w:tcW w:w="1842" w:type="dxa"/>
            <w:tcBorders>
              <w:top w:val="single" w:sz="6" w:space="0" w:color="auto"/>
              <w:left w:val="nil"/>
              <w:bottom w:val="single" w:sz="6" w:space="0" w:color="auto"/>
              <w:right w:val="single" w:sz="6" w:space="0" w:color="auto"/>
            </w:tcBorders>
          </w:tcPr>
          <w:p w14:paraId="133F7FA1" w14:textId="1586D385" w:rsidR="00BF7968" w:rsidRPr="00AE2BE5" w:rsidRDefault="00BF7968" w:rsidP="009C240A">
            <w:pPr>
              <w:jc w:val="center"/>
              <w:rPr>
                <w:sz w:val="24"/>
              </w:rPr>
            </w:pPr>
            <w:r w:rsidRPr="00AE2BE5">
              <w:rPr>
                <w:sz w:val="24"/>
              </w:rPr>
              <w:t>4</w:t>
            </w:r>
            <w:r>
              <w:rPr>
                <w:sz w:val="24"/>
              </w:rPr>
              <w:t>75</w:t>
            </w:r>
            <w:r w:rsidRPr="00AE2BE5">
              <w:rPr>
                <w:sz w:val="24"/>
              </w:rPr>
              <w:t xml:space="preserve"> </w:t>
            </w:r>
          </w:p>
        </w:tc>
        <w:tc>
          <w:tcPr>
            <w:tcW w:w="1843" w:type="dxa"/>
            <w:tcBorders>
              <w:top w:val="single" w:sz="6" w:space="0" w:color="auto"/>
              <w:left w:val="single" w:sz="6" w:space="0" w:color="auto"/>
              <w:bottom w:val="single" w:sz="6" w:space="0" w:color="auto"/>
              <w:right w:val="single" w:sz="6" w:space="0" w:color="auto"/>
            </w:tcBorders>
          </w:tcPr>
          <w:p w14:paraId="061006A1" w14:textId="054916CB" w:rsidR="00BF7968" w:rsidRPr="00AE2BE5" w:rsidRDefault="00BF7968" w:rsidP="00BF7968">
            <w:pPr>
              <w:jc w:val="center"/>
              <w:rPr>
                <w:sz w:val="24"/>
              </w:rPr>
            </w:pPr>
            <w:r>
              <w:rPr>
                <w:sz w:val="24"/>
              </w:rPr>
              <w:t>465</w:t>
            </w:r>
          </w:p>
        </w:tc>
        <w:tc>
          <w:tcPr>
            <w:tcW w:w="1985" w:type="dxa"/>
            <w:tcBorders>
              <w:top w:val="single" w:sz="6" w:space="0" w:color="auto"/>
              <w:left w:val="single" w:sz="6" w:space="0" w:color="auto"/>
              <w:bottom w:val="single" w:sz="6" w:space="0" w:color="auto"/>
              <w:right w:val="single" w:sz="18" w:space="0" w:color="auto"/>
            </w:tcBorders>
          </w:tcPr>
          <w:p w14:paraId="2FDAF860" w14:textId="5EE33CDD" w:rsidR="00BF7968" w:rsidRPr="00AE2BE5" w:rsidRDefault="00BF7968" w:rsidP="009C240A">
            <w:pPr>
              <w:jc w:val="center"/>
              <w:rPr>
                <w:sz w:val="24"/>
              </w:rPr>
            </w:pPr>
            <w:r w:rsidRPr="00AE2BE5">
              <w:rPr>
                <w:sz w:val="24"/>
              </w:rPr>
              <w:t>6</w:t>
            </w:r>
            <w:r>
              <w:rPr>
                <w:sz w:val="24"/>
              </w:rPr>
              <w:t>12</w:t>
            </w:r>
          </w:p>
        </w:tc>
      </w:tr>
      <w:tr w:rsidR="00BF7968" w:rsidRPr="00AE2BE5" w14:paraId="1C0E25CD" w14:textId="77777777" w:rsidTr="009C240A">
        <w:tc>
          <w:tcPr>
            <w:tcW w:w="3261" w:type="dxa"/>
            <w:tcBorders>
              <w:top w:val="single" w:sz="6" w:space="0" w:color="auto"/>
              <w:left w:val="single" w:sz="18" w:space="0" w:color="auto"/>
              <w:bottom w:val="single" w:sz="6" w:space="0" w:color="auto"/>
              <w:right w:val="single" w:sz="18" w:space="0" w:color="auto"/>
            </w:tcBorders>
          </w:tcPr>
          <w:p w14:paraId="405080CE" w14:textId="77777777" w:rsidR="00BF7968" w:rsidRPr="00AE2BE5" w:rsidRDefault="00BF7968" w:rsidP="009C240A">
            <w:pPr>
              <w:rPr>
                <w:sz w:val="24"/>
              </w:rPr>
            </w:pPr>
            <w:r w:rsidRPr="00AE2BE5">
              <w:rPr>
                <w:sz w:val="24"/>
              </w:rPr>
              <w:t>Průmyslové části</w:t>
            </w:r>
          </w:p>
        </w:tc>
        <w:tc>
          <w:tcPr>
            <w:tcW w:w="1842" w:type="dxa"/>
            <w:tcBorders>
              <w:top w:val="single" w:sz="6" w:space="0" w:color="auto"/>
              <w:left w:val="nil"/>
              <w:bottom w:val="single" w:sz="6" w:space="0" w:color="auto"/>
              <w:right w:val="single" w:sz="6" w:space="0" w:color="auto"/>
            </w:tcBorders>
          </w:tcPr>
          <w:p w14:paraId="6B6A238B" w14:textId="307AF75A" w:rsidR="00BF7968" w:rsidRPr="00AE2BE5" w:rsidRDefault="00BF7968" w:rsidP="009C240A">
            <w:pPr>
              <w:jc w:val="center"/>
              <w:rPr>
                <w:sz w:val="24"/>
              </w:rPr>
            </w:pPr>
            <w:r>
              <w:rPr>
                <w:sz w:val="24"/>
              </w:rPr>
              <w:t>1 029</w:t>
            </w:r>
          </w:p>
        </w:tc>
        <w:tc>
          <w:tcPr>
            <w:tcW w:w="1843" w:type="dxa"/>
            <w:tcBorders>
              <w:top w:val="single" w:sz="6" w:space="0" w:color="auto"/>
              <w:left w:val="single" w:sz="6" w:space="0" w:color="auto"/>
              <w:bottom w:val="single" w:sz="6" w:space="0" w:color="auto"/>
              <w:right w:val="single" w:sz="6" w:space="0" w:color="auto"/>
            </w:tcBorders>
          </w:tcPr>
          <w:p w14:paraId="61E27AFD" w14:textId="672A97AB" w:rsidR="00BF7968" w:rsidRPr="00AE2BE5" w:rsidRDefault="00BF7968" w:rsidP="009C240A">
            <w:pPr>
              <w:jc w:val="center"/>
              <w:rPr>
                <w:sz w:val="24"/>
              </w:rPr>
            </w:pPr>
            <w:r>
              <w:rPr>
                <w:sz w:val="24"/>
              </w:rPr>
              <w:t>697</w:t>
            </w:r>
          </w:p>
        </w:tc>
        <w:tc>
          <w:tcPr>
            <w:tcW w:w="1985" w:type="dxa"/>
            <w:tcBorders>
              <w:top w:val="single" w:sz="6" w:space="0" w:color="auto"/>
              <w:left w:val="single" w:sz="6" w:space="0" w:color="auto"/>
              <w:bottom w:val="single" w:sz="6" w:space="0" w:color="auto"/>
              <w:right w:val="single" w:sz="18" w:space="0" w:color="auto"/>
            </w:tcBorders>
          </w:tcPr>
          <w:p w14:paraId="4895208A" w14:textId="59F69B7F" w:rsidR="00BF7968" w:rsidRPr="00AE2BE5" w:rsidRDefault="00BF7968" w:rsidP="009C240A">
            <w:pPr>
              <w:jc w:val="center"/>
              <w:rPr>
                <w:sz w:val="24"/>
              </w:rPr>
            </w:pPr>
            <w:r>
              <w:rPr>
                <w:sz w:val="24"/>
              </w:rPr>
              <w:t>1 225</w:t>
            </w:r>
          </w:p>
        </w:tc>
      </w:tr>
      <w:tr w:rsidR="00BF7968" w:rsidRPr="00231ABC" w14:paraId="6C7A553D" w14:textId="77777777" w:rsidTr="009C240A">
        <w:tc>
          <w:tcPr>
            <w:tcW w:w="3261" w:type="dxa"/>
            <w:tcBorders>
              <w:top w:val="single" w:sz="6" w:space="0" w:color="auto"/>
              <w:left w:val="single" w:sz="18" w:space="0" w:color="auto"/>
              <w:bottom w:val="single" w:sz="18" w:space="0" w:color="auto"/>
              <w:right w:val="single" w:sz="18" w:space="0" w:color="auto"/>
            </w:tcBorders>
          </w:tcPr>
          <w:p w14:paraId="65CCF0E1" w14:textId="77777777" w:rsidR="00BF7968" w:rsidRPr="00AE2BE5" w:rsidRDefault="00BF7968" w:rsidP="009C240A">
            <w:pPr>
              <w:rPr>
                <w:sz w:val="24"/>
              </w:rPr>
            </w:pPr>
            <w:r w:rsidRPr="00AE2BE5">
              <w:rPr>
                <w:sz w:val="24"/>
              </w:rPr>
              <w:t>Území mimo kompaktní město</w:t>
            </w:r>
          </w:p>
        </w:tc>
        <w:tc>
          <w:tcPr>
            <w:tcW w:w="1842" w:type="dxa"/>
            <w:tcBorders>
              <w:top w:val="single" w:sz="6" w:space="0" w:color="auto"/>
              <w:left w:val="nil"/>
              <w:bottom w:val="single" w:sz="18" w:space="0" w:color="auto"/>
              <w:right w:val="single" w:sz="6" w:space="0" w:color="auto"/>
            </w:tcBorders>
          </w:tcPr>
          <w:p w14:paraId="0241C58D" w14:textId="7E38281F" w:rsidR="00BF7968" w:rsidRPr="00AE2BE5" w:rsidRDefault="00BF7968" w:rsidP="009C240A">
            <w:pPr>
              <w:jc w:val="center"/>
              <w:rPr>
                <w:sz w:val="24"/>
              </w:rPr>
            </w:pPr>
            <w:r>
              <w:rPr>
                <w:sz w:val="24"/>
              </w:rPr>
              <w:t>727</w:t>
            </w:r>
          </w:p>
        </w:tc>
        <w:tc>
          <w:tcPr>
            <w:tcW w:w="1843" w:type="dxa"/>
            <w:tcBorders>
              <w:top w:val="single" w:sz="6" w:space="0" w:color="auto"/>
              <w:left w:val="single" w:sz="6" w:space="0" w:color="auto"/>
              <w:bottom w:val="single" w:sz="18" w:space="0" w:color="auto"/>
              <w:right w:val="single" w:sz="6" w:space="0" w:color="auto"/>
            </w:tcBorders>
          </w:tcPr>
          <w:p w14:paraId="30447596" w14:textId="2F4E92DC" w:rsidR="00BF7968" w:rsidRPr="00AE2BE5" w:rsidRDefault="00BF7968" w:rsidP="009C240A">
            <w:pPr>
              <w:jc w:val="center"/>
              <w:rPr>
                <w:sz w:val="24"/>
              </w:rPr>
            </w:pPr>
            <w:r>
              <w:rPr>
                <w:sz w:val="24"/>
              </w:rPr>
              <w:t>458</w:t>
            </w:r>
          </w:p>
        </w:tc>
        <w:tc>
          <w:tcPr>
            <w:tcW w:w="1985" w:type="dxa"/>
            <w:tcBorders>
              <w:top w:val="single" w:sz="6" w:space="0" w:color="auto"/>
              <w:left w:val="single" w:sz="6" w:space="0" w:color="auto"/>
              <w:bottom w:val="single" w:sz="18" w:space="0" w:color="auto"/>
              <w:right w:val="single" w:sz="18" w:space="0" w:color="auto"/>
            </w:tcBorders>
          </w:tcPr>
          <w:p w14:paraId="4D5FBA49" w14:textId="7F6A6F9F" w:rsidR="00BF7968" w:rsidRPr="00231ABC" w:rsidRDefault="00BF7968" w:rsidP="00BF7968">
            <w:pPr>
              <w:jc w:val="center"/>
              <w:rPr>
                <w:sz w:val="24"/>
              </w:rPr>
            </w:pPr>
            <w:r>
              <w:rPr>
                <w:sz w:val="24"/>
              </w:rPr>
              <w:t>1 000</w:t>
            </w:r>
          </w:p>
        </w:tc>
      </w:tr>
    </w:tbl>
    <w:p w14:paraId="5BC8A425" w14:textId="77777777" w:rsidR="00CC3E8F" w:rsidRDefault="00CC3E8F" w:rsidP="00665818">
      <w:pPr>
        <w:pStyle w:val="Zhlav"/>
        <w:tabs>
          <w:tab w:val="clear" w:pos="4536"/>
          <w:tab w:val="clear" w:pos="9072"/>
        </w:tabs>
        <w:spacing w:before="120"/>
      </w:pPr>
    </w:p>
    <w:p w14:paraId="3B4E063E" w14:textId="77777777" w:rsidR="00CC3E8F" w:rsidRDefault="00CC3E8F" w:rsidP="00665818">
      <w:pPr>
        <w:pStyle w:val="Zhlav"/>
        <w:tabs>
          <w:tab w:val="clear" w:pos="4536"/>
          <w:tab w:val="clear" w:pos="9072"/>
        </w:tabs>
        <w:spacing w:before="120"/>
      </w:pPr>
    </w:p>
    <w:p w14:paraId="3B525A75" w14:textId="77777777" w:rsidR="00CC3E8F" w:rsidRDefault="00CC3E8F" w:rsidP="00665818">
      <w:pPr>
        <w:pStyle w:val="Zhlav"/>
        <w:tabs>
          <w:tab w:val="clear" w:pos="4536"/>
          <w:tab w:val="clear" w:pos="9072"/>
        </w:tabs>
        <w:spacing w:before="120"/>
      </w:pPr>
    </w:p>
    <w:p w14:paraId="6B803509" w14:textId="1DF2C04C" w:rsidR="00665818" w:rsidRPr="00416373" w:rsidRDefault="00665818" w:rsidP="00665818">
      <w:pPr>
        <w:pStyle w:val="Zhlav"/>
        <w:tabs>
          <w:tab w:val="clear" w:pos="4536"/>
          <w:tab w:val="clear" w:pos="9072"/>
        </w:tabs>
        <w:spacing w:before="120"/>
      </w:pPr>
      <w:r w:rsidRPr="00416373">
        <w:lastRenderedPageBreak/>
        <w:t>CM 20</w:t>
      </w:r>
      <w:r>
        <w:t>22</w:t>
      </w:r>
    </w:p>
    <w:tbl>
      <w:tblPr>
        <w:tblW w:w="0" w:type="auto"/>
        <w:tblInd w:w="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61"/>
        <w:gridCol w:w="1890"/>
        <w:gridCol w:w="1890"/>
        <w:gridCol w:w="1890"/>
      </w:tblGrid>
      <w:tr w:rsidR="00665818" w:rsidRPr="00AE2BE5" w14:paraId="2A9D94C5" w14:textId="77777777" w:rsidTr="00263152">
        <w:trPr>
          <w:cantSplit/>
        </w:trPr>
        <w:tc>
          <w:tcPr>
            <w:tcW w:w="3261" w:type="dxa"/>
            <w:vMerge w:val="restart"/>
            <w:tcBorders>
              <w:top w:val="single" w:sz="18" w:space="0" w:color="auto"/>
              <w:left w:val="single" w:sz="18" w:space="0" w:color="auto"/>
              <w:right w:val="single" w:sz="18" w:space="0" w:color="auto"/>
            </w:tcBorders>
            <w:vAlign w:val="center"/>
          </w:tcPr>
          <w:p w14:paraId="307F9A8C" w14:textId="77777777" w:rsidR="00665818" w:rsidRPr="00AE2BE5" w:rsidRDefault="00665818" w:rsidP="00263152">
            <w:pPr>
              <w:pStyle w:val="Nadpis1"/>
              <w:jc w:val="center"/>
              <w:rPr>
                <w:b/>
              </w:rPr>
            </w:pPr>
            <w:r w:rsidRPr="00AE2BE5">
              <w:rPr>
                <w:b/>
              </w:rPr>
              <w:t>Poloha</w:t>
            </w:r>
          </w:p>
        </w:tc>
        <w:tc>
          <w:tcPr>
            <w:tcW w:w="5670" w:type="dxa"/>
            <w:gridSpan w:val="3"/>
            <w:tcBorders>
              <w:top w:val="single" w:sz="18" w:space="0" w:color="auto"/>
              <w:left w:val="nil"/>
              <w:bottom w:val="nil"/>
              <w:right w:val="single" w:sz="18" w:space="0" w:color="auto"/>
            </w:tcBorders>
          </w:tcPr>
          <w:p w14:paraId="2A58C580" w14:textId="77777777" w:rsidR="00665818" w:rsidRPr="00AE2BE5" w:rsidRDefault="00665818" w:rsidP="00263152">
            <w:pPr>
              <w:jc w:val="center"/>
              <w:rPr>
                <w:b/>
                <w:sz w:val="24"/>
              </w:rPr>
            </w:pPr>
            <w:r w:rsidRPr="00AE2BE5">
              <w:rPr>
                <w:b/>
                <w:sz w:val="24"/>
              </w:rPr>
              <w:t>Kč/m</w:t>
            </w:r>
            <w:r w:rsidRPr="00AE2BE5">
              <w:rPr>
                <w:b/>
                <w:sz w:val="24"/>
                <w:vertAlign w:val="superscript"/>
              </w:rPr>
              <w:t>2</w:t>
            </w:r>
            <w:r w:rsidRPr="00AE2BE5">
              <w:rPr>
                <w:b/>
                <w:sz w:val="24"/>
              </w:rPr>
              <w:t xml:space="preserve"> </w:t>
            </w:r>
          </w:p>
        </w:tc>
      </w:tr>
      <w:tr w:rsidR="00665818" w:rsidRPr="00AE2BE5" w14:paraId="1DA5BD34" w14:textId="77777777" w:rsidTr="00263152">
        <w:tc>
          <w:tcPr>
            <w:tcW w:w="3261" w:type="dxa"/>
            <w:vMerge/>
            <w:tcBorders>
              <w:left w:val="single" w:sz="18" w:space="0" w:color="auto"/>
              <w:bottom w:val="single" w:sz="18" w:space="0" w:color="auto"/>
              <w:right w:val="single" w:sz="18" w:space="0" w:color="auto"/>
            </w:tcBorders>
          </w:tcPr>
          <w:p w14:paraId="7A61182A" w14:textId="77777777" w:rsidR="00665818" w:rsidRPr="00AE2BE5" w:rsidRDefault="00665818" w:rsidP="00263152">
            <w:pPr>
              <w:pStyle w:val="Nadpis1"/>
            </w:pPr>
          </w:p>
        </w:tc>
        <w:tc>
          <w:tcPr>
            <w:tcW w:w="1890" w:type="dxa"/>
            <w:tcBorders>
              <w:top w:val="single" w:sz="12" w:space="0" w:color="auto"/>
              <w:left w:val="nil"/>
              <w:bottom w:val="single" w:sz="18" w:space="0" w:color="auto"/>
              <w:right w:val="single" w:sz="6" w:space="0" w:color="auto"/>
            </w:tcBorders>
          </w:tcPr>
          <w:p w14:paraId="79E8F1D9" w14:textId="77777777" w:rsidR="00665818" w:rsidRPr="00AE2BE5" w:rsidRDefault="00665818" w:rsidP="00263152">
            <w:pPr>
              <w:jc w:val="center"/>
              <w:rPr>
                <w:b/>
                <w:sz w:val="24"/>
              </w:rPr>
            </w:pPr>
            <w:r w:rsidRPr="00AE2BE5">
              <w:rPr>
                <w:b/>
                <w:sz w:val="24"/>
              </w:rPr>
              <w:t>Průměrná cena</w:t>
            </w:r>
          </w:p>
        </w:tc>
        <w:tc>
          <w:tcPr>
            <w:tcW w:w="1890" w:type="dxa"/>
            <w:tcBorders>
              <w:top w:val="single" w:sz="12" w:space="0" w:color="auto"/>
              <w:left w:val="single" w:sz="6" w:space="0" w:color="auto"/>
              <w:bottom w:val="single" w:sz="18" w:space="0" w:color="auto"/>
              <w:right w:val="single" w:sz="6" w:space="0" w:color="auto"/>
            </w:tcBorders>
          </w:tcPr>
          <w:p w14:paraId="789315ED" w14:textId="77777777" w:rsidR="00665818" w:rsidRPr="00AE2BE5" w:rsidRDefault="00665818" w:rsidP="00263152">
            <w:pPr>
              <w:jc w:val="center"/>
              <w:rPr>
                <w:b/>
                <w:sz w:val="24"/>
              </w:rPr>
            </w:pPr>
            <w:r w:rsidRPr="00AE2BE5">
              <w:rPr>
                <w:b/>
                <w:sz w:val="24"/>
              </w:rPr>
              <w:t>Minimální cena</w:t>
            </w:r>
          </w:p>
        </w:tc>
        <w:tc>
          <w:tcPr>
            <w:tcW w:w="1890" w:type="dxa"/>
            <w:tcBorders>
              <w:top w:val="single" w:sz="12" w:space="0" w:color="auto"/>
              <w:left w:val="single" w:sz="6" w:space="0" w:color="auto"/>
              <w:bottom w:val="single" w:sz="18" w:space="0" w:color="auto"/>
              <w:right w:val="single" w:sz="18" w:space="0" w:color="auto"/>
            </w:tcBorders>
          </w:tcPr>
          <w:p w14:paraId="3DBD2E4B" w14:textId="77777777" w:rsidR="00665818" w:rsidRPr="00AE2BE5" w:rsidRDefault="00665818" w:rsidP="00263152">
            <w:pPr>
              <w:jc w:val="center"/>
              <w:rPr>
                <w:b/>
                <w:sz w:val="24"/>
              </w:rPr>
            </w:pPr>
            <w:r w:rsidRPr="00AE2BE5">
              <w:rPr>
                <w:b/>
                <w:sz w:val="24"/>
              </w:rPr>
              <w:t>Maximální cena</w:t>
            </w:r>
          </w:p>
        </w:tc>
      </w:tr>
      <w:tr w:rsidR="00665818" w:rsidRPr="00AE2BE5" w14:paraId="0701FC1A" w14:textId="77777777" w:rsidTr="00263152">
        <w:tc>
          <w:tcPr>
            <w:tcW w:w="3261" w:type="dxa"/>
            <w:tcBorders>
              <w:top w:val="nil"/>
              <w:left w:val="single" w:sz="18" w:space="0" w:color="auto"/>
              <w:bottom w:val="single" w:sz="6" w:space="0" w:color="auto"/>
              <w:right w:val="single" w:sz="18" w:space="0" w:color="auto"/>
            </w:tcBorders>
          </w:tcPr>
          <w:p w14:paraId="7A583214" w14:textId="77777777" w:rsidR="00665818" w:rsidRPr="00AE2BE5" w:rsidRDefault="00665818" w:rsidP="00263152">
            <w:pPr>
              <w:rPr>
                <w:sz w:val="24"/>
              </w:rPr>
            </w:pPr>
            <w:r w:rsidRPr="00AE2BE5">
              <w:rPr>
                <w:sz w:val="24"/>
              </w:rPr>
              <w:t>Vnitřní město</w:t>
            </w:r>
          </w:p>
        </w:tc>
        <w:tc>
          <w:tcPr>
            <w:tcW w:w="1890" w:type="dxa"/>
            <w:tcBorders>
              <w:top w:val="nil"/>
              <w:left w:val="nil"/>
              <w:bottom w:val="single" w:sz="6" w:space="0" w:color="auto"/>
              <w:right w:val="single" w:sz="6" w:space="0" w:color="auto"/>
            </w:tcBorders>
          </w:tcPr>
          <w:p w14:paraId="24862054" w14:textId="71B1A5C2" w:rsidR="00665818" w:rsidRPr="00AE2BE5" w:rsidRDefault="00665818" w:rsidP="00665818">
            <w:pPr>
              <w:jc w:val="center"/>
              <w:rPr>
                <w:sz w:val="24"/>
              </w:rPr>
            </w:pPr>
            <w:r w:rsidRPr="00AE2BE5">
              <w:rPr>
                <w:sz w:val="24"/>
              </w:rPr>
              <w:t>1 7</w:t>
            </w:r>
            <w:r>
              <w:rPr>
                <w:sz w:val="24"/>
              </w:rPr>
              <w:t>40</w:t>
            </w:r>
          </w:p>
        </w:tc>
        <w:tc>
          <w:tcPr>
            <w:tcW w:w="1890" w:type="dxa"/>
            <w:tcBorders>
              <w:top w:val="nil"/>
              <w:left w:val="single" w:sz="6" w:space="0" w:color="auto"/>
              <w:bottom w:val="single" w:sz="6" w:space="0" w:color="auto"/>
              <w:right w:val="single" w:sz="6" w:space="0" w:color="auto"/>
            </w:tcBorders>
          </w:tcPr>
          <w:p w14:paraId="4893021E" w14:textId="57169AAC" w:rsidR="00665818" w:rsidRPr="00AE2BE5" w:rsidRDefault="00665818" w:rsidP="00263152">
            <w:pPr>
              <w:jc w:val="center"/>
              <w:rPr>
                <w:sz w:val="24"/>
              </w:rPr>
            </w:pPr>
            <w:r>
              <w:rPr>
                <w:sz w:val="24"/>
              </w:rPr>
              <w:t>980</w:t>
            </w:r>
          </w:p>
        </w:tc>
        <w:tc>
          <w:tcPr>
            <w:tcW w:w="1890" w:type="dxa"/>
            <w:tcBorders>
              <w:top w:val="nil"/>
              <w:left w:val="single" w:sz="6" w:space="0" w:color="auto"/>
              <w:bottom w:val="single" w:sz="6" w:space="0" w:color="auto"/>
              <w:right w:val="single" w:sz="18" w:space="0" w:color="auto"/>
            </w:tcBorders>
          </w:tcPr>
          <w:p w14:paraId="4AC51D4D" w14:textId="2D96C631" w:rsidR="00665818" w:rsidRPr="00AE2BE5" w:rsidRDefault="00665818" w:rsidP="00263152">
            <w:pPr>
              <w:jc w:val="center"/>
              <w:rPr>
                <w:sz w:val="24"/>
              </w:rPr>
            </w:pPr>
            <w:r>
              <w:rPr>
                <w:sz w:val="24"/>
              </w:rPr>
              <w:t>6 050</w:t>
            </w:r>
          </w:p>
        </w:tc>
      </w:tr>
      <w:tr w:rsidR="00665818" w:rsidRPr="00AE2BE5" w14:paraId="2930AC60" w14:textId="77777777" w:rsidTr="00263152">
        <w:tc>
          <w:tcPr>
            <w:tcW w:w="3261" w:type="dxa"/>
            <w:tcBorders>
              <w:top w:val="single" w:sz="6" w:space="0" w:color="auto"/>
              <w:left w:val="single" w:sz="18" w:space="0" w:color="auto"/>
              <w:bottom w:val="single" w:sz="6" w:space="0" w:color="auto"/>
              <w:right w:val="single" w:sz="18" w:space="0" w:color="auto"/>
            </w:tcBorders>
          </w:tcPr>
          <w:p w14:paraId="72311ED9" w14:textId="77777777" w:rsidR="00665818" w:rsidRPr="00AE2BE5" w:rsidRDefault="00665818" w:rsidP="00263152">
            <w:pPr>
              <w:rPr>
                <w:sz w:val="24"/>
              </w:rPr>
            </w:pPr>
            <w:r w:rsidRPr="00AE2BE5">
              <w:rPr>
                <w:sz w:val="24"/>
              </w:rPr>
              <w:t>Okrajová část vnitřního města</w:t>
            </w:r>
          </w:p>
        </w:tc>
        <w:tc>
          <w:tcPr>
            <w:tcW w:w="1890" w:type="dxa"/>
            <w:tcBorders>
              <w:top w:val="single" w:sz="6" w:space="0" w:color="auto"/>
              <w:left w:val="nil"/>
              <w:bottom w:val="single" w:sz="6" w:space="0" w:color="auto"/>
              <w:right w:val="single" w:sz="6" w:space="0" w:color="auto"/>
            </w:tcBorders>
          </w:tcPr>
          <w:p w14:paraId="61796DE1" w14:textId="6769CC4A" w:rsidR="00665818" w:rsidRPr="00AE2BE5" w:rsidRDefault="00665818" w:rsidP="00263152">
            <w:pPr>
              <w:jc w:val="center"/>
              <w:rPr>
                <w:sz w:val="24"/>
              </w:rPr>
            </w:pPr>
            <w:r>
              <w:rPr>
                <w:sz w:val="24"/>
              </w:rPr>
              <w:t xml:space="preserve">- </w:t>
            </w:r>
          </w:p>
        </w:tc>
        <w:tc>
          <w:tcPr>
            <w:tcW w:w="1890" w:type="dxa"/>
            <w:tcBorders>
              <w:top w:val="single" w:sz="6" w:space="0" w:color="auto"/>
              <w:left w:val="single" w:sz="6" w:space="0" w:color="auto"/>
              <w:bottom w:val="single" w:sz="6" w:space="0" w:color="auto"/>
              <w:right w:val="single" w:sz="6" w:space="0" w:color="auto"/>
            </w:tcBorders>
          </w:tcPr>
          <w:p w14:paraId="0A79451B" w14:textId="3C03FB37" w:rsidR="00665818" w:rsidRPr="00AE2BE5" w:rsidRDefault="00665818" w:rsidP="00263152">
            <w:pPr>
              <w:jc w:val="center"/>
              <w:rPr>
                <w:sz w:val="24"/>
              </w:rPr>
            </w:pPr>
            <w:r>
              <w:rPr>
                <w:sz w:val="24"/>
              </w:rPr>
              <w:t>-</w:t>
            </w:r>
          </w:p>
        </w:tc>
        <w:tc>
          <w:tcPr>
            <w:tcW w:w="1890" w:type="dxa"/>
            <w:tcBorders>
              <w:top w:val="single" w:sz="6" w:space="0" w:color="auto"/>
              <w:left w:val="single" w:sz="6" w:space="0" w:color="auto"/>
              <w:bottom w:val="single" w:sz="6" w:space="0" w:color="auto"/>
              <w:right w:val="single" w:sz="18" w:space="0" w:color="auto"/>
            </w:tcBorders>
          </w:tcPr>
          <w:p w14:paraId="695CD3A7" w14:textId="75190968" w:rsidR="00665818" w:rsidRPr="00AE2BE5" w:rsidRDefault="00665818" w:rsidP="00263152">
            <w:pPr>
              <w:jc w:val="center"/>
              <w:rPr>
                <w:sz w:val="24"/>
              </w:rPr>
            </w:pPr>
            <w:r>
              <w:rPr>
                <w:sz w:val="24"/>
              </w:rPr>
              <w:t>-</w:t>
            </w:r>
          </w:p>
        </w:tc>
      </w:tr>
      <w:tr w:rsidR="00665818" w:rsidRPr="00AE2BE5" w14:paraId="63B17653" w14:textId="77777777" w:rsidTr="00263152">
        <w:tc>
          <w:tcPr>
            <w:tcW w:w="3261" w:type="dxa"/>
            <w:tcBorders>
              <w:top w:val="single" w:sz="6" w:space="0" w:color="auto"/>
              <w:left w:val="single" w:sz="18" w:space="0" w:color="auto"/>
              <w:bottom w:val="single" w:sz="6" w:space="0" w:color="auto"/>
              <w:right w:val="single" w:sz="18" w:space="0" w:color="auto"/>
            </w:tcBorders>
          </w:tcPr>
          <w:p w14:paraId="4B519845" w14:textId="77777777" w:rsidR="00665818" w:rsidRPr="00AE2BE5" w:rsidRDefault="00665818" w:rsidP="00263152">
            <w:pPr>
              <w:rPr>
                <w:sz w:val="24"/>
              </w:rPr>
            </w:pPr>
            <w:r w:rsidRPr="00AE2BE5">
              <w:rPr>
                <w:sz w:val="24"/>
              </w:rPr>
              <w:t>Průmyslové části</w:t>
            </w:r>
          </w:p>
        </w:tc>
        <w:tc>
          <w:tcPr>
            <w:tcW w:w="1890" w:type="dxa"/>
            <w:tcBorders>
              <w:top w:val="single" w:sz="6" w:space="0" w:color="auto"/>
              <w:left w:val="nil"/>
              <w:bottom w:val="single" w:sz="6" w:space="0" w:color="auto"/>
              <w:right w:val="single" w:sz="6" w:space="0" w:color="auto"/>
            </w:tcBorders>
          </w:tcPr>
          <w:p w14:paraId="144B6E27" w14:textId="15D86D9F" w:rsidR="00665818" w:rsidRPr="00AE2BE5" w:rsidRDefault="00665818" w:rsidP="00263152">
            <w:pPr>
              <w:jc w:val="center"/>
              <w:rPr>
                <w:sz w:val="24"/>
              </w:rPr>
            </w:pPr>
            <w:r>
              <w:rPr>
                <w:sz w:val="24"/>
              </w:rPr>
              <w:t>156</w:t>
            </w:r>
          </w:p>
        </w:tc>
        <w:tc>
          <w:tcPr>
            <w:tcW w:w="1890" w:type="dxa"/>
            <w:tcBorders>
              <w:top w:val="single" w:sz="6" w:space="0" w:color="auto"/>
              <w:left w:val="single" w:sz="6" w:space="0" w:color="auto"/>
              <w:bottom w:val="single" w:sz="6" w:space="0" w:color="auto"/>
              <w:right w:val="single" w:sz="6" w:space="0" w:color="auto"/>
            </w:tcBorders>
          </w:tcPr>
          <w:p w14:paraId="2CCD94E7" w14:textId="6A8E6AF4" w:rsidR="00665818" w:rsidRPr="00AE2BE5" w:rsidRDefault="00665818" w:rsidP="00665818">
            <w:pPr>
              <w:jc w:val="center"/>
              <w:rPr>
                <w:sz w:val="24"/>
              </w:rPr>
            </w:pPr>
            <w:r>
              <w:rPr>
                <w:sz w:val="24"/>
              </w:rPr>
              <w:t>70</w:t>
            </w:r>
          </w:p>
        </w:tc>
        <w:tc>
          <w:tcPr>
            <w:tcW w:w="1890" w:type="dxa"/>
            <w:tcBorders>
              <w:top w:val="single" w:sz="6" w:space="0" w:color="auto"/>
              <w:left w:val="single" w:sz="6" w:space="0" w:color="auto"/>
              <w:bottom w:val="single" w:sz="6" w:space="0" w:color="auto"/>
              <w:right w:val="single" w:sz="18" w:space="0" w:color="auto"/>
            </w:tcBorders>
          </w:tcPr>
          <w:p w14:paraId="65D62760" w14:textId="366ED605" w:rsidR="00665818" w:rsidRPr="00AE2BE5" w:rsidRDefault="00665818" w:rsidP="00665818">
            <w:pPr>
              <w:jc w:val="center"/>
              <w:rPr>
                <w:sz w:val="24"/>
              </w:rPr>
            </w:pPr>
            <w:r w:rsidRPr="00AE2BE5">
              <w:rPr>
                <w:sz w:val="24"/>
              </w:rPr>
              <w:t>81</w:t>
            </w:r>
            <w:r>
              <w:rPr>
                <w:sz w:val="24"/>
              </w:rPr>
              <w:t>5</w:t>
            </w:r>
          </w:p>
        </w:tc>
      </w:tr>
      <w:tr w:rsidR="00665818" w:rsidRPr="00AE2BE5" w14:paraId="0C0A542F" w14:textId="77777777" w:rsidTr="00263152">
        <w:tc>
          <w:tcPr>
            <w:tcW w:w="3261" w:type="dxa"/>
            <w:tcBorders>
              <w:top w:val="single" w:sz="6" w:space="0" w:color="auto"/>
              <w:left w:val="single" w:sz="18" w:space="0" w:color="auto"/>
              <w:bottom w:val="single" w:sz="18" w:space="0" w:color="auto"/>
              <w:right w:val="single" w:sz="18" w:space="0" w:color="auto"/>
            </w:tcBorders>
          </w:tcPr>
          <w:p w14:paraId="2A152FEF" w14:textId="77777777" w:rsidR="00665818" w:rsidRPr="00AE2BE5" w:rsidRDefault="00665818" w:rsidP="00263152">
            <w:pPr>
              <w:rPr>
                <w:sz w:val="24"/>
              </w:rPr>
            </w:pPr>
            <w:r w:rsidRPr="00AE2BE5">
              <w:rPr>
                <w:sz w:val="24"/>
              </w:rPr>
              <w:t>Území mimo kompaktní město</w:t>
            </w:r>
          </w:p>
        </w:tc>
        <w:tc>
          <w:tcPr>
            <w:tcW w:w="1890" w:type="dxa"/>
            <w:tcBorders>
              <w:top w:val="single" w:sz="6" w:space="0" w:color="auto"/>
              <w:left w:val="nil"/>
              <w:bottom w:val="single" w:sz="18" w:space="0" w:color="auto"/>
              <w:right w:val="single" w:sz="6" w:space="0" w:color="auto"/>
            </w:tcBorders>
          </w:tcPr>
          <w:p w14:paraId="09DCBF3E" w14:textId="7DCF557E" w:rsidR="00665818" w:rsidRPr="00AE2BE5" w:rsidRDefault="00665818" w:rsidP="00263152">
            <w:pPr>
              <w:jc w:val="center"/>
              <w:rPr>
                <w:sz w:val="24"/>
              </w:rPr>
            </w:pPr>
            <w:r>
              <w:rPr>
                <w:sz w:val="24"/>
              </w:rPr>
              <w:t>916</w:t>
            </w:r>
          </w:p>
        </w:tc>
        <w:tc>
          <w:tcPr>
            <w:tcW w:w="1890" w:type="dxa"/>
            <w:tcBorders>
              <w:top w:val="single" w:sz="6" w:space="0" w:color="auto"/>
              <w:left w:val="single" w:sz="6" w:space="0" w:color="auto"/>
              <w:bottom w:val="single" w:sz="18" w:space="0" w:color="auto"/>
              <w:right w:val="single" w:sz="6" w:space="0" w:color="auto"/>
            </w:tcBorders>
          </w:tcPr>
          <w:p w14:paraId="74A151B6" w14:textId="0B9A5463" w:rsidR="00665818" w:rsidRPr="00AE2BE5" w:rsidRDefault="00665818" w:rsidP="00665818">
            <w:pPr>
              <w:jc w:val="center"/>
              <w:rPr>
                <w:sz w:val="24"/>
              </w:rPr>
            </w:pPr>
            <w:r>
              <w:rPr>
                <w:sz w:val="24"/>
              </w:rPr>
              <w:t>588</w:t>
            </w:r>
          </w:p>
        </w:tc>
        <w:tc>
          <w:tcPr>
            <w:tcW w:w="1890" w:type="dxa"/>
            <w:tcBorders>
              <w:top w:val="single" w:sz="6" w:space="0" w:color="auto"/>
              <w:left w:val="single" w:sz="6" w:space="0" w:color="auto"/>
              <w:bottom w:val="single" w:sz="18" w:space="0" w:color="auto"/>
              <w:right w:val="single" w:sz="18" w:space="0" w:color="auto"/>
            </w:tcBorders>
          </w:tcPr>
          <w:p w14:paraId="6BC8A90D" w14:textId="239D0E93" w:rsidR="00665818" w:rsidRPr="00AE2BE5" w:rsidRDefault="00665818" w:rsidP="00665818">
            <w:pPr>
              <w:jc w:val="center"/>
              <w:rPr>
                <w:sz w:val="24"/>
              </w:rPr>
            </w:pPr>
            <w:r>
              <w:rPr>
                <w:sz w:val="24"/>
              </w:rPr>
              <w:t>2</w:t>
            </w:r>
            <w:r w:rsidRPr="00AE2BE5">
              <w:rPr>
                <w:sz w:val="24"/>
              </w:rPr>
              <w:t xml:space="preserve"> </w:t>
            </w:r>
            <w:r>
              <w:rPr>
                <w:sz w:val="24"/>
              </w:rPr>
              <w:t>557</w:t>
            </w:r>
          </w:p>
        </w:tc>
      </w:tr>
    </w:tbl>
    <w:p w14:paraId="5B44DD51" w14:textId="77777777" w:rsidR="00665818" w:rsidRDefault="00665818" w:rsidP="0010031A">
      <w:pPr>
        <w:pStyle w:val="Nadpis4"/>
        <w:numPr>
          <w:ilvl w:val="0"/>
          <w:numId w:val="0"/>
        </w:numPr>
        <w:tabs>
          <w:tab w:val="clear" w:pos="864"/>
          <w:tab w:val="left" w:pos="426"/>
        </w:tabs>
        <w:spacing w:after="120"/>
      </w:pPr>
    </w:p>
    <w:p w14:paraId="453BFDB5" w14:textId="1EE4029B" w:rsidR="00360526" w:rsidRPr="00231ABC" w:rsidRDefault="00360526" w:rsidP="0010031A">
      <w:pPr>
        <w:pStyle w:val="Nadpis4"/>
        <w:numPr>
          <w:ilvl w:val="0"/>
          <w:numId w:val="0"/>
        </w:numPr>
        <w:tabs>
          <w:tab w:val="clear" w:pos="864"/>
          <w:tab w:val="left" w:pos="426"/>
        </w:tabs>
        <w:spacing w:after="120"/>
      </w:pPr>
      <w:r w:rsidRPr="00231ABC">
        <w:t xml:space="preserve">Pozemky s průmyslovými objekty </w:t>
      </w:r>
    </w:p>
    <w:p w14:paraId="5893E244" w14:textId="3D7CAB3A" w:rsidR="008C47D0" w:rsidRPr="008C47D0" w:rsidRDefault="00360526" w:rsidP="00B06D70">
      <w:pPr>
        <w:pStyle w:val="Zkladntextodsazen31"/>
      </w:pPr>
      <w:r w:rsidRPr="00A63910">
        <w:t xml:space="preserve">V oblasti </w:t>
      </w:r>
      <w:r w:rsidRPr="001F21BE">
        <w:rPr>
          <w:b/>
        </w:rPr>
        <w:t>průmyslu</w:t>
      </w:r>
      <w:r w:rsidRPr="00A63910">
        <w:t xml:space="preserve"> </w:t>
      </w:r>
      <w:r w:rsidR="00A87230" w:rsidRPr="00A63910">
        <w:t xml:space="preserve">byl </w:t>
      </w:r>
      <w:r w:rsidR="002E64EC">
        <w:t xml:space="preserve">ve sledovaném období </w:t>
      </w:r>
      <w:r w:rsidR="00A87230" w:rsidRPr="00A63910">
        <w:t xml:space="preserve">zaznamenán </w:t>
      </w:r>
      <w:r w:rsidR="000E60C1">
        <w:t xml:space="preserve">obdobně jako u ostatních kategorií nárůst </w:t>
      </w:r>
      <w:r w:rsidR="007E0049">
        <w:t xml:space="preserve">aktivity </w:t>
      </w:r>
      <w:r w:rsidR="00A87230" w:rsidRPr="00A63910">
        <w:t>obchod</w:t>
      </w:r>
      <w:r w:rsidR="00B17F9B" w:rsidRPr="00A63910">
        <w:t>ů</w:t>
      </w:r>
      <w:r w:rsidR="00A30307" w:rsidRPr="00A63910">
        <w:t xml:space="preserve"> </w:t>
      </w:r>
      <w:r w:rsidR="002E64EC">
        <w:t>napříč</w:t>
      </w:r>
      <w:r w:rsidR="00A30307" w:rsidRPr="00A63910">
        <w:t xml:space="preserve"> vše</w:t>
      </w:r>
      <w:r w:rsidR="002E64EC">
        <w:t>mi</w:t>
      </w:r>
      <w:r w:rsidR="00A30307" w:rsidRPr="00A63910">
        <w:t xml:space="preserve"> </w:t>
      </w:r>
      <w:r w:rsidR="000E60C1">
        <w:t>oblastmi</w:t>
      </w:r>
      <w:r w:rsidR="0024624E">
        <w:t>. C</w:t>
      </w:r>
      <w:r w:rsidR="00A87230" w:rsidRPr="00A63910">
        <w:t>elkov</w:t>
      </w:r>
      <w:r w:rsidR="008852BF">
        <w:t>ý</w:t>
      </w:r>
      <w:r w:rsidR="00A87230" w:rsidRPr="00A63910">
        <w:t xml:space="preserve"> objem převodů </w:t>
      </w:r>
      <w:r w:rsidR="000E60C1">
        <w:t xml:space="preserve">vrostl </w:t>
      </w:r>
      <w:r w:rsidR="00A87230" w:rsidRPr="00A63910">
        <w:t>o</w:t>
      </w:r>
      <w:r w:rsidR="0023407F">
        <w:t> </w:t>
      </w:r>
      <w:r w:rsidR="000E60C1">
        <w:t>287</w:t>
      </w:r>
      <w:r w:rsidR="0023407F">
        <w:t> </w:t>
      </w:r>
      <w:r w:rsidR="00A87230" w:rsidRPr="00A63910">
        <w:t>mil. Kč (tj.</w:t>
      </w:r>
      <w:r w:rsidR="000E60C1">
        <w:t xml:space="preserve"> 317</w:t>
      </w:r>
      <w:r w:rsidR="00A87230" w:rsidRPr="00A63910">
        <w:t xml:space="preserve">  %)</w:t>
      </w:r>
      <w:r w:rsidR="007E0049">
        <w:t xml:space="preserve">. </w:t>
      </w:r>
      <w:r w:rsidR="000E60C1">
        <w:t xml:space="preserve">Vzhledem ke </w:t>
      </w:r>
      <w:r w:rsidR="009961FF">
        <w:t>skokov</w:t>
      </w:r>
      <w:r w:rsidR="000E60C1">
        <w:t>ému nárůst</w:t>
      </w:r>
      <w:r w:rsidR="009F2E16">
        <w:t>u</w:t>
      </w:r>
      <w:r w:rsidR="000E60C1">
        <w:t xml:space="preserve"> </w:t>
      </w:r>
      <w:r w:rsidR="009961FF">
        <w:t xml:space="preserve">byla tato </w:t>
      </w:r>
      <w:r w:rsidR="00B17F9B" w:rsidRPr="00A63910">
        <w:t xml:space="preserve">kategorie </w:t>
      </w:r>
      <w:r w:rsidR="009961FF">
        <w:t>druh</w:t>
      </w:r>
      <w:r w:rsidR="0023407F">
        <w:t>ou</w:t>
      </w:r>
      <w:r w:rsidR="009961FF">
        <w:t xml:space="preserve"> </w:t>
      </w:r>
      <w:r w:rsidR="002E64EC">
        <w:t>nej</w:t>
      </w:r>
      <w:r w:rsidR="009961FF">
        <w:t>více obchodovan</w:t>
      </w:r>
      <w:r w:rsidR="0023407F">
        <w:t>ou</w:t>
      </w:r>
      <w:r w:rsidR="009961FF">
        <w:t xml:space="preserve"> skupin</w:t>
      </w:r>
      <w:r w:rsidR="0023407F">
        <w:t>ou</w:t>
      </w:r>
      <w:r w:rsidR="009961FF">
        <w:t xml:space="preserve"> pozemků ve městě s podílem na trhu </w:t>
      </w:r>
      <w:r w:rsidR="003102D7">
        <w:t> </w:t>
      </w:r>
      <w:r w:rsidR="009961FF">
        <w:t xml:space="preserve">téměř </w:t>
      </w:r>
      <w:r w:rsidR="000E60C1">
        <w:t xml:space="preserve">29 </w:t>
      </w:r>
      <w:r w:rsidR="003102D7" w:rsidRPr="00A63910">
        <w:t>%</w:t>
      </w:r>
      <w:r w:rsidR="009961FF">
        <w:t xml:space="preserve">. </w:t>
      </w:r>
      <w:r w:rsidR="00644243" w:rsidRPr="00A63910">
        <w:t>Ve srovnání s údajem z minulého období došlo rovněž k</w:t>
      </w:r>
      <w:r w:rsidR="009961FF">
        <w:t xml:space="preserve"> výraznému </w:t>
      </w:r>
      <w:r w:rsidR="009F2E16">
        <w:t xml:space="preserve">nárůstu </w:t>
      </w:r>
      <w:r w:rsidR="00644243" w:rsidRPr="00A63910">
        <w:t>obchodovan</w:t>
      </w:r>
      <w:r w:rsidR="00A63910" w:rsidRPr="00A63910">
        <w:t>é plochy</w:t>
      </w:r>
      <w:r w:rsidR="007E0049">
        <w:t>, a</w:t>
      </w:r>
      <w:r w:rsidR="006E33A3">
        <w:t> </w:t>
      </w:r>
      <w:r w:rsidR="007E0049">
        <w:t xml:space="preserve">to </w:t>
      </w:r>
      <w:r w:rsidR="00A63910" w:rsidRPr="00A63910">
        <w:t>o</w:t>
      </w:r>
      <w:r w:rsidR="003102D7">
        <w:t> </w:t>
      </w:r>
      <w:r w:rsidR="009F2E16">
        <w:t>9</w:t>
      </w:r>
      <w:r w:rsidR="00B06D70">
        <w:t>2</w:t>
      </w:r>
      <w:r w:rsidR="007E0049">
        <w:t xml:space="preserve"> %</w:t>
      </w:r>
      <w:r w:rsidR="00A63910" w:rsidRPr="00A63910">
        <w:t xml:space="preserve">, </w:t>
      </w:r>
      <w:r w:rsidR="006E33A3">
        <w:t xml:space="preserve">tj. </w:t>
      </w:r>
      <w:r w:rsidR="00A63910" w:rsidRPr="00A63910">
        <w:t xml:space="preserve">celkem </w:t>
      </w:r>
      <w:r w:rsidR="00644243" w:rsidRPr="00A63910">
        <w:t xml:space="preserve">o </w:t>
      </w:r>
      <w:r w:rsidR="00B06D70">
        <w:t xml:space="preserve">cca </w:t>
      </w:r>
      <w:r w:rsidR="009F2E16">
        <w:t>14,5</w:t>
      </w:r>
      <w:r w:rsidR="007E0049">
        <w:t xml:space="preserve"> </w:t>
      </w:r>
      <w:r w:rsidR="00644243" w:rsidRPr="00A63910">
        <w:t xml:space="preserve">ha na výměru </w:t>
      </w:r>
      <w:r w:rsidR="009F2E16">
        <w:t>30,4</w:t>
      </w:r>
      <w:r w:rsidR="00644243" w:rsidRPr="00A63910">
        <w:t xml:space="preserve"> ha. Průměrná dosažená cena </w:t>
      </w:r>
      <w:r w:rsidR="009F2E16">
        <w:t xml:space="preserve">vzrostla </w:t>
      </w:r>
      <w:r w:rsidR="00B06D70">
        <w:t xml:space="preserve">také, a to </w:t>
      </w:r>
      <w:r w:rsidR="006E33A3">
        <w:t xml:space="preserve">o </w:t>
      </w:r>
      <w:r w:rsidR="009F2E16">
        <w:t>670</w:t>
      </w:r>
      <w:r w:rsidR="00644243" w:rsidRPr="00A63910">
        <w:t xml:space="preserve"> Kč </w:t>
      </w:r>
      <w:r w:rsidR="006E33A3">
        <w:t>n</w:t>
      </w:r>
      <w:r w:rsidR="00644243" w:rsidRPr="00A63910">
        <w:t xml:space="preserve">a </w:t>
      </w:r>
      <w:r w:rsidR="009F2E16">
        <w:t>1 240</w:t>
      </w:r>
      <w:r w:rsidR="00644243" w:rsidRPr="00A63910">
        <w:t xml:space="preserve"> Kč za m</w:t>
      </w:r>
      <w:r w:rsidR="00644243" w:rsidRPr="00A63910">
        <w:rPr>
          <w:vertAlign w:val="superscript"/>
        </w:rPr>
        <w:t>2</w:t>
      </w:r>
      <w:r w:rsidR="00644243" w:rsidRPr="00A63910">
        <w:t>. J</w:t>
      </w:r>
      <w:r w:rsidR="00B17F9B" w:rsidRPr="00A63910">
        <w:t xml:space="preserve">ak znázorňuje níže </w:t>
      </w:r>
      <w:r w:rsidR="00B17F9B" w:rsidRPr="00AC0E93">
        <w:t xml:space="preserve">uvedený </w:t>
      </w:r>
      <w:r w:rsidR="00644243" w:rsidRPr="00AC0E93">
        <w:t xml:space="preserve">časový </w:t>
      </w:r>
      <w:r w:rsidR="00B17F9B" w:rsidRPr="00AC0E93">
        <w:t>graf</w:t>
      </w:r>
      <w:r w:rsidR="00644243" w:rsidRPr="00AC0E93">
        <w:t xml:space="preserve">, byl v posledním období </w:t>
      </w:r>
      <w:r w:rsidR="00403E35">
        <w:t xml:space="preserve">v této kategorii </w:t>
      </w:r>
      <w:r w:rsidR="00644243" w:rsidRPr="00AC0E93">
        <w:t xml:space="preserve">zrealizován objem </w:t>
      </w:r>
      <w:r w:rsidR="003A459C" w:rsidRPr="00AC0E93">
        <w:t>převodů</w:t>
      </w:r>
      <w:r w:rsidR="00644243" w:rsidRPr="00AC0E93">
        <w:t xml:space="preserve"> v celkové výši </w:t>
      </w:r>
      <w:r w:rsidR="009F2E16">
        <w:t>377,6</w:t>
      </w:r>
      <w:r w:rsidR="00521093" w:rsidRPr="00AC0E93">
        <w:t> </w:t>
      </w:r>
      <w:r w:rsidR="00644243" w:rsidRPr="00AC0E93">
        <w:t>mil.</w:t>
      </w:r>
      <w:r w:rsidR="003102D7" w:rsidRPr="00AC0E93">
        <w:t> </w:t>
      </w:r>
      <w:r w:rsidR="00644243" w:rsidRPr="00AC0E93">
        <w:t xml:space="preserve">Kč, </w:t>
      </w:r>
      <w:r w:rsidR="003102D7" w:rsidRPr="00AC0E93">
        <w:t xml:space="preserve">což </w:t>
      </w:r>
      <w:r w:rsidR="00B06D70">
        <w:t xml:space="preserve">je </w:t>
      </w:r>
      <w:r w:rsidR="0024624E" w:rsidRPr="00AC0E93">
        <w:t xml:space="preserve">v rámci sledovaných období </w:t>
      </w:r>
      <w:r w:rsidR="009F2E16">
        <w:t xml:space="preserve">třetí </w:t>
      </w:r>
      <w:r w:rsidR="00B06D70">
        <w:t>nej</w:t>
      </w:r>
      <w:r w:rsidR="009F2E16">
        <w:t xml:space="preserve">vyšší </w:t>
      </w:r>
      <w:r w:rsidR="00B06D70">
        <w:t xml:space="preserve">objem </w:t>
      </w:r>
      <w:r w:rsidR="0024624E" w:rsidRPr="00AC0E93">
        <w:t>zrealizovaných obchodů</w:t>
      </w:r>
      <w:r w:rsidR="009F2E16">
        <w:t>,</w:t>
      </w:r>
      <w:r w:rsidR="003102D7" w:rsidRPr="00AC0E93">
        <w:t xml:space="preserve"> </w:t>
      </w:r>
      <w:r w:rsidR="00B06D70">
        <w:t xml:space="preserve">zhruba na úrovni roku </w:t>
      </w:r>
      <w:r w:rsidR="00644243" w:rsidRPr="00AC0E93">
        <w:t>201</w:t>
      </w:r>
      <w:r w:rsidR="009F2E16">
        <w:t>8</w:t>
      </w:r>
      <w:r w:rsidR="00644243" w:rsidRPr="00AC0E93">
        <w:t>.</w:t>
      </w:r>
      <w:r w:rsidR="00B06D70">
        <w:t xml:space="preserve"> </w:t>
      </w:r>
      <w:r w:rsidR="009F2E16" w:rsidRPr="008C47D0">
        <w:t xml:space="preserve">Nárůst všech sledovaných ukazatelů </w:t>
      </w:r>
      <w:r w:rsidR="00B06D70" w:rsidRPr="008C47D0">
        <w:t xml:space="preserve">v oblasti průmyslu </w:t>
      </w:r>
      <w:r w:rsidR="008C47D0" w:rsidRPr="008C47D0">
        <w:t>byl zaznamenán napříč městem ve všech oblastec</w:t>
      </w:r>
      <w:r w:rsidR="008C47D0">
        <w:t xml:space="preserve">h, </w:t>
      </w:r>
      <w:r w:rsidR="00757E57">
        <w:t xml:space="preserve">a souvisel s </w:t>
      </w:r>
      <w:r w:rsidR="008C47D0">
        <w:t>větším množstvím převodů v úrovni 10 až 20</w:t>
      </w:r>
      <w:r w:rsidR="0023407F">
        <w:t> </w:t>
      </w:r>
      <w:r w:rsidR="008C47D0">
        <w:t>mil.</w:t>
      </w:r>
      <w:r w:rsidR="0023407F">
        <w:t> </w:t>
      </w:r>
      <w:r w:rsidR="008C47D0">
        <w:t xml:space="preserve">Kč v absolutní hodnotě, a to jak </w:t>
      </w:r>
      <w:r w:rsidR="00757E57">
        <w:t xml:space="preserve">pozemků </w:t>
      </w:r>
      <w:r w:rsidR="008C47D0">
        <w:t>pro výstavbu na volných p</w:t>
      </w:r>
      <w:r w:rsidR="00757E57">
        <w:t>lochách</w:t>
      </w:r>
      <w:r w:rsidR="008C47D0">
        <w:t xml:space="preserve"> určených územním plánem pro průmysl, tak na nově vzniklých p</w:t>
      </w:r>
      <w:r w:rsidR="00757E57">
        <w:t>arcelách</w:t>
      </w:r>
      <w:r w:rsidR="008C47D0">
        <w:t xml:space="preserve"> v rámci asanací průmyslových areálů, nebo na okrajích již fungujících průmyslových zón.</w:t>
      </w:r>
    </w:p>
    <w:p w14:paraId="2980F16E" w14:textId="1FF4FE9B" w:rsidR="008A52AE" w:rsidRDefault="008A52AE" w:rsidP="00B06D70">
      <w:pPr>
        <w:pStyle w:val="Zkladntextodsazen31"/>
        <w:spacing w:after="120"/>
      </w:pPr>
    </w:p>
    <w:p w14:paraId="52BAD949" w14:textId="70FBB46A" w:rsidR="00ED15CC" w:rsidRPr="00231ABC" w:rsidRDefault="00EE363F" w:rsidP="00564A5C">
      <w:pPr>
        <w:pStyle w:val="Zkladntextodsazen31"/>
        <w:spacing w:after="120"/>
        <w:ind w:firstLine="0"/>
      </w:pPr>
      <w:r>
        <w:rPr>
          <w:noProof/>
        </w:rPr>
        <w:drawing>
          <wp:inline distT="0" distB="0" distL="0" distR="0" wp14:anchorId="03453B06" wp14:editId="30E121E5">
            <wp:extent cx="5760085" cy="3959225"/>
            <wp:effectExtent l="0" t="0" r="5715" b="3175"/>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Obrázek 17"/>
                    <pic:cNvPicPr/>
                  </pic:nvPicPr>
                  <pic:blipFill>
                    <a:blip r:embed="rId18">
                      <a:extLst>
                        <a:ext uri="{28A0092B-C50C-407E-A947-70E740481C1C}">
                          <a14:useLocalDpi xmlns:a14="http://schemas.microsoft.com/office/drawing/2010/main" val="0"/>
                        </a:ext>
                      </a:extLst>
                    </a:blip>
                    <a:stretch>
                      <a:fillRect/>
                    </a:stretch>
                  </pic:blipFill>
                  <pic:spPr>
                    <a:xfrm>
                      <a:off x="0" y="0"/>
                      <a:ext cx="5760085" cy="3959225"/>
                    </a:xfrm>
                    <a:prstGeom prst="rect">
                      <a:avLst/>
                    </a:prstGeom>
                  </pic:spPr>
                </pic:pic>
              </a:graphicData>
            </a:graphic>
          </wp:inline>
        </w:drawing>
      </w:r>
      <w:r w:rsidR="00ED15CC" w:rsidRPr="00231ABC">
        <w:t xml:space="preserve"> </w:t>
      </w:r>
    </w:p>
    <w:p w14:paraId="7F8341B3" w14:textId="77777777" w:rsidR="008C47D0" w:rsidRDefault="008C47D0" w:rsidP="00B06D70">
      <w:pPr>
        <w:pStyle w:val="Zkladntextodsazen31"/>
        <w:spacing w:after="120"/>
      </w:pPr>
    </w:p>
    <w:p w14:paraId="2F89BCF6" w14:textId="31D71532" w:rsidR="008C47D0" w:rsidRDefault="007861BD" w:rsidP="00B06D70">
      <w:pPr>
        <w:pStyle w:val="Zkladntextodsazen31"/>
        <w:spacing w:after="120"/>
      </w:pPr>
      <w:r>
        <w:lastRenderedPageBreak/>
        <w:t>Z n</w:t>
      </w:r>
      <w:r w:rsidR="008C47D0">
        <w:t>ejvýznamnější</w:t>
      </w:r>
      <w:r w:rsidR="0023407F">
        <w:t>ch</w:t>
      </w:r>
      <w:r w:rsidR="008C47D0">
        <w:t xml:space="preserve"> obchod</w:t>
      </w:r>
      <w:r>
        <w:t>ů</w:t>
      </w:r>
      <w:r w:rsidR="008C47D0">
        <w:t xml:space="preserve"> v této kategorii</w:t>
      </w:r>
      <w:r>
        <w:t xml:space="preserve">, které na území města </w:t>
      </w:r>
      <w:r w:rsidR="008C47D0">
        <w:t>proběhly</w:t>
      </w:r>
      <w:r w:rsidR="0023407F">
        <w:t>,</w:t>
      </w:r>
      <w:r w:rsidR="008C47D0">
        <w:t xml:space="preserve"> </w:t>
      </w:r>
      <w:r>
        <w:t>lze zmínit prodej volného pozemku určeného územním plánem pro výstavbu v Heřmanicích u</w:t>
      </w:r>
      <w:r w:rsidR="0023407F">
        <w:t> </w:t>
      </w:r>
      <w:r>
        <w:t>ul.</w:t>
      </w:r>
      <w:r w:rsidR="0023407F">
        <w:t> </w:t>
      </w:r>
      <w:r>
        <w:t>Orlovské (o výměře cca 3 ha) s kupní cenou 67,5 mil. Kč</w:t>
      </w:r>
      <w:r w:rsidR="0023407F">
        <w:t xml:space="preserve"> s dosaženou jednotkovou cenou </w:t>
      </w:r>
      <w:r>
        <w:t>2</w:t>
      </w:r>
      <w:r w:rsidR="0023407F">
        <w:t> </w:t>
      </w:r>
      <w:r>
        <w:t>243 Kč za m</w:t>
      </w:r>
      <w:r>
        <w:rPr>
          <w:vertAlign w:val="superscript"/>
        </w:rPr>
        <w:t>2</w:t>
      </w:r>
      <w:r w:rsidRPr="00AC0E93">
        <w:t xml:space="preserve">. </w:t>
      </w:r>
      <w:r>
        <w:t>Další ze zajímavých obchodů proběhl v rámci průmyslového areálu Vítkovických železáren a strojíren ve Vítkovicích poblíž ul</w:t>
      </w:r>
      <w:r w:rsidR="0023407F">
        <w:t>. </w:t>
      </w:r>
      <w:r>
        <w:t>Ruské, kde byl zobchodován pozemek o výměře cca 2,1 ha v celkové hodnotě 41,8 mil. Kč</w:t>
      </w:r>
      <w:r w:rsidR="004D1206">
        <w:t>,</w:t>
      </w:r>
      <w:r>
        <w:t xml:space="preserve"> s dosaženou jednotkovou cenou 1 999 Kč za m</w:t>
      </w:r>
      <w:r w:rsidRPr="00AE6571">
        <w:rPr>
          <w:vertAlign w:val="superscript"/>
        </w:rPr>
        <w:t>2</w:t>
      </w:r>
      <w:r>
        <w:t>.</w:t>
      </w:r>
    </w:p>
    <w:p w14:paraId="643EC68B" w14:textId="197C33CA" w:rsidR="00274AE7" w:rsidRPr="002A5CC2" w:rsidRDefault="00274AE7" w:rsidP="00CA7B6D">
      <w:pPr>
        <w:pStyle w:val="Zkladntextodsazen31"/>
        <w:spacing w:after="120"/>
      </w:pPr>
      <w:r>
        <w:t>Nejvyšší cen</w:t>
      </w:r>
      <w:r w:rsidR="00CA7B6D">
        <w:t xml:space="preserve">a byla dosažena </w:t>
      </w:r>
      <w:r w:rsidR="001D52A2">
        <w:t xml:space="preserve">v této kategorii </w:t>
      </w:r>
      <w:r w:rsidR="00CA7B6D">
        <w:t>v městské části Poruba v již etablované průmyslové zóně v ul. Nad Porubkou, kde byl realizován pozemkový celek o výměře 3</w:t>
      </w:r>
      <w:r w:rsidR="0023407F">
        <w:t> </w:t>
      </w:r>
      <w:r w:rsidR="00CA7B6D">
        <w:t>083</w:t>
      </w:r>
      <w:r w:rsidR="0023407F">
        <w:t> </w:t>
      </w:r>
      <w:r w:rsidR="00CA7B6D">
        <w:t>m</w:t>
      </w:r>
      <w:r w:rsidR="00CA7B6D" w:rsidRPr="001D52A2">
        <w:rPr>
          <w:vertAlign w:val="superscript"/>
        </w:rPr>
        <w:t>2</w:t>
      </w:r>
      <w:r w:rsidR="00CA7B6D">
        <w:t xml:space="preserve"> </w:t>
      </w:r>
      <w:r>
        <w:t>s jednotk</w:t>
      </w:r>
      <w:r w:rsidR="007D0EA9">
        <w:t>o</w:t>
      </w:r>
      <w:r>
        <w:t xml:space="preserve">vou cenou </w:t>
      </w:r>
      <w:r w:rsidR="00CA7B6D">
        <w:t xml:space="preserve">3 642 </w:t>
      </w:r>
      <w:r>
        <w:t>Kč za m</w:t>
      </w:r>
      <w:r w:rsidRPr="007D0EA9">
        <w:rPr>
          <w:vertAlign w:val="superscript"/>
        </w:rPr>
        <w:t>2</w:t>
      </w:r>
      <w:r w:rsidR="00CA7B6D">
        <w:t xml:space="preserve">. </w:t>
      </w:r>
    </w:p>
    <w:p w14:paraId="5D1F07DA" w14:textId="3765347C" w:rsidR="002A5CC2" w:rsidRPr="00231ABC" w:rsidRDefault="00360526" w:rsidP="00360526">
      <w:pPr>
        <w:pStyle w:val="Zkladntextodsazen31"/>
        <w:rPr>
          <w:i/>
        </w:rPr>
      </w:pPr>
      <w:r w:rsidRPr="00AC0E93">
        <w:t>Nejv</w:t>
      </w:r>
      <w:r w:rsidR="002B3988" w:rsidRPr="00AC0E93">
        <w:t>ýznamnějš</w:t>
      </w:r>
      <w:r w:rsidRPr="00AC0E93">
        <w:t xml:space="preserve">í plochou </w:t>
      </w:r>
      <w:r w:rsidR="00DD2860" w:rsidRPr="00AC0E93">
        <w:t xml:space="preserve">z hlediska </w:t>
      </w:r>
      <w:r w:rsidR="00A96D6E">
        <w:t xml:space="preserve">nové výstavby </w:t>
      </w:r>
      <w:r w:rsidRPr="00AC0E93">
        <w:t xml:space="preserve">v oblasti průmyslu je </w:t>
      </w:r>
      <w:r w:rsidR="00E80BB6" w:rsidRPr="00AC0E93">
        <w:t xml:space="preserve">na území Ostravy </w:t>
      </w:r>
      <w:r w:rsidRPr="00AC0E93">
        <w:t>prům</w:t>
      </w:r>
      <w:r w:rsidR="00076362" w:rsidRPr="00AC0E93">
        <w:t xml:space="preserve">yslová zóna v Hrabové, která </w:t>
      </w:r>
      <w:r w:rsidR="00573307" w:rsidRPr="00AC0E93">
        <w:t>je</w:t>
      </w:r>
      <w:r w:rsidR="00076362" w:rsidRPr="00AC0E93">
        <w:t xml:space="preserve"> </w:t>
      </w:r>
      <w:r w:rsidR="007938D3">
        <w:t xml:space="preserve">již plně </w:t>
      </w:r>
      <w:r w:rsidR="00076362" w:rsidRPr="00AC0E93">
        <w:t>obsaz</w:t>
      </w:r>
      <w:r w:rsidR="007938D3">
        <w:t>ena</w:t>
      </w:r>
      <w:r w:rsidRPr="00AC0E93">
        <w:t xml:space="preserve">. V popředí zájmu jsou </w:t>
      </w:r>
      <w:r w:rsidR="002B3988" w:rsidRPr="00AC0E93">
        <w:t xml:space="preserve">také </w:t>
      </w:r>
      <w:r w:rsidRPr="00AC0E93">
        <w:t>území brownfields, k</w:t>
      </w:r>
      <w:r w:rsidR="002A5CC2" w:rsidRPr="00AC0E93">
        <w:t>de</w:t>
      </w:r>
      <w:r w:rsidRPr="00AC0E93">
        <w:t xml:space="preserve"> jsou</w:t>
      </w:r>
      <w:r w:rsidRPr="002A5CC2">
        <w:t xml:space="preserve"> </w:t>
      </w:r>
      <w:r w:rsidR="002A5CC2">
        <w:t>realizovány</w:t>
      </w:r>
      <w:r w:rsidRPr="002A5CC2">
        <w:t xml:space="preserve"> nové projekty. Nejvýznamnější z těchto lokalit je původní industriální zóna </w:t>
      </w:r>
      <w:r w:rsidR="00B9097C" w:rsidRPr="002A5CC2">
        <w:t xml:space="preserve">Dolní oblasti </w:t>
      </w:r>
      <w:r w:rsidRPr="002A5CC2">
        <w:t>Vítkovic</w:t>
      </w:r>
      <w:r w:rsidR="002A5CC2">
        <w:t xml:space="preserve">, </w:t>
      </w:r>
      <w:r w:rsidR="00A96D6E">
        <w:t>dále plocha</w:t>
      </w:r>
      <w:r w:rsidR="007938D3">
        <w:t xml:space="preserve"> po sanaci původní zástavby</w:t>
      </w:r>
      <w:r w:rsidR="003F4AB8">
        <w:t xml:space="preserve"> </w:t>
      </w:r>
      <w:r w:rsidR="00076362" w:rsidRPr="002A5CC2">
        <w:t>v</w:t>
      </w:r>
      <w:r w:rsidR="007938D3">
        <w:t> </w:t>
      </w:r>
      <w:r w:rsidR="00076362" w:rsidRPr="002A5CC2">
        <w:t>Hrušově</w:t>
      </w:r>
      <w:r w:rsidR="007938D3">
        <w:t xml:space="preserve"> poblíž městského úseku dálnice D1</w:t>
      </w:r>
      <w:r w:rsidR="00076362" w:rsidRPr="002A5CC2">
        <w:t xml:space="preserve">, kde </w:t>
      </w:r>
      <w:r w:rsidR="003F4AB8">
        <w:t xml:space="preserve">se realizuje výstavba </w:t>
      </w:r>
      <w:r w:rsidR="00076362" w:rsidRPr="002A5CC2">
        <w:t>průmyslov</w:t>
      </w:r>
      <w:r w:rsidR="003F4AB8">
        <w:t>é</w:t>
      </w:r>
      <w:r w:rsidR="00076362" w:rsidRPr="002A5CC2">
        <w:t xml:space="preserve"> zón</w:t>
      </w:r>
      <w:r w:rsidR="003F4AB8">
        <w:t>y</w:t>
      </w:r>
      <w:r w:rsidR="00076362" w:rsidRPr="002A5CC2">
        <w:t xml:space="preserve"> na ploše 35 ha</w:t>
      </w:r>
      <w:r w:rsidR="007938D3">
        <w:t xml:space="preserve"> a dále také výstavba </w:t>
      </w:r>
      <w:r w:rsidR="00EE44BE">
        <w:t>logistického parku v Porubě u páteřní komunikace ul.</w:t>
      </w:r>
      <w:r w:rsidR="0023407F">
        <w:t> </w:t>
      </w:r>
      <w:r w:rsidR="00EE44BE">
        <w:t xml:space="preserve">Rudné. Z menších projektů lze zmínit zónu původního areálu cementárny v Kunčičkách, dále plochu s novou výstavbou v Přívoze u ul. Slovenské a menší obchodně – průmyslovou zónu v Porubě v ul. Nad Porubkou. </w:t>
      </w:r>
      <w:r w:rsidR="00594CE3" w:rsidRPr="002A5CC2">
        <w:t xml:space="preserve">Zároveň jsou v oblasti průmyslu </w:t>
      </w:r>
      <w:r w:rsidR="00120E42">
        <w:t xml:space="preserve">připraveny nebo </w:t>
      </w:r>
      <w:r w:rsidR="00A142C2" w:rsidRPr="002A5CC2">
        <w:t xml:space="preserve">realizovány </w:t>
      </w:r>
      <w:r w:rsidR="00594CE3" w:rsidRPr="002A5CC2">
        <w:t xml:space="preserve">projekty </w:t>
      </w:r>
      <w:r w:rsidR="00EB4FFE" w:rsidRPr="002A5CC2">
        <w:t>pro sanaci území s ekologickou zátěží</w:t>
      </w:r>
      <w:r w:rsidR="00A142C2" w:rsidRPr="002A5CC2">
        <w:t xml:space="preserve">, a to </w:t>
      </w:r>
      <w:r w:rsidR="001B3173">
        <w:t xml:space="preserve">v areálu </w:t>
      </w:r>
      <w:r w:rsidR="00076362" w:rsidRPr="00AC0E93">
        <w:t>býval</w:t>
      </w:r>
      <w:r w:rsidR="00DA4221" w:rsidRPr="00AC0E93">
        <w:t>é ropné rafinerie (</w:t>
      </w:r>
      <w:r w:rsidR="00076362" w:rsidRPr="00AC0E93">
        <w:t>Ostram</w:t>
      </w:r>
      <w:r w:rsidR="00DA4221" w:rsidRPr="00AC0E93">
        <w:t>o)</w:t>
      </w:r>
      <w:r w:rsidR="00A142C2" w:rsidRPr="00AC0E93">
        <w:t> </w:t>
      </w:r>
      <w:r w:rsidR="00076362" w:rsidRPr="00AC0E93">
        <w:t xml:space="preserve">na rozhraní Mariánských Hor a </w:t>
      </w:r>
      <w:r w:rsidR="00A142C2" w:rsidRPr="00AC0E93">
        <w:t>Přívoz</w:t>
      </w:r>
      <w:r w:rsidR="00076362" w:rsidRPr="00AC0E93">
        <w:t>u</w:t>
      </w:r>
      <w:r w:rsidR="00EA34C9">
        <w:t>,</w:t>
      </w:r>
      <w:r w:rsidR="00CA1F38">
        <w:t xml:space="preserve"> a</w:t>
      </w:r>
      <w:r w:rsidR="00A142C2" w:rsidRPr="00AC0E93">
        <w:t xml:space="preserve"> </w:t>
      </w:r>
      <w:r w:rsidR="00EA34C9">
        <w:t xml:space="preserve">také </w:t>
      </w:r>
      <w:r w:rsidR="00DA4221" w:rsidRPr="00AC0E93">
        <w:t>v areálu bývalého dolu v</w:t>
      </w:r>
      <w:r w:rsidR="00AC0E93" w:rsidRPr="00AC0E93">
        <w:t> </w:t>
      </w:r>
      <w:r w:rsidR="00A142C2" w:rsidRPr="00AC0E93">
        <w:t>Heřmanicích</w:t>
      </w:r>
      <w:r w:rsidR="00120E42" w:rsidRPr="00AC0E93">
        <w:t xml:space="preserve">. </w:t>
      </w:r>
      <w:r w:rsidR="00EE44BE">
        <w:t>V</w:t>
      </w:r>
      <w:r w:rsidR="0073429A" w:rsidRPr="00AC0E93">
        <w:t xml:space="preserve"> rámci území brownfields </w:t>
      </w:r>
      <w:r w:rsidR="00EE44BE">
        <w:t xml:space="preserve">dále aktuálně probíhá zástavba </w:t>
      </w:r>
      <w:r w:rsidR="00AC0E93" w:rsidRPr="00AC0E93">
        <w:t xml:space="preserve">plochy </w:t>
      </w:r>
      <w:r w:rsidR="0073429A" w:rsidRPr="00AC0E93">
        <w:t>v</w:t>
      </w:r>
      <w:r w:rsidR="002A5CC2" w:rsidRPr="00AC0E93">
        <w:t xml:space="preserve"> okrajové části Dolní oblasti Vítkovic v bývalém areálu aglomerace </w:t>
      </w:r>
      <w:r w:rsidR="00105B34" w:rsidRPr="00AC0E93">
        <w:t>u</w:t>
      </w:r>
      <w:r w:rsidR="002A5CC2" w:rsidRPr="00AC0E93">
        <w:t xml:space="preserve"> ul.</w:t>
      </w:r>
      <w:r w:rsidR="00A81279">
        <w:t> </w:t>
      </w:r>
      <w:r w:rsidR="002A5CC2" w:rsidRPr="00AC0E93">
        <w:t>Rudn</w:t>
      </w:r>
      <w:r w:rsidR="0073429A" w:rsidRPr="00AC0E93">
        <w:t xml:space="preserve">é, </w:t>
      </w:r>
      <w:r w:rsidR="00EE44BE">
        <w:t xml:space="preserve">nebo </w:t>
      </w:r>
      <w:r w:rsidR="00CA1F38">
        <w:t xml:space="preserve">plochy </w:t>
      </w:r>
      <w:r w:rsidR="00CA1F38" w:rsidRPr="00AC0E93">
        <w:t xml:space="preserve">v původním areálu chemičky v Hrušově </w:t>
      </w:r>
      <w:r w:rsidR="0073429A" w:rsidRPr="00AC0E93">
        <w:t xml:space="preserve">a dále </w:t>
      </w:r>
      <w:r w:rsidR="00EE44BE">
        <w:t xml:space="preserve">se plánuje využití </w:t>
      </w:r>
      <w:r w:rsidR="00AC0E93" w:rsidRPr="00AC0E93">
        <w:t>rekultivovan</w:t>
      </w:r>
      <w:r w:rsidR="00EE44BE">
        <w:t>é</w:t>
      </w:r>
      <w:r w:rsidR="00AC0E93" w:rsidRPr="00AC0E93">
        <w:t xml:space="preserve"> plo</w:t>
      </w:r>
      <w:r w:rsidR="00CA1F38">
        <w:t>ch</w:t>
      </w:r>
      <w:r w:rsidR="00EE44BE">
        <w:t>y</w:t>
      </w:r>
      <w:r w:rsidR="00AC0E93" w:rsidRPr="00AC0E93">
        <w:t xml:space="preserve"> haldy</w:t>
      </w:r>
      <w:r w:rsidR="00AC0E93">
        <w:t xml:space="preserve"> </w:t>
      </w:r>
      <w:r w:rsidR="0073429A">
        <w:t>podél komunikace</w:t>
      </w:r>
      <w:r w:rsidR="00CA1F38">
        <w:t xml:space="preserve"> </w:t>
      </w:r>
      <w:r w:rsidR="0073429A">
        <w:t>Místecké</w:t>
      </w:r>
      <w:r w:rsidR="00CA1F38">
        <w:t xml:space="preserve"> </w:t>
      </w:r>
      <w:r w:rsidR="00CA1F38" w:rsidRPr="00AC0E93">
        <w:t>v </w:t>
      </w:r>
      <w:r w:rsidR="00CA1F38">
        <w:t>Hrabůvce</w:t>
      </w:r>
      <w:r w:rsidR="0073429A">
        <w:t>.</w:t>
      </w:r>
      <w:r w:rsidR="00CA1F38">
        <w:t xml:space="preserve"> </w:t>
      </w:r>
    </w:p>
    <w:p w14:paraId="70E60A78" w14:textId="2D8B1CAB" w:rsidR="00DE16DD" w:rsidRPr="00231ABC" w:rsidRDefault="00DE16DD" w:rsidP="00DE16DD">
      <w:pPr>
        <w:pStyle w:val="Zhlav"/>
        <w:tabs>
          <w:tab w:val="clear" w:pos="4536"/>
          <w:tab w:val="clear" w:pos="9072"/>
        </w:tabs>
        <w:spacing w:before="120"/>
      </w:pPr>
      <w:r w:rsidRPr="00231ABC">
        <w:t>CM 20</w:t>
      </w:r>
      <w:r>
        <w:t>20</w:t>
      </w: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61"/>
        <w:gridCol w:w="1890"/>
        <w:gridCol w:w="1890"/>
        <w:gridCol w:w="1890"/>
      </w:tblGrid>
      <w:tr w:rsidR="00DE16DD" w:rsidRPr="00231ABC" w14:paraId="5D13BF5B" w14:textId="77777777" w:rsidTr="00D5526F">
        <w:trPr>
          <w:cantSplit/>
        </w:trPr>
        <w:tc>
          <w:tcPr>
            <w:tcW w:w="3261" w:type="dxa"/>
            <w:vMerge w:val="restart"/>
            <w:tcBorders>
              <w:top w:val="single" w:sz="18" w:space="0" w:color="auto"/>
              <w:left w:val="single" w:sz="18" w:space="0" w:color="auto"/>
              <w:right w:val="single" w:sz="18" w:space="0" w:color="auto"/>
            </w:tcBorders>
            <w:vAlign w:val="center"/>
          </w:tcPr>
          <w:p w14:paraId="442CA24B" w14:textId="77777777" w:rsidR="00DE16DD" w:rsidRPr="00231ABC" w:rsidRDefault="00DE16DD" w:rsidP="00D5526F">
            <w:pPr>
              <w:pStyle w:val="Nadpis1"/>
              <w:jc w:val="center"/>
              <w:rPr>
                <w:b/>
              </w:rPr>
            </w:pPr>
            <w:r w:rsidRPr="00231ABC">
              <w:rPr>
                <w:b/>
              </w:rPr>
              <w:t>Poloha</w:t>
            </w:r>
          </w:p>
        </w:tc>
        <w:tc>
          <w:tcPr>
            <w:tcW w:w="5670" w:type="dxa"/>
            <w:gridSpan w:val="3"/>
            <w:tcBorders>
              <w:top w:val="single" w:sz="18" w:space="0" w:color="auto"/>
              <w:left w:val="nil"/>
              <w:bottom w:val="nil"/>
              <w:right w:val="single" w:sz="18" w:space="0" w:color="auto"/>
            </w:tcBorders>
          </w:tcPr>
          <w:p w14:paraId="7F5AE518" w14:textId="77777777" w:rsidR="00DE16DD" w:rsidRPr="00231ABC" w:rsidRDefault="00DE16DD" w:rsidP="00D5526F">
            <w:pPr>
              <w:jc w:val="center"/>
              <w:rPr>
                <w:b/>
                <w:sz w:val="24"/>
              </w:rPr>
            </w:pPr>
            <w:r w:rsidRPr="00231ABC">
              <w:rPr>
                <w:b/>
                <w:sz w:val="24"/>
              </w:rPr>
              <w:t>Kč/m</w:t>
            </w:r>
            <w:r w:rsidRPr="00231ABC">
              <w:rPr>
                <w:b/>
                <w:sz w:val="24"/>
                <w:vertAlign w:val="superscript"/>
              </w:rPr>
              <w:t>2</w:t>
            </w:r>
            <w:r w:rsidRPr="00231ABC">
              <w:rPr>
                <w:b/>
                <w:sz w:val="24"/>
              </w:rPr>
              <w:t xml:space="preserve"> </w:t>
            </w:r>
          </w:p>
        </w:tc>
      </w:tr>
      <w:tr w:rsidR="00DE16DD" w:rsidRPr="00231ABC" w14:paraId="684E096B" w14:textId="77777777" w:rsidTr="00D5526F">
        <w:tc>
          <w:tcPr>
            <w:tcW w:w="3261" w:type="dxa"/>
            <w:vMerge/>
            <w:tcBorders>
              <w:left w:val="single" w:sz="18" w:space="0" w:color="auto"/>
              <w:bottom w:val="single" w:sz="18" w:space="0" w:color="auto"/>
              <w:right w:val="single" w:sz="18" w:space="0" w:color="auto"/>
            </w:tcBorders>
            <w:vAlign w:val="center"/>
          </w:tcPr>
          <w:p w14:paraId="59A0E6CA" w14:textId="77777777" w:rsidR="00DE16DD" w:rsidRPr="00231ABC" w:rsidRDefault="00DE16DD" w:rsidP="00D5526F">
            <w:pPr>
              <w:pStyle w:val="Nadpis1"/>
              <w:jc w:val="center"/>
              <w:rPr>
                <w:b/>
              </w:rPr>
            </w:pPr>
          </w:p>
        </w:tc>
        <w:tc>
          <w:tcPr>
            <w:tcW w:w="1890" w:type="dxa"/>
            <w:tcBorders>
              <w:top w:val="single" w:sz="12" w:space="0" w:color="auto"/>
              <w:left w:val="nil"/>
              <w:bottom w:val="single" w:sz="18" w:space="0" w:color="auto"/>
              <w:right w:val="single" w:sz="6" w:space="0" w:color="auto"/>
            </w:tcBorders>
          </w:tcPr>
          <w:p w14:paraId="0CC2C055" w14:textId="77777777" w:rsidR="00DE16DD" w:rsidRPr="00231ABC" w:rsidRDefault="00DE16DD" w:rsidP="00D5526F">
            <w:pPr>
              <w:jc w:val="center"/>
              <w:rPr>
                <w:b/>
                <w:sz w:val="24"/>
              </w:rPr>
            </w:pPr>
            <w:r w:rsidRPr="00231ABC">
              <w:rPr>
                <w:b/>
                <w:sz w:val="24"/>
              </w:rPr>
              <w:t>Průměrná cena</w:t>
            </w:r>
          </w:p>
        </w:tc>
        <w:tc>
          <w:tcPr>
            <w:tcW w:w="1890" w:type="dxa"/>
            <w:tcBorders>
              <w:top w:val="single" w:sz="12" w:space="0" w:color="auto"/>
              <w:left w:val="single" w:sz="6" w:space="0" w:color="auto"/>
              <w:bottom w:val="single" w:sz="18" w:space="0" w:color="auto"/>
              <w:right w:val="single" w:sz="6" w:space="0" w:color="auto"/>
            </w:tcBorders>
          </w:tcPr>
          <w:p w14:paraId="26593467" w14:textId="77777777" w:rsidR="00DE16DD" w:rsidRPr="00231ABC" w:rsidRDefault="00DE16DD" w:rsidP="00D5526F">
            <w:pPr>
              <w:jc w:val="center"/>
              <w:rPr>
                <w:b/>
                <w:sz w:val="24"/>
              </w:rPr>
            </w:pPr>
            <w:r w:rsidRPr="00231ABC">
              <w:rPr>
                <w:b/>
                <w:sz w:val="24"/>
              </w:rPr>
              <w:t>Minimální cena</w:t>
            </w:r>
          </w:p>
        </w:tc>
        <w:tc>
          <w:tcPr>
            <w:tcW w:w="1890" w:type="dxa"/>
            <w:tcBorders>
              <w:top w:val="single" w:sz="12" w:space="0" w:color="auto"/>
              <w:left w:val="single" w:sz="6" w:space="0" w:color="auto"/>
              <w:bottom w:val="single" w:sz="18" w:space="0" w:color="auto"/>
              <w:right w:val="single" w:sz="18" w:space="0" w:color="auto"/>
            </w:tcBorders>
          </w:tcPr>
          <w:p w14:paraId="473C1DBF" w14:textId="77777777" w:rsidR="00DE16DD" w:rsidRPr="00231ABC" w:rsidRDefault="00DE16DD" w:rsidP="00D5526F">
            <w:pPr>
              <w:jc w:val="center"/>
              <w:rPr>
                <w:b/>
                <w:sz w:val="24"/>
              </w:rPr>
            </w:pPr>
            <w:r w:rsidRPr="00231ABC">
              <w:rPr>
                <w:b/>
                <w:sz w:val="24"/>
              </w:rPr>
              <w:t>Maximální cena</w:t>
            </w:r>
          </w:p>
        </w:tc>
      </w:tr>
      <w:tr w:rsidR="00DE16DD" w:rsidRPr="00231ABC" w14:paraId="1AFBB3B9" w14:textId="77777777" w:rsidTr="00D5526F">
        <w:tc>
          <w:tcPr>
            <w:tcW w:w="3261" w:type="dxa"/>
            <w:tcBorders>
              <w:top w:val="nil"/>
              <w:left w:val="single" w:sz="18" w:space="0" w:color="auto"/>
              <w:bottom w:val="single" w:sz="6" w:space="0" w:color="auto"/>
              <w:right w:val="single" w:sz="18" w:space="0" w:color="auto"/>
            </w:tcBorders>
          </w:tcPr>
          <w:p w14:paraId="14CC3054" w14:textId="77777777" w:rsidR="00DE16DD" w:rsidRPr="00231ABC" w:rsidRDefault="00DE16DD" w:rsidP="00D5526F">
            <w:pPr>
              <w:rPr>
                <w:sz w:val="24"/>
              </w:rPr>
            </w:pPr>
            <w:r w:rsidRPr="00231ABC">
              <w:rPr>
                <w:sz w:val="24"/>
              </w:rPr>
              <w:t>Vnitřní město</w:t>
            </w:r>
          </w:p>
        </w:tc>
        <w:tc>
          <w:tcPr>
            <w:tcW w:w="1890" w:type="dxa"/>
            <w:tcBorders>
              <w:top w:val="nil"/>
              <w:left w:val="nil"/>
              <w:bottom w:val="single" w:sz="6" w:space="0" w:color="auto"/>
              <w:right w:val="single" w:sz="6" w:space="0" w:color="auto"/>
            </w:tcBorders>
          </w:tcPr>
          <w:p w14:paraId="7866D3EA" w14:textId="58C9C5B3" w:rsidR="00DE16DD" w:rsidRPr="00A975CE" w:rsidRDefault="00DE16DD" w:rsidP="00D5526F">
            <w:pPr>
              <w:jc w:val="center"/>
              <w:rPr>
                <w:sz w:val="24"/>
              </w:rPr>
            </w:pPr>
            <w:r>
              <w:rPr>
                <w:sz w:val="24"/>
              </w:rPr>
              <w:t>656</w:t>
            </w:r>
          </w:p>
        </w:tc>
        <w:tc>
          <w:tcPr>
            <w:tcW w:w="1890" w:type="dxa"/>
            <w:tcBorders>
              <w:top w:val="nil"/>
              <w:left w:val="single" w:sz="6" w:space="0" w:color="auto"/>
              <w:bottom w:val="single" w:sz="6" w:space="0" w:color="auto"/>
              <w:right w:val="single" w:sz="6" w:space="0" w:color="auto"/>
            </w:tcBorders>
          </w:tcPr>
          <w:p w14:paraId="1BDCAA33" w14:textId="0ADCB5E3" w:rsidR="00DE16DD" w:rsidRPr="00A975CE" w:rsidRDefault="00DE16DD" w:rsidP="00D5526F">
            <w:pPr>
              <w:jc w:val="center"/>
              <w:rPr>
                <w:sz w:val="24"/>
              </w:rPr>
            </w:pPr>
            <w:r>
              <w:rPr>
                <w:sz w:val="24"/>
              </w:rPr>
              <w:t>41</w:t>
            </w:r>
          </w:p>
        </w:tc>
        <w:tc>
          <w:tcPr>
            <w:tcW w:w="1890" w:type="dxa"/>
            <w:tcBorders>
              <w:top w:val="nil"/>
              <w:left w:val="single" w:sz="6" w:space="0" w:color="auto"/>
              <w:bottom w:val="single" w:sz="6" w:space="0" w:color="auto"/>
              <w:right w:val="single" w:sz="18" w:space="0" w:color="auto"/>
            </w:tcBorders>
          </w:tcPr>
          <w:p w14:paraId="7B7A3978" w14:textId="436A40D6" w:rsidR="00DE16DD" w:rsidRPr="00A975CE" w:rsidRDefault="00DE16DD" w:rsidP="00D5526F">
            <w:pPr>
              <w:jc w:val="center"/>
              <w:rPr>
                <w:sz w:val="24"/>
              </w:rPr>
            </w:pPr>
            <w:r>
              <w:rPr>
                <w:sz w:val="24"/>
              </w:rPr>
              <w:t>4 000</w:t>
            </w:r>
          </w:p>
        </w:tc>
      </w:tr>
      <w:tr w:rsidR="00DE16DD" w:rsidRPr="00231ABC" w14:paraId="39B251F4" w14:textId="77777777" w:rsidTr="00D5526F">
        <w:tc>
          <w:tcPr>
            <w:tcW w:w="3261" w:type="dxa"/>
            <w:tcBorders>
              <w:top w:val="single" w:sz="6" w:space="0" w:color="auto"/>
              <w:left w:val="single" w:sz="18" w:space="0" w:color="auto"/>
              <w:bottom w:val="single" w:sz="6" w:space="0" w:color="auto"/>
              <w:right w:val="single" w:sz="18" w:space="0" w:color="auto"/>
            </w:tcBorders>
          </w:tcPr>
          <w:p w14:paraId="452A6EE3" w14:textId="77777777" w:rsidR="00DE16DD" w:rsidRPr="00231ABC" w:rsidRDefault="00DE16DD" w:rsidP="00D5526F">
            <w:pPr>
              <w:rPr>
                <w:sz w:val="24"/>
              </w:rPr>
            </w:pPr>
            <w:r w:rsidRPr="00231ABC">
              <w:rPr>
                <w:sz w:val="24"/>
              </w:rPr>
              <w:t>Okrajová část vnitřního města</w:t>
            </w:r>
          </w:p>
        </w:tc>
        <w:tc>
          <w:tcPr>
            <w:tcW w:w="1890" w:type="dxa"/>
            <w:tcBorders>
              <w:top w:val="single" w:sz="6" w:space="0" w:color="auto"/>
              <w:left w:val="nil"/>
              <w:bottom w:val="single" w:sz="6" w:space="0" w:color="auto"/>
              <w:right w:val="single" w:sz="6" w:space="0" w:color="auto"/>
            </w:tcBorders>
          </w:tcPr>
          <w:p w14:paraId="07ECDA87" w14:textId="29FDF97A" w:rsidR="00DE16DD" w:rsidRPr="00A975CE" w:rsidRDefault="00DE16DD" w:rsidP="00D5526F">
            <w:pPr>
              <w:jc w:val="center"/>
              <w:rPr>
                <w:sz w:val="24"/>
              </w:rPr>
            </w:pPr>
            <w:r>
              <w:rPr>
                <w:sz w:val="24"/>
              </w:rPr>
              <w:t>577</w:t>
            </w:r>
          </w:p>
        </w:tc>
        <w:tc>
          <w:tcPr>
            <w:tcW w:w="1890" w:type="dxa"/>
            <w:tcBorders>
              <w:top w:val="single" w:sz="6" w:space="0" w:color="auto"/>
              <w:left w:val="single" w:sz="6" w:space="0" w:color="auto"/>
              <w:bottom w:val="single" w:sz="6" w:space="0" w:color="auto"/>
              <w:right w:val="single" w:sz="6" w:space="0" w:color="auto"/>
            </w:tcBorders>
          </w:tcPr>
          <w:p w14:paraId="24881B47" w14:textId="2400DF0F" w:rsidR="00DE16DD" w:rsidRPr="00A975CE" w:rsidRDefault="00DE16DD" w:rsidP="00D5526F">
            <w:pPr>
              <w:jc w:val="center"/>
              <w:rPr>
                <w:sz w:val="24"/>
              </w:rPr>
            </w:pPr>
            <w:r>
              <w:rPr>
                <w:sz w:val="24"/>
              </w:rPr>
              <w:t>48</w:t>
            </w:r>
          </w:p>
        </w:tc>
        <w:tc>
          <w:tcPr>
            <w:tcW w:w="1890" w:type="dxa"/>
            <w:tcBorders>
              <w:top w:val="single" w:sz="6" w:space="0" w:color="auto"/>
              <w:left w:val="single" w:sz="6" w:space="0" w:color="auto"/>
              <w:bottom w:val="single" w:sz="6" w:space="0" w:color="auto"/>
              <w:right w:val="single" w:sz="18" w:space="0" w:color="auto"/>
            </w:tcBorders>
          </w:tcPr>
          <w:p w14:paraId="148B290B" w14:textId="29495A4E" w:rsidR="00DE16DD" w:rsidRPr="00A975CE" w:rsidRDefault="00DE16DD" w:rsidP="00D5526F">
            <w:pPr>
              <w:jc w:val="center"/>
              <w:rPr>
                <w:sz w:val="24"/>
              </w:rPr>
            </w:pPr>
            <w:r>
              <w:rPr>
                <w:sz w:val="24"/>
              </w:rPr>
              <w:t>1 200</w:t>
            </w:r>
          </w:p>
        </w:tc>
      </w:tr>
      <w:tr w:rsidR="00DE16DD" w:rsidRPr="00231ABC" w14:paraId="645A9AB2" w14:textId="77777777" w:rsidTr="00D5526F">
        <w:tc>
          <w:tcPr>
            <w:tcW w:w="3261" w:type="dxa"/>
            <w:tcBorders>
              <w:top w:val="single" w:sz="6" w:space="0" w:color="auto"/>
              <w:left w:val="single" w:sz="18" w:space="0" w:color="auto"/>
              <w:bottom w:val="single" w:sz="6" w:space="0" w:color="auto"/>
              <w:right w:val="single" w:sz="18" w:space="0" w:color="auto"/>
            </w:tcBorders>
          </w:tcPr>
          <w:p w14:paraId="08FED802" w14:textId="77777777" w:rsidR="00DE16DD" w:rsidRPr="00231ABC" w:rsidRDefault="00DE16DD" w:rsidP="00D5526F">
            <w:pPr>
              <w:rPr>
                <w:sz w:val="24"/>
              </w:rPr>
            </w:pPr>
            <w:r w:rsidRPr="00231ABC">
              <w:rPr>
                <w:sz w:val="24"/>
              </w:rPr>
              <w:t>Průmyslové části</w:t>
            </w:r>
          </w:p>
        </w:tc>
        <w:tc>
          <w:tcPr>
            <w:tcW w:w="1890" w:type="dxa"/>
            <w:tcBorders>
              <w:top w:val="single" w:sz="6" w:space="0" w:color="auto"/>
              <w:left w:val="nil"/>
              <w:bottom w:val="single" w:sz="6" w:space="0" w:color="auto"/>
              <w:right w:val="single" w:sz="6" w:space="0" w:color="auto"/>
            </w:tcBorders>
          </w:tcPr>
          <w:p w14:paraId="33B17A74" w14:textId="1A5426E6" w:rsidR="00DE16DD" w:rsidRPr="00A975CE" w:rsidRDefault="00DE16DD" w:rsidP="00D5526F">
            <w:pPr>
              <w:jc w:val="center"/>
              <w:rPr>
                <w:sz w:val="24"/>
              </w:rPr>
            </w:pPr>
            <w:r>
              <w:rPr>
                <w:sz w:val="24"/>
              </w:rPr>
              <w:t>743</w:t>
            </w:r>
          </w:p>
        </w:tc>
        <w:tc>
          <w:tcPr>
            <w:tcW w:w="1890" w:type="dxa"/>
            <w:tcBorders>
              <w:top w:val="single" w:sz="6" w:space="0" w:color="auto"/>
              <w:left w:val="single" w:sz="6" w:space="0" w:color="auto"/>
              <w:bottom w:val="single" w:sz="6" w:space="0" w:color="auto"/>
              <w:right w:val="single" w:sz="6" w:space="0" w:color="auto"/>
            </w:tcBorders>
          </w:tcPr>
          <w:p w14:paraId="3AB370AF" w14:textId="2D0C751B" w:rsidR="00DE16DD" w:rsidRPr="00A975CE" w:rsidRDefault="00DE16DD" w:rsidP="00D5526F">
            <w:pPr>
              <w:jc w:val="center"/>
              <w:rPr>
                <w:sz w:val="24"/>
              </w:rPr>
            </w:pPr>
            <w:r>
              <w:rPr>
                <w:sz w:val="24"/>
              </w:rPr>
              <w:t>90</w:t>
            </w:r>
          </w:p>
        </w:tc>
        <w:tc>
          <w:tcPr>
            <w:tcW w:w="1890" w:type="dxa"/>
            <w:tcBorders>
              <w:top w:val="single" w:sz="6" w:space="0" w:color="auto"/>
              <w:left w:val="single" w:sz="6" w:space="0" w:color="auto"/>
              <w:bottom w:val="single" w:sz="6" w:space="0" w:color="auto"/>
              <w:right w:val="single" w:sz="18" w:space="0" w:color="auto"/>
            </w:tcBorders>
          </w:tcPr>
          <w:p w14:paraId="10F6BA6D" w14:textId="3B83F0E9" w:rsidR="00DE16DD" w:rsidRPr="00A975CE" w:rsidRDefault="00DE16DD" w:rsidP="00D5526F">
            <w:pPr>
              <w:jc w:val="center"/>
              <w:rPr>
                <w:sz w:val="24"/>
              </w:rPr>
            </w:pPr>
            <w:r>
              <w:rPr>
                <w:sz w:val="24"/>
              </w:rPr>
              <w:t>2 500</w:t>
            </w:r>
          </w:p>
        </w:tc>
      </w:tr>
      <w:tr w:rsidR="00DE16DD" w:rsidRPr="00231ABC" w14:paraId="227CA35D" w14:textId="77777777" w:rsidTr="00D5526F">
        <w:tc>
          <w:tcPr>
            <w:tcW w:w="3261" w:type="dxa"/>
            <w:tcBorders>
              <w:top w:val="single" w:sz="6" w:space="0" w:color="auto"/>
              <w:left w:val="single" w:sz="18" w:space="0" w:color="auto"/>
              <w:bottom w:val="single" w:sz="18" w:space="0" w:color="auto"/>
              <w:right w:val="single" w:sz="18" w:space="0" w:color="auto"/>
            </w:tcBorders>
          </w:tcPr>
          <w:p w14:paraId="02ED9A3A" w14:textId="77777777" w:rsidR="00DE16DD" w:rsidRPr="00231ABC" w:rsidRDefault="00DE16DD" w:rsidP="00D5526F">
            <w:pPr>
              <w:rPr>
                <w:sz w:val="24"/>
              </w:rPr>
            </w:pPr>
            <w:r w:rsidRPr="00231ABC">
              <w:rPr>
                <w:sz w:val="24"/>
              </w:rPr>
              <w:t>Území mimo kompaktní město</w:t>
            </w:r>
          </w:p>
        </w:tc>
        <w:tc>
          <w:tcPr>
            <w:tcW w:w="1890" w:type="dxa"/>
            <w:tcBorders>
              <w:top w:val="single" w:sz="6" w:space="0" w:color="auto"/>
              <w:left w:val="nil"/>
              <w:bottom w:val="single" w:sz="18" w:space="0" w:color="auto"/>
              <w:right w:val="single" w:sz="6" w:space="0" w:color="auto"/>
            </w:tcBorders>
          </w:tcPr>
          <w:p w14:paraId="70424456" w14:textId="38157349" w:rsidR="00DE16DD" w:rsidRPr="00A975CE" w:rsidRDefault="00DE16DD" w:rsidP="00D5526F">
            <w:pPr>
              <w:jc w:val="center"/>
              <w:rPr>
                <w:sz w:val="24"/>
              </w:rPr>
            </w:pPr>
            <w:r>
              <w:rPr>
                <w:sz w:val="24"/>
              </w:rPr>
              <w:t>1 120</w:t>
            </w:r>
          </w:p>
        </w:tc>
        <w:tc>
          <w:tcPr>
            <w:tcW w:w="1890" w:type="dxa"/>
            <w:tcBorders>
              <w:top w:val="single" w:sz="6" w:space="0" w:color="auto"/>
              <w:left w:val="single" w:sz="6" w:space="0" w:color="auto"/>
              <w:bottom w:val="single" w:sz="18" w:space="0" w:color="auto"/>
              <w:right w:val="single" w:sz="6" w:space="0" w:color="auto"/>
            </w:tcBorders>
          </w:tcPr>
          <w:p w14:paraId="394489F6" w14:textId="6B1D6B9F" w:rsidR="00DE16DD" w:rsidRPr="00A975CE" w:rsidRDefault="00DE16DD" w:rsidP="00D5526F">
            <w:pPr>
              <w:jc w:val="center"/>
              <w:rPr>
                <w:sz w:val="24"/>
              </w:rPr>
            </w:pPr>
            <w:r>
              <w:rPr>
                <w:sz w:val="24"/>
              </w:rPr>
              <w:t>180</w:t>
            </w:r>
          </w:p>
        </w:tc>
        <w:tc>
          <w:tcPr>
            <w:tcW w:w="1890" w:type="dxa"/>
            <w:tcBorders>
              <w:top w:val="single" w:sz="6" w:space="0" w:color="auto"/>
              <w:left w:val="single" w:sz="6" w:space="0" w:color="auto"/>
              <w:bottom w:val="single" w:sz="18" w:space="0" w:color="auto"/>
              <w:right w:val="single" w:sz="18" w:space="0" w:color="auto"/>
            </w:tcBorders>
          </w:tcPr>
          <w:p w14:paraId="156D705F" w14:textId="3C1EEE0A" w:rsidR="00DE16DD" w:rsidRPr="00A975CE" w:rsidRDefault="00DE16DD" w:rsidP="00D5526F">
            <w:pPr>
              <w:jc w:val="center"/>
              <w:rPr>
                <w:sz w:val="24"/>
              </w:rPr>
            </w:pPr>
            <w:r>
              <w:rPr>
                <w:sz w:val="24"/>
              </w:rPr>
              <w:t>1 573</w:t>
            </w:r>
          </w:p>
        </w:tc>
      </w:tr>
    </w:tbl>
    <w:p w14:paraId="0EE1CB73" w14:textId="60CEA564" w:rsidR="00D127EC" w:rsidRPr="00231ABC" w:rsidRDefault="00D127EC" w:rsidP="00D127EC">
      <w:pPr>
        <w:pStyle w:val="Zhlav"/>
        <w:tabs>
          <w:tab w:val="clear" w:pos="4536"/>
          <w:tab w:val="clear" w:pos="9072"/>
        </w:tabs>
        <w:spacing w:before="120"/>
      </w:pPr>
      <w:r>
        <w:t>CM 2021</w:t>
      </w:r>
    </w:p>
    <w:tbl>
      <w:tblPr>
        <w:tblW w:w="0" w:type="auto"/>
        <w:tblInd w:w="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61"/>
        <w:gridCol w:w="1890"/>
        <w:gridCol w:w="1890"/>
        <w:gridCol w:w="1890"/>
      </w:tblGrid>
      <w:tr w:rsidR="00D127EC" w:rsidRPr="00A975CE" w14:paraId="50FA439A" w14:textId="77777777" w:rsidTr="009C240A">
        <w:trPr>
          <w:cantSplit/>
        </w:trPr>
        <w:tc>
          <w:tcPr>
            <w:tcW w:w="3261" w:type="dxa"/>
            <w:vMerge w:val="restart"/>
            <w:tcBorders>
              <w:top w:val="single" w:sz="18" w:space="0" w:color="auto"/>
              <w:left w:val="single" w:sz="18" w:space="0" w:color="auto"/>
              <w:right w:val="single" w:sz="18" w:space="0" w:color="auto"/>
            </w:tcBorders>
            <w:vAlign w:val="center"/>
          </w:tcPr>
          <w:p w14:paraId="0746B8BF" w14:textId="77777777" w:rsidR="00D127EC" w:rsidRPr="00A975CE" w:rsidRDefault="00D127EC" w:rsidP="009C240A">
            <w:pPr>
              <w:pStyle w:val="Nadpis1"/>
              <w:jc w:val="center"/>
              <w:rPr>
                <w:b/>
              </w:rPr>
            </w:pPr>
            <w:r w:rsidRPr="00A975CE">
              <w:rPr>
                <w:b/>
              </w:rPr>
              <w:t>Poloha</w:t>
            </w:r>
          </w:p>
        </w:tc>
        <w:tc>
          <w:tcPr>
            <w:tcW w:w="5670" w:type="dxa"/>
            <w:gridSpan w:val="3"/>
            <w:tcBorders>
              <w:top w:val="single" w:sz="18" w:space="0" w:color="auto"/>
              <w:left w:val="nil"/>
              <w:bottom w:val="nil"/>
              <w:right w:val="single" w:sz="18" w:space="0" w:color="auto"/>
            </w:tcBorders>
          </w:tcPr>
          <w:p w14:paraId="3F2A332E" w14:textId="77777777" w:rsidR="00D127EC" w:rsidRPr="00A975CE" w:rsidRDefault="00D127EC" w:rsidP="009C240A">
            <w:pPr>
              <w:jc w:val="center"/>
              <w:rPr>
                <w:b/>
                <w:sz w:val="24"/>
              </w:rPr>
            </w:pPr>
            <w:r w:rsidRPr="00A975CE">
              <w:rPr>
                <w:b/>
                <w:sz w:val="24"/>
              </w:rPr>
              <w:t>Kč/m</w:t>
            </w:r>
            <w:r w:rsidRPr="00A975CE">
              <w:rPr>
                <w:b/>
                <w:sz w:val="24"/>
                <w:vertAlign w:val="superscript"/>
              </w:rPr>
              <w:t>2</w:t>
            </w:r>
            <w:r w:rsidRPr="00A975CE">
              <w:rPr>
                <w:b/>
                <w:sz w:val="24"/>
              </w:rPr>
              <w:t xml:space="preserve"> </w:t>
            </w:r>
          </w:p>
        </w:tc>
      </w:tr>
      <w:tr w:rsidR="00D127EC" w:rsidRPr="00A975CE" w14:paraId="589518F9" w14:textId="77777777" w:rsidTr="009C240A">
        <w:tc>
          <w:tcPr>
            <w:tcW w:w="3261" w:type="dxa"/>
            <w:vMerge/>
            <w:tcBorders>
              <w:left w:val="single" w:sz="18" w:space="0" w:color="auto"/>
              <w:bottom w:val="single" w:sz="18" w:space="0" w:color="auto"/>
              <w:right w:val="single" w:sz="18" w:space="0" w:color="auto"/>
            </w:tcBorders>
          </w:tcPr>
          <w:p w14:paraId="2C004742" w14:textId="77777777" w:rsidR="00D127EC" w:rsidRPr="00A975CE" w:rsidRDefault="00D127EC" w:rsidP="009C240A">
            <w:pPr>
              <w:pStyle w:val="Nadpis1"/>
            </w:pPr>
          </w:p>
        </w:tc>
        <w:tc>
          <w:tcPr>
            <w:tcW w:w="1890" w:type="dxa"/>
            <w:tcBorders>
              <w:top w:val="single" w:sz="12" w:space="0" w:color="auto"/>
              <w:left w:val="nil"/>
              <w:bottom w:val="single" w:sz="18" w:space="0" w:color="auto"/>
              <w:right w:val="single" w:sz="6" w:space="0" w:color="auto"/>
            </w:tcBorders>
          </w:tcPr>
          <w:p w14:paraId="21BA806D" w14:textId="77777777" w:rsidR="00D127EC" w:rsidRPr="00A975CE" w:rsidRDefault="00D127EC" w:rsidP="009C240A">
            <w:pPr>
              <w:jc w:val="center"/>
              <w:rPr>
                <w:b/>
                <w:sz w:val="24"/>
              </w:rPr>
            </w:pPr>
            <w:r w:rsidRPr="00A975CE">
              <w:rPr>
                <w:b/>
                <w:sz w:val="24"/>
              </w:rPr>
              <w:t>Průměrná cena</w:t>
            </w:r>
          </w:p>
        </w:tc>
        <w:tc>
          <w:tcPr>
            <w:tcW w:w="1890" w:type="dxa"/>
            <w:tcBorders>
              <w:top w:val="single" w:sz="12" w:space="0" w:color="auto"/>
              <w:left w:val="single" w:sz="6" w:space="0" w:color="auto"/>
              <w:bottom w:val="single" w:sz="18" w:space="0" w:color="auto"/>
              <w:right w:val="single" w:sz="6" w:space="0" w:color="auto"/>
            </w:tcBorders>
          </w:tcPr>
          <w:p w14:paraId="0ADD9A16" w14:textId="77777777" w:rsidR="00D127EC" w:rsidRPr="00A975CE" w:rsidRDefault="00D127EC" w:rsidP="009C240A">
            <w:pPr>
              <w:jc w:val="center"/>
              <w:rPr>
                <w:b/>
                <w:sz w:val="24"/>
              </w:rPr>
            </w:pPr>
            <w:r w:rsidRPr="00A975CE">
              <w:rPr>
                <w:b/>
                <w:sz w:val="24"/>
              </w:rPr>
              <w:t>Minimální cena</w:t>
            </w:r>
          </w:p>
        </w:tc>
        <w:tc>
          <w:tcPr>
            <w:tcW w:w="1890" w:type="dxa"/>
            <w:tcBorders>
              <w:top w:val="single" w:sz="12" w:space="0" w:color="auto"/>
              <w:left w:val="single" w:sz="6" w:space="0" w:color="auto"/>
              <w:bottom w:val="single" w:sz="18" w:space="0" w:color="auto"/>
              <w:right w:val="single" w:sz="18" w:space="0" w:color="auto"/>
            </w:tcBorders>
          </w:tcPr>
          <w:p w14:paraId="726CF237" w14:textId="77777777" w:rsidR="00D127EC" w:rsidRPr="00A975CE" w:rsidRDefault="00D127EC" w:rsidP="009C240A">
            <w:pPr>
              <w:jc w:val="center"/>
              <w:rPr>
                <w:b/>
                <w:sz w:val="24"/>
              </w:rPr>
            </w:pPr>
            <w:r w:rsidRPr="00A975CE">
              <w:rPr>
                <w:b/>
                <w:sz w:val="24"/>
              </w:rPr>
              <w:t>Maximální cena</w:t>
            </w:r>
          </w:p>
        </w:tc>
      </w:tr>
      <w:tr w:rsidR="00D127EC" w:rsidRPr="00A975CE" w14:paraId="3ED27E61" w14:textId="77777777" w:rsidTr="009C240A">
        <w:tc>
          <w:tcPr>
            <w:tcW w:w="3261" w:type="dxa"/>
            <w:tcBorders>
              <w:top w:val="nil"/>
              <w:left w:val="single" w:sz="18" w:space="0" w:color="auto"/>
              <w:bottom w:val="single" w:sz="6" w:space="0" w:color="auto"/>
              <w:right w:val="single" w:sz="18" w:space="0" w:color="auto"/>
            </w:tcBorders>
          </w:tcPr>
          <w:p w14:paraId="6AEBDEFF" w14:textId="77777777" w:rsidR="00D127EC" w:rsidRPr="00A975CE" w:rsidRDefault="00D127EC" w:rsidP="009C240A">
            <w:pPr>
              <w:rPr>
                <w:sz w:val="24"/>
              </w:rPr>
            </w:pPr>
            <w:r w:rsidRPr="00A975CE">
              <w:rPr>
                <w:sz w:val="24"/>
              </w:rPr>
              <w:t>Vnitřní město</w:t>
            </w:r>
          </w:p>
        </w:tc>
        <w:tc>
          <w:tcPr>
            <w:tcW w:w="1890" w:type="dxa"/>
            <w:tcBorders>
              <w:top w:val="nil"/>
              <w:left w:val="nil"/>
              <w:bottom w:val="single" w:sz="6" w:space="0" w:color="auto"/>
              <w:right w:val="single" w:sz="6" w:space="0" w:color="auto"/>
            </w:tcBorders>
          </w:tcPr>
          <w:p w14:paraId="75D6D4F8" w14:textId="4F22EC6B" w:rsidR="00D127EC" w:rsidRPr="00231ABC" w:rsidRDefault="00D127EC" w:rsidP="00D127EC">
            <w:pPr>
              <w:jc w:val="center"/>
              <w:rPr>
                <w:sz w:val="24"/>
              </w:rPr>
            </w:pPr>
            <w:r>
              <w:rPr>
                <w:sz w:val="24"/>
              </w:rPr>
              <w:t>711</w:t>
            </w:r>
          </w:p>
        </w:tc>
        <w:tc>
          <w:tcPr>
            <w:tcW w:w="1890" w:type="dxa"/>
            <w:tcBorders>
              <w:top w:val="nil"/>
              <w:left w:val="single" w:sz="6" w:space="0" w:color="auto"/>
              <w:bottom w:val="single" w:sz="6" w:space="0" w:color="auto"/>
              <w:right w:val="single" w:sz="6" w:space="0" w:color="auto"/>
            </w:tcBorders>
          </w:tcPr>
          <w:p w14:paraId="4DB5235B" w14:textId="7EDDF8FD" w:rsidR="00D127EC" w:rsidRPr="00231ABC" w:rsidRDefault="00D127EC" w:rsidP="009C240A">
            <w:pPr>
              <w:jc w:val="center"/>
              <w:rPr>
                <w:sz w:val="24"/>
              </w:rPr>
            </w:pPr>
            <w:r>
              <w:rPr>
                <w:sz w:val="24"/>
              </w:rPr>
              <w:t>82</w:t>
            </w:r>
          </w:p>
        </w:tc>
        <w:tc>
          <w:tcPr>
            <w:tcW w:w="1890" w:type="dxa"/>
            <w:tcBorders>
              <w:top w:val="nil"/>
              <w:left w:val="single" w:sz="6" w:space="0" w:color="auto"/>
              <w:bottom w:val="single" w:sz="6" w:space="0" w:color="auto"/>
              <w:right w:val="single" w:sz="18" w:space="0" w:color="auto"/>
            </w:tcBorders>
          </w:tcPr>
          <w:p w14:paraId="391A3E3D" w14:textId="68C54BFA" w:rsidR="00D127EC" w:rsidRPr="00231ABC" w:rsidRDefault="00D127EC" w:rsidP="00D127EC">
            <w:pPr>
              <w:jc w:val="center"/>
              <w:rPr>
                <w:sz w:val="24"/>
              </w:rPr>
            </w:pPr>
            <w:r>
              <w:rPr>
                <w:sz w:val="24"/>
              </w:rPr>
              <w:t>5 651</w:t>
            </w:r>
          </w:p>
        </w:tc>
      </w:tr>
      <w:tr w:rsidR="00D127EC" w:rsidRPr="00A975CE" w14:paraId="213A8F06" w14:textId="77777777" w:rsidTr="009C240A">
        <w:tc>
          <w:tcPr>
            <w:tcW w:w="3261" w:type="dxa"/>
            <w:tcBorders>
              <w:top w:val="single" w:sz="6" w:space="0" w:color="auto"/>
              <w:left w:val="single" w:sz="18" w:space="0" w:color="auto"/>
              <w:bottom w:val="single" w:sz="6" w:space="0" w:color="auto"/>
              <w:right w:val="single" w:sz="18" w:space="0" w:color="auto"/>
            </w:tcBorders>
          </w:tcPr>
          <w:p w14:paraId="2C472F5F" w14:textId="77777777" w:rsidR="00D127EC" w:rsidRPr="00A975CE" w:rsidRDefault="00D127EC" w:rsidP="009C240A">
            <w:pPr>
              <w:rPr>
                <w:sz w:val="24"/>
              </w:rPr>
            </w:pPr>
            <w:r w:rsidRPr="00A975CE">
              <w:rPr>
                <w:sz w:val="24"/>
              </w:rPr>
              <w:t>Okrajová část vnitřního města</w:t>
            </w:r>
          </w:p>
        </w:tc>
        <w:tc>
          <w:tcPr>
            <w:tcW w:w="1890" w:type="dxa"/>
            <w:tcBorders>
              <w:top w:val="single" w:sz="6" w:space="0" w:color="auto"/>
              <w:left w:val="nil"/>
              <w:bottom w:val="single" w:sz="6" w:space="0" w:color="auto"/>
              <w:right w:val="single" w:sz="6" w:space="0" w:color="auto"/>
            </w:tcBorders>
          </w:tcPr>
          <w:p w14:paraId="41F12B13" w14:textId="2D98A8C5" w:rsidR="00D127EC" w:rsidRPr="00231ABC" w:rsidRDefault="00D127EC" w:rsidP="009C240A">
            <w:pPr>
              <w:jc w:val="center"/>
              <w:rPr>
                <w:sz w:val="24"/>
              </w:rPr>
            </w:pPr>
            <w:r>
              <w:rPr>
                <w:sz w:val="24"/>
              </w:rPr>
              <w:t>728</w:t>
            </w:r>
          </w:p>
        </w:tc>
        <w:tc>
          <w:tcPr>
            <w:tcW w:w="1890" w:type="dxa"/>
            <w:tcBorders>
              <w:top w:val="single" w:sz="6" w:space="0" w:color="auto"/>
              <w:left w:val="single" w:sz="6" w:space="0" w:color="auto"/>
              <w:bottom w:val="single" w:sz="6" w:space="0" w:color="auto"/>
              <w:right w:val="single" w:sz="6" w:space="0" w:color="auto"/>
            </w:tcBorders>
          </w:tcPr>
          <w:p w14:paraId="5C0E5064" w14:textId="77777777" w:rsidR="00D127EC" w:rsidRPr="00231ABC" w:rsidRDefault="00D127EC" w:rsidP="009C240A">
            <w:pPr>
              <w:jc w:val="center"/>
              <w:rPr>
                <w:sz w:val="24"/>
              </w:rPr>
            </w:pPr>
            <w:r>
              <w:rPr>
                <w:sz w:val="24"/>
              </w:rPr>
              <w:t>100</w:t>
            </w:r>
          </w:p>
        </w:tc>
        <w:tc>
          <w:tcPr>
            <w:tcW w:w="1890" w:type="dxa"/>
            <w:tcBorders>
              <w:top w:val="single" w:sz="6" w:space="0" w:color="auto"/>
              <w:left w:val="single" w:sz="6" w:space="0" w:color="auto"/>
              <w:bottom w:val="single" w:sz="6" w:space="0" w:color="auto"/>
              <w:right w:val="single" w:sz="18" w:space="0" w:color="auto"/>
            </w:tcBorders>
          </w:tcPr>
          <w:p w14:paraId="2C2EFA06" w14:textId="51A3D19B" w:rsidR="00D127EC" w:rsidRPr="00231ABC" w:rsidRDefault="00D127EC" w:rsidP="00D127EC">
            <w:pPr>
              <w:jc w:val="center"/>
              <w:rPr>
                <w:sz w:val="24"/>
              </w:rPr>
            </w:pPr>
            <w:r>
              <w:rPr>
                <w:sz w:val="24"/>
              </w:rPr>
              <w:t>2 005</w:t>
            </w:r>
          </w:p>
        </w:tc>
      </w:tr>
      <w:tr w:rsidR="00D127EC" w:rsidRPr="00A975CE" w14:paraId="583C5B60" w14:textId="77777777" w:rsidTr="009C240A">
        <w:tc>
          <w:tcPr>
            <w:tcW w:w="3261" w:type="dxa"/>
            <w:tcBorders>
              <w:top w:val="single" w:sz="6" w:space="0" w:color="auto"/>
              <w:left w:val="single" w:sz="18" w:space="0" w:color="auto"/>
              <w:bottom w:val="single" w:sz="6" w:space="0" w:color="auto"/>
              <w:right w:val="single" w:sz="18" w:space="0" w:color="auto"/>
            </w:tcBorders>
          </w:tcPr>
          <w:p w14:paraId="5E8DA0A9" w14:textId="77777777" w:rsidR="00D127EC" w:rsidRPr="00A975CE" w:rsidRDefault="00D127EC" w:rsidP="009C240A">
            <w:pPr>
              <w:rPr>
                <w:sz w:val="24"/>
              </w:rPr>
            </w:pPr>
            <w:r w:rsidRPr="00A975CE">
              <w:rPr>
                <w:sz w:val="24"/>
              </w:rPr>
              <w:t>Průmyslové části</w:t>
            </w:r>
          </w:p>
        </w:tc>
        <w:tc>
          <w:tcPr>
            <w:tcW w:w="1890" w:type="dxa"/>
            <w:tcBorders>
              <w:top w:val="single" w:sz="6" w:space="0" w:color="auto"/>
              <w:left w:val="nil"/>
              <w:bottom w:val="single" w:sz="6" w:space="0" w:color="auto"/>
              <w:right w:val="single" w:sz="6" w:space="0" w:color="auto"/>
            </w:tcBorders>
          </w:tcPr>
          <w:p w14:paraId="7A59582B" w14:textId="39C8CB1A" w:rsidR="00D127EC" w:rsidRPr="00231ABC" w:rsidRDefault="00D127EC" w:rsidP="00D127EC">
            <w:pPr>
              <w:jc w:val="center"/>
              <w:rPr>
                <w:sz w:val="24"/>
              </w:rPr>
            </w:pPr>
            <w:r>
              <w:rPr>
                <w:sz w:val="24"/>
              </w:rPr>
              <w:t>645</w:t>
            </w:r>
          </w:p>
        </w:tc>
        <w:tc>
          <w:tcPr>
            <w:tcW w:w="1890" w:type="dxa"/>
            <w:tcBorders>
              <w:top w:val="single" w:sz="6" w:space="0" w:color="auto"/>
              <w:left w:val="single" w:sz="6" w:space="0" w:color="auto"/>
              <w:bottom w:val="single" w:sz="6" w:space="0" w:color="auto"/>
              <w:right w:val="single" w:sz="6" w:space="0" w:color="auto"/>
            </w:tcBorders>
          </w:tcPr>
          <w:p w14:paraId="50987596" w14:textId="4887B40B" w:rsidR="00D127EC" w:rsidRPr="00231ABC" w:rsidRDefault="00D127EC" w:rsidP="00D127EC">
            <w:pPr>
              <w:jc w:val="center"/>
              <w:rPr>
                <w:sz w:val="24"/>
              </w:rPr>
            </w:pPr>
            <w:r>
              <w:rPr>
                <w:sz w:val="24"/>
              </w:rPr>
              <w:t>198</w:t>
            </w:r>
          </w:p>
        </w:tc>
        <w:tc>
          <w:tcPr>
            <w:tcW w:w="1890" w:type="dxa"/>
            <w:tcBorders>
              <w:top w:val="single" w:sz="6" w:space="0" w:color="auto"/>
              <w:left w:val="single" w:sz="6" w:space="0" w:color="auto"/>
              <w:bottom w:val="single" w:sz="6" w:space="0" w:color="auto"/>
              <w:right w:val="single" w:sz="18" w:space="0" w:color="auto"/>
            </w:tcBorders>
          </w:tcPr>
          <w:p w14:paraId="03E3E106" w14:textId="25A6EC7D" w:rsidR="00D127EC" w:rsidRPr="00231ABC" w:rsidRDefault="00D127EC" w:rsidP="009C240A">
            <w:pPr>
              <w:jc w:val="center"/>
              <w:rPr>
                <w:sz w:val="24"/>
              </w:rPr>
            </w:pPr>
            <w:r>
              <w:rPr>
                <w:sz w:val="24"/>
              </w:rPr>
              <w:t>5 111</w:t>
            </w:r>
          </w:p>
        </w:tc>
      </w:tr>
      <w:tr w:rsidR="00D127EC" w:rsidRPr="00231ABC" w14:paraId="3C3605A4" w14:textId="77777777" w:rsidTr="009C240A">
        <w:tc>
          <w:tcPr>
            <w:tcW w:w="3261" w:type="dxa"/>
            <w:tcBorders>
              <w:top w:val="single" w:sz="6" w:space="0" w:color="auto"/>
              <w:left w:val="single" w:sz="18" w:space="0" w:color="auto"/>
              <w:bottom w:val="single" w:sz="18" w:space="0" w:color="auto"/>
              <w:right w:val="single" w:sz="18" w:space="0" w:color="auto"/>
            </w:tcBorders>
          </w:tcPr>
          <w:p w14:paraId="1E8A548F" w14:textId="77777777" w:rsidR="00D127EC" w:rsidRPr="00A975CE" w:rsidRDefault="00D127EC" w:rsidP="009C240A">
            <w:pPr>
              <w:rPr>
                <w:sz w:val="24"/>
              </w:rPr>
            </w:pPr>
            <w:r w:rsidRPr="00A975CE">
              <w:rPr>
                <w:sz w:val="24"/>
              </w:rPr>
              <w:t>Území mimo kompaktní město</w:t>
            </w:r>
          </w:p>
        </w:tc>
        <w:tc>
          <w:tcPr>
            <w:tcW w:w="1890" w:type="dxa"/>
            <w:tcBorders>
              <w:top w:val="single" w:sz="6" w:space="0" w:color="auto"/>
              <w:left w:val="nil"/>
              <w:bottom w:val="single" w:sz="18" w:space="0" w:color="auto"/>
              <w:right w:val="single" w:sz="6" w:space="0" w:color="auto"/>
            </w:tcBorders>
          </w:tcPr>
          <w:p w14:paraId="3BDAADE4" w14:textId="7E726D4F" w:rsidR="00D127EC" w:rsidRPr="00231ABC" w:rsidRDefault="00D127EC" w:rsidP="00D127EC">
            <w:pPr>
              <w:jc w:val="center"/>
              <w:rPr>
                <w:sz w:val="24"/>
              </w:rPr>
            </w:pPr>
            <w:r>
              <w:rPr>
                <w:sz w:val="24"/>
              </w:rPr>
              <w:t>387</w:t>
            </w:r>
          </w:p>
        </w:tc>
        <w:tc>
          <w:tcPr>
            <w:tcW w:w="1890" w:type="dxa"/>
            <w:tcBorders>
              <w:top w:val="single" w:sz="6" w:space="0" w:color="auto"/>
              <w:left w:val="single" w:sz="6" w:space="0" w:color="auto"/>
              <w:bottom w:val="single" w:sz="18" w:space="0" w:color="auto"/>
              <w:right w:val="single" w:sz="6" w:space="0" w:color="auto"/>
            </w:tcBorders>
          </w:tcPr>
          <w:p w14:paraId="4F4DE9A8" w14:textId="12586489" w:rsidR="00D127EC" w:rsidRPr="00231ABC" w:rsidRDefault="00D127EC" w:rsidP="00D127EC">
            <w:pPr>
              <w:jc w:val="center"/>
              <w:rPr>
                <w:sz w:val="24"/>
              </w:rPr>
            </w:pPr>
            <w:r>
              <w:rPr>
                <w:sz w:val="24"/>
              </w:rPr>
              <w:t>100</w:t>
            </w:r>
          </w:p>
        </w:tc>
        <w:tc>
          <w:tcPr>
            <w:tcW w:w="1890" w:type="dxa"/>
            <w:tcBorders>
              <w:top w:val="single" w:sz="6" w:space="0" w:color="auto"/>
              <w:left w:val="single" w:sz="6" w:space="0" w:color="auto"/>
              <w:bottom w:val="single" w:sz="18" w:space="0" w:color="auto"/>
              <w:right w:val="single" w:sz="18" w:space="0" w:color="auto"/>
            </w:tcBorders>
          </w:tcPr>
          <w:p w14:paraId="7B09A619" w14:textId="591351BD" w:rsidR="00D127EC" w:rsidRPr="00231ABC" w:rsidRDefault="00D127EC" w:rsidP="00D127EC">
            <w:pPr>
              <w:jc w:val="center"/>
              <w:rPr>
                <w:sz w:val="24"/>
              </w:rPr>
            </w:pPr>
            <w:r>
              <w:rPr>
                <w:sz w:val="24"/>
              </w:rPr>
              <w:t>2 492</w:t>
            </w:r>
          </w:p>
        </w:tc>
      </w:tr>
    </w:tbl>
    <w:p w14:paraId="7CDF65A0" w14:textId="290C3D91" w:rsidR="00263353" w:rsidRPr="00231ABC" w:rsidRDefault="00263353" w:rsidP="00263353">
      <w:pPr>
        <w:pStyle w:val="Zhlav"/>
        <w:tabs>
          <w:tab w:val="clear" w:pos="4536"/>
          <w:tab w:val="clear" w:pos="9072"/>
        </w:tabs>
        <w:spacing w:before="120"/>
      </w:pPr>
      <w:r w:rsidRPr="00231ABC">
        <w:t>CM 20</w:t>
      </w:r>
      <w:r>
        <w:t>22</w:t>
      </w:r>
      <w:r w:rsidRPr="00231ABC">
        <w:tab/>
      </w:r>
      <w:r w:rsidRPr="00231ABC">
        <w:tab/>
      </w: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61"/>
        <w:gridCol w:w="1890"/>
        <w:gridCol w:w="1890"/>
        <w:gridCol w:w="1890"/>
      </w:tblGrid>
      <w:tr w:rsidR="00263353" w:rsidRPr="00231ABC" w14:paraId="23D4205E" w14:textId="77777777" w:rsidTr="00CB2F62">
        <w:trPr>
          <w:cantSplit/>
        </w:trPr>
        <w:tc>
          <w:tcPr>
            <w:tcW w:w="3261" w:type="dxa"/>
            <w:vMerge w:val="restart"/>
            <w:tcBorders>
              <w:top w:val="single" w:sz="18" w:space="0" w:color="auto"/>
              <w:left w:val="single" w:sz="18" w:space="0" w:color="auto"/>
              <w:right w:val="single" w:sz="18" w:space="0" w:color="auto"/>
            </w:tcBorders>
            <w:vAlign w:val="center"/>
          </w:tcPr>
          <w:p w14:paraId="214A97C6" w14:textId="77777777" w:rsidR="00263353" w:rsidRPr="00231ABC" w:rsidRDefault="00263353" w:rsidP="00CB2F62">
            <w:pPr>
              <w:pStyle w:val="Nadpis1"/>
              <w:jc w:val="center"/>
              <w:rPr>
                <w:b/>
              </w:rPr>
            </w:pPr>
            <w:r w:rsidRPr="00231ABC">
              <w:rPr>
                <w:b/>
              </w:rPr>
              <w:t>Poloha</w:t>
            </w:r>
          </w:p>
        </w:tc>
        <w:tc>
          <w:tcPr>
            <w:tcW w:w="5670" w:type="dxa"/>
            <w:gridSpan w:val="3"/>
            <w:tcBorders>
              <w:top w:val="single" w:sz="18" w:space="0" w:color="auto"/>
              <w:left w:val="nil"/>
              <w:bottom w:val="nil"/>
              <w:right w:val="single" w:sz="18" w:space="0" w:color="auto"/>
            </w:tcBorders>
          </w:tcPr>
          <w:p w14:paraId="45AD48F1" w14:textId="77777777" w:rsidR="00263353" w:rsidRPr="00231ABC" w:rsidRDefault="00263353" w:rsidP="00CB2F62">
            <w:pPr>
              <w:jc w:val="center"/>
              <w:rPr>
                <w:b/>
                <w:sz w:val="24"/>
              </w:rPr>
            </w:pPr>
            <w:r w:rsidRPr="00231ABC">
              <w:rPr>
                <w:b/>
                <w:sz w:val="24"/>
              </w:rPr>
              <w:t>Kč/m</w:t>
            </w:r>
            <w:r w:rsidRPr="00231ABC">
              <w:rPr>
                <w:b/>
                <w:sz w:val="24"/>
                <w:vertAlign w:val="superscript"/>
              </w:rPr>
              <w:t>2</w:t>
            </w:r>
            <w:r w:rsidRPr="00231ABC">
              <w:rPr>
                <w:b/>
                <w:sz w:val="24"/>
              </w:rPr>
              <w:t xml:space="preserve"> </w:t>
            </w:r>
          </w:p>
        </w:tc>
      </w:tr>
      <w:tr w:rsidR="00263353" w:rsidRPr="00231ABC" w14:paraId="36F3DA5E" w14:textId="77777777" w:rsidTr="00CB2F62">
        <w:tc>
          <w:tcPr>
            <w:tcW w:w="3261" w:type="dxa"/>
            <w:vMerge/>
            <w:tcBorders>
              <w:left w:val="single" w:sz="18" w:space="0" w:color="auto"/>
              <w:bottom w:val="single" w:sz="18" w:space="0" w:color="auto"/>
              <w:right w:val="single" w:sz="18" w:space="0" w:color="auto"/>
            </w:tcBorders>
            <w:vAlign w:val="center"/>
          </w:tcPr>
          <w:p w14:paraId="1BEA6F52" w14:textId="77777777" w:rsidR="00263353" w:rsidRPr="00231ABC" w:rsidRDefault="00263353" w:rsidP="00CB2F62">
            <w:pPr>
              <w:pStyle w:val="Nadpis1"/>
              <w:jc w:val="center"/>
              <w:rPr>
                <w:b/>
              </w:rPr>
            </w:pPr>
          </w:p>
        </w:tc>
        <w:tc>
          <w:tcPr>
            <w:tcW w:w="1890" w:type="dxa"/>
            <w:tcBorders>
              <w:top w:val="single" w:sz="12" w:space="0" w:color="auto"/>
              <w:left w:val="nil"/>
              <w:bottom w:val="single" w:sz="18" w:space="0" w:color="auto"/>
              <w:right w:val="single" w:sz="6" w:space="0" w:color="auto"/>
            </w:tcBorders>
          </w:tcPr>
          <w:p w14:paraId="0BBD66F9" w14:textId="77777777" w:rsidR="00263353" w:rsidRPr="00231ABC" w:rsidRDefault="00263353" w:rsidP="00CB2F62">
            <w:pPr>
              <w:jc w:val="center"/>
              <w:rPr>
                <w:b/>
                <w:sz w:val="24"/>
              </w:rPr>
            </w:pPr>
            <w:r w:rsidRPr="00231ABC">
              <w:rPr>
                <w:b/>
                <w:sz w:val="24"/>
              </w:rPr>
              <w:t>Průměrná cena</w:t>
            </w:r>
          </w:p>
        </w:tc>
        <w:tc>
          <w:tcPr>
            <w:tcW w:w="1890" w:type="dxa"/>
            <w:tcBorders>
              <w:top w:val="single" w:sz="12" w:space="0" w:color="auto"/>
              <w:left w:val="single" w:sz="6" w:space="0" w:color="auto"/>
              <w:bottom w:val="single" w:sz="18" w:space="0" w:color="auto"/>
              <w:right w:val="single" w:sz="6" w:space="0" w:color="auto"/>
            </w:tcBorders>
          </w:tcPr>
          <w:p w14:paraId="7C240B30" w14:textId="77777777" w:rsidR="00263353" w:rsidRPr="00231ABC" w:rsidRDefault="00263353" w:rsidP="00CB2F62">
            <w:pPr>
              <w:jc w:val="center"/>
              <w:rPr>
                <w:b/>
                <w:sz w:val="24"/>
              </w:rPr>
            </w:pPr>
            <w:r w:rsidRPr="00231ABC">
              <w:rPr>
                <w:b/>
                <w:sz w:val="24"/>
              </w:rPr>
              <w:t>Minimální cena</w:t>
            </w:r>
          </w:p>
        </w:tc>
        <w:tc>
          <w:tcPr>
            <w:tcW w:w="1890" w:type="dxa"/>
            <w:tcBorders>
              <w:top w:val="single" w:sz="12" w:space="0" w:color="auto"/>
              <w:left w:val="single" w:sz="6" w:space="0" w:color="auto"/>
              <w:bottom w:val="single" w:sz="18" w:space="0" w:color="auto"/>
              <w:right w:val="single" w:sz="18" w:space="0" w:color="auto"/>
            </w:tcBorders>
          </w:tcPr>
          <w:p w14:paraId="0DCE1B24" w14:textId="77777777" w:rsidR="00263353" w:rsidRPr="00231ABC" w:rsidRDefault="00263353" w:rsidP="00CB2F62">
            <w:pPr>
              <w:jc w:val="center"/>
              <w:rPr>
                <w:b/>
                <w:sz w:val="24"/>
              </w:rPr>
            </w:pPr>
            <w:r w:rsidRPr="00231ABC">
              <w:rPr>
                <w:b/>
                <w:sz w:val="24"/>
              </w:rPr>
              <w:t>Maximální cena</w:t>
            </w:r>
          </w:p>
        </w:tc>
      </w:tr>
      <w:tr w:rsidR="00263353" w:rsidRPr="00231ABC" w14:paraId="056B9BF0" w14:textId="77777777" w:rsidTr="00CB2F62">
        <w:tc>
          <w:tcPr>
            <w:tcW w:w="3261" w:type="dxa"/>
            <w:tcBorders>
              <w:top w:val="nil"/>
              <w:left w:val="single" w:sz="18" w:space="0" w:color="auto"/>
              <w:bottom w:val="single" w:sz="6" w:space="0" w:color="auto"/>
              <w:right w:val="single" w:sz="18" w:space="0" w:color="auto"/>
            </w:tcBorders>
          </w:tcPr>
          <w:p w14:paraId="440D1B05" w14:textId="77777777" w:rsidR="00263353" w:rsidRPr="00231ABC" w:rsidRDefault="00263353" w:rsidP="00CB2F62">
            <w:pPr>
              <w:rPr>
                <w:sz w:val="24"/>
              </w:rPr>
            </w:pPr>
            <w:r w:rsidRPr="00231ABC">
              <w:rPr>
                <w:sz w:val="24"/>
              </w:rPr>
              <w:t>Vnitřní město</w:t>
            </w:r>
          </w:p>
        </w:tc>
        <w:tc>
          <w:tcPr>
            <w:tcW w:w="1890" w:type="dxa"/>
            <w:tcBorders>
              <w:top w:val="nil"/>
              <w:left w:val="nil"/>
              <w:bottom w:val="single" w:sz="6" w:space="0" w:color="auto"/>
              <w:right w:val="single" w:sz="6" w:space="0" w:color="auto"/>
            </w:tcBorders>
          </w:tcPr>
          <w:p w14:paraId="45D2649C" w14:textId="66E115ED" w:rsidR="00263353" w:rsidRPr="00231ABC" w:rsidRDefault="00092F73" w:rsidP="00CB2F62">
            <w:pPr>
              <w:jc w:val="center"/>
              <w:rPr>
                <w:sz w:val="24"/>
              </w:rPr>
            </w:pPr>
            <w:r>
              <w:rPr>
                <w:sz w:val="24"/>
              </w:rPr>
              <w:t>1 874</w:t>
            </w:r>
          </w:p>
        </w:tc>
        <w:tc>
          <w:tcPr>
            <w:tcW w:w="1890" w:type="dxa"/>
            <w:tcBorders>
              <w:top w:val="nil"/>
              <w:left w:val="single" w:sz="6" w:space="0" w:color="auto"/>
              <w:bottom w:val="single" w:sz="6" w:space="0" w:color="auto"/>
              <w:right w:val="single" w:sz="6" w:space="0" w:color="auto"/>
            </w:tcBorders>
          </w:tcPr>
          <w:p w14:paraId="336A8DB0" w14:textId="74197F81" w:rsidR="00263353" w:rsidRPr="00231ABC" w:rsidRDefault="00092F73" w:rsidP="00CB2F62">
            <w:pPr>
              <w:jc w:val="center"/>
              <w:rPr>
                <w:sz w:val="24"/>
              </w:rPr>
            </w:pPr>
            <w:r>
              <w:rPr>
                <w:sz w:val="24"/>
              </w:rPr>
              <w:t>105</w:t>
            </w:r>
          </w:p>
        </w:tc>
        <w:tc>
          <w:tcPr>
            <w:tcW w:w="1890" w:type="dxa"/>
            <w:tcBorders>
              <w:top w:val="nil"/>
              <w:left w:val="single" w:sz="6" w:space="0" w:color="auto"/>
              <w:bottom w:val="single" w:sz="6" w:space="0" w:color="auto"/>
              <w:right w:val="single" w:sz="18" w:space="0" w:color="auto"/>
            </w:tcBorders>
          </w:tcPr>
          <w:p w14:paraId="19CA6AB0" w14:textId="16E43519" w:rsidR="00263353" w:rsidRPr="00231ABC" w:rsidRDefault="00092F73" w:rsidP="00092F73">
            <w:pPr>
              <w:jc w:val="center"/>
              <w:rPr>
                <w:sz w:val="24"/>
              </w:rPr>
            </w:pPr>
            <w:r>
              <w:rPr>
                <w:sz w:val="24"/>
              </w:rPr>
              <w:t>3</w:t>
            </w:r>
            <w:r w:rsidR="00263353">
              <w:rPr>
                <w:sz w:val="24"/>
              </w:rPr>
              <w:t xml:space="preserve"> </w:t>
            </w:r>
            <w:r>
              <w:rPr>
                <w:sz w:val="24"/>
              </w:rPr>
              <w:t>642</w:t>
            </w:r>
          </w:p>
        </w:tc>
      </w:tr>
      <w:tr w:rsidR="00263353" w:rsidRPr="00231ABC" w14:paraId="767BDCFF" w14:textId="77777777" w:rsidTr="00CB2F62">
        <w:tc>
          <w:tcPr>
            <w:tcW w:w="3261" w:type="dxa"/>
            <w:tcBorders>
              <w:top w:val="single" w:sz="6" w:space="0" w:color="auto"/>
              <w:left w:val="single" w:sz="18" w:space="0" w:color="auto"/>
              <w:bottom w:val="single" w:sz="6" w:space="0" w:color="auto"/>
              <w:right w:val="single" w:sz="18" w:space="0" w:color="auto"/>
            </w:tcBorders>
          </w:tcPr>
          <w:p w14:paraId="0C49E9EF" w14:textId="77777777" w:rsidR="00263353" w:rsidRPr="00231ABC" w:rsidRDefault="00263353" w:rsidP="00CB2F62">
            <w:pPr>
              <w:rPr>
                <w:sz w:val="24"/>
              </w:rPr>
            </w:pPr>
            <w:r w:rsidRPr="00231ABC">
              <w:rPr>
                <w:sz w:val="24"/>
              </w:rPr>
              <w:t>Okrajová část vnitřního města</w:t>
            </w:r>
          </w:p>
        </w:tc>
        <w:tc>
          <w:tcPr>
            <w:tcW w:w="1890" w:type="dxa"/>
            <w:tcBorders>
              <w:top w:val="single" w:sz="6" w:space="0" w:color="auto"/>
              <w:left w:val="nil"/>
              <w:bottom w:val="single" w:sz="6" w:space="0" w:color="auto"/>
              <w:right w:val="single" w:sz="6" w:space="0" w:color="auto"/>
            </w:tcBorders>
          </w:tcPr>
          <w:p w14:paraId="0AA01B97" w14:textId="0976E645" w:rsidR="00263353" w:rsidRPr="00231ABC" w:rsidRDefault="00092F73" w:rsidP="00092F73">
            <w:pPr>
              <w:jc w:val="center"/>
              <w:rPr>
                <w:sz w:val="24"/>
              </w:rPr>
            </w:pPr>
            <w:r>
              <w:rPr>
                <w:sz w:val="24"/>
              </w:rPr>
              <w:t>1 084</w:t>
            </w:r>
          </w:p>
        </w:tc>
        <w:tc>
          <w:tcPr>
            <w:tcW w:w="1890" w:type="dxa"/>
            <w:tcBorders>
              <w:top w:val="single" w:sz="6" w:space="0" w:color="auto"/>
              <w:left w:val="single" w:sz="6" w:space="0" w:color="auto"/>
              <w:bottom w:val="single" w:sz="6" w:space="0" w:color="auto"/>
              <w:right w:val="single" w:sz="6" w:space="0" w:color="auto"/>
            </w:tcBorders>
          </w:tcPr>
          <w:p w14:paraId="3B4F3850" w14:textId="5DC33FB8" w:rsidR="00263353" w:rsidRPr="00231ABC" w:rsidRDefault="00092F73" w:rsidP="00CB2F62">
            <w:pPr>
              <w:jc w:val="center"/>
              <w:rPr>
                <w:sz w:val="24"/>
              </w:rPr>
            </w:pPr>
            <w:r>
              <w:rPr>
                <w:sz w:val="24"/>
              </w:rPr>
              <w:t>200</w:t>
            </w:r>
          </w:p>
        </w:tc>
        <w:tc>
          <w:tcPr>
            <w:tcW w:w="1890" w:type="dxa"/>
            <w:tcBorders>
              <w:top w:val="single" w:sz="6" w:space="0" w:color="auto"/>
              <w:left w:val="single" w:sz="6" w:space="0" w:color="auto"/>
              <w:bottom w:val="single" w:sz="6" w:space="0" w:color="auto"/>
              <w:right w:val="single" w:sz="18" w:space="0" w:color="auto"/>
            </w:tcBorders>
          </w:tcPr>
          <w:p w14:paraId="69302156" w14:textId="08BA9777" w:rsidR="00263353" w:rsidRPr="00231ABC" w:rsidRDefault="00092F73" w:rsidP="00092F73">
            <w:pPr>
              <w:jc w:val="center"/>
              <w:rPr>
                <w:sz w:val="24"/>
              </w:rPr>
            </w:pPr>
            <w:r>
              <w:rPr>
                <w:sz w:val="24"/>
              </w:rPr>
              <w:t>2</w:t>
            </w:r>
            <w:r w:rsidR="00263353">
              <w:rPr>
                <w:sz w:val="24"/>
              </w:rPr>
              <w:t xml:space="preserve"> </w:t>
            </w:r>
            <w:r>
              <w:rPr>
                <w:sz w:val="24"/>
              </w:rPr>
              <w:t>652</w:t>
            </w:r>
          </w:p>
        </w:tc>
      </w:tr>
      <w:tr w:rsidR="00263353" w:rsidRPr="00231ABC" w14:paraId="03FA70DA" w14:textId="77777777" w:rsidTr="00CB2F62">
        <w:tc>
          <w:tcPr>
            <w:tcW w:w="3261" w:type="dxa"/>
            <w:tcBorders>
              <w:top w:val="single" w:sz="6" w:space="0" w:color="auto"/>
              <w:left w:val="single" w:sz="18" w:space="0" w:color="auto"/>
              <w:bottom w:val="single" w:sz="6" w:space="0" w:color="auto"/>
              <w:right w:val="single" w:sz="18" w:space="0" w:color="auto"/>
            </w:tcBorders>
          </w:tcPr>
          <w:p w14:paraId="08DA0D0A" w14:textId="77777777" w:rsidR="00263353" w:rsidRPr="00231ABC" w:rsidRDefault="00263353" w:rsidP="00CB2F62">
            <w:pPr>
              <w:rPr>
                <w:sz w:val="24"/>
              </w:rPr>
            </w:pPr>
            <w:r w:rsidRPr="00231ABC">
              <w:rPr>
                <w:sz w:val="24"/>
              </w:rPr>
              <w:t>Průmyslové části</w:t>
            </w:r>
          </w:p>
        </w:tc>
        <w:tc>
          <w:tcPr>
            <w:tcW w:w="1890" w:type="dxa"/>
            <w:tcBorders>
              <w:top w:val="single" w:sz="6" w:space="0" w:color="auto"/>
              <w:left w:val="nil"/>
              <w:bottom w:val="single" w:sz="6" w:space="0" w:color="auto"/>
              <w:right w:val="single" w:sz="6" w:space="0" w:color="auto"/>
            </w:tcBorders>
          </w:tcPr>
          <w:p w14:paraId="3032E96A" w14:textId="3E97236C" w:rsidR="00263353" w:rsidRPr="00231ABC" w:rsidRDefault="00092F73" w:rsidP="00CB2F62">
            <w:pPr>
              <w:jc w:val="center"/>
              <w:rPr>
                <w:sz w:val="24"/>
              </w:rPr>
            </w:pPr>
            <w:r>
              <w:rPr>
                <w:sz w:val="24"/>
              </w:rPr>
              <w:t>997</w:t>
            </w:r>
          </w:p>
        </w:tc>
        <w:tc>
          <w:tcPr>
            <w:tcW w:w="1890" w:type="dxa"/>
            <w:tcBorders>
              <w:top w:val="single" w:sz="6" w:space="0" w:color="auto"/>
              <w:left w:val="single" w:sz="6" w:space="0" w:color="auto"/>
              <w:bottom w:val="single" w:sz="6" w:space="0" w:color="auto"/>
              <w:right w:val="single" w:sz="6" w:space="0" w:color="auto"/>
            </w:tcBorders>
          </w:tcPr>
          <w:p w14:paraId="2C314480" w14:textId="66DC93BF" w:rsidR="00263353" w:rsidRPr="00231ABC" w:rsidRDefault="00092F73" w:rsidP="00CB2F62">
            <w:pPr>
              <w:jc w:val="center"/>
              <w:rPr>
                <w:sz w:val="24"/>
              </w:rPr>
            </w:pPr>
            <w:r>
              <w:rPr>
                <w:sz w:val="24"/>
              </w:rPr>
              <w:t>84</w:t>
            </w:r>
          </w:p>
        </w:tc>
        <w:tc>
          <w:tcPr>
            <w:tcW w:w="1890" w:type="dxa"/>
            <w:tcBorders>
              <w:top w:val="single" w:sz="6" w:space="0" w:color="auto"/>
              <w:left w:val="single" w:sz="6" w:space="0" w:color="auto"/>
              <w:bottom w:val="single" w:sz="6" w:space="0" w:color="auto"/>
              <w:right w:val="single" w:sz="18" w:space="0" w:color="auto"/>
            </w:tcBorders>
          </w:tcPr>
          <w:p w14:paraId="791DB6CB" w14:textId="0A9F415D" w:rsidR="00263353" w:rsidRPr="00231ABC" w:rsidRDefault="00092F73" w:rsidP="00092F73">
            <w:pPr>
              <w:jc w:val="center"/>
              <w:rPr>
                <w:sz w:val="24"/>
              </w:rPr>
            </w:pPr>
            <w:r>
              <w:rPr>
                <w:sz w:val="24"/>
              </w:rPr>
              <w:t>3</w:t>
            </w:r>
            <w:r w:rsidR="00263353">
              <w:rPr>
                <w:sz w:val="24"/>
              </w:rPr>
              <w:t xml:space="preserve"> </w:t>
            </w:r>
            <w:r>
              <w:rPr>
                <w:sz w:val="24"/>
              </w:rPr>
              <w:t>200</w:t>
            </w:r>
          </w:p>
        </w:tc>
      </w:tr>
      <w:tr w:rsidR="00263353" w:rsidRPr="00231ABC" w14:paraId="41F49150" w14:textId="77777777" w:rsidTr="00CB2F62">
        <w:tc>
          <w:tcPr>
            <w:tcW w:w="3261" w:type="dxa"/>
            <w:tcBorders>
              <w:top w:val="single" w:sz="6" w:space="0" w:color="auto"/>
              <w:left w:val="single" w:sz="18" w:space="0" w:color="auto"/>
              <w:bottom w:val="single" w:sz="18" w:space="0" w:color="auto"/>
              <w:right w:val="single" w:sz="18" w:space="0" w:color="auto"/>
            </w:tcBorders>
          </w:tcPr>
          <w:p w14:paraId="39C80C46" w14:textId="77777777" w:rsidR="00263353" w:rsidRPr="00231ABC" w:rsidRDefault="00263353" w:rsidP="00CB2F62">
            <w:pPr>
              <w:rPr>
                <w:sz w:val="24"/>
              </w:rPr>
            </w:pPr>
            <w:r w:rsidRPr="00231ABC">
              <w:rPr>
                <w:sz w:val="24"/>
              </w:rPr>
              <w:t>Území mimo kompaktní město</w:t>
            </w:r>
          </w:p>
        </w:tc>
        <w:tc>
          <w:tcPr>
            <w:tcW w:w="1890" w:type="dxa"/>
            <w:tcBorders>
              <w:top w:val="single" w:sz="6" w:space="0" w:color="auto"/>
              <w:left w:val="nil"/>
              <w:bottom w:val="single" w:sz="18" w:space="0" w:color="auto"/>
              <w:right w:val="single" w:sz="6" w:space="0" w:color="auto"/>
            </w:tcBorders>
          </w:tcPr>
          <w:p w14:paraId="4A8BB24B" w14:textId="5492B573" w:rsidR="00263353" w:rsidRPr="00231ABC" w:rsidRDefault="00092F73" w:rsidP="00092F73">
            <w:pPr>
              <w:jc w:val="center"/>
              <w:rPr>
                <w:sz w:val="24"/>
              </w:rPr>
            </w:pPr>
            <w:r>
              <w:rPr>
                <w:sz w:val="24"/>
              </w:rPr>
              <w:t>1 829</w:t>
            </w:r>
          </w:p>
        </w:tc>
        <w:tc>
          <w:tcPr>
            <w:tcW w:w="1890" w:type="dxa"/>
            <w:tcBorders>
              <w:top w:val="single" w:sz="6" w:space="0" w:color="auto"/>
              <w:left w:val="single" w:sz="6" w:space="0" w:color="auto"/>
              <w:bottom w:val="single" w:sz="18" w:space="0" w:color="auto"/>
              <w:right w:val="single" w:sz="6" w:space="0" w:color="auto"/>
            </w:tcBorders>
          </w:tcPr>
          <w:p w14:paraId="6C43D16B" w14:textId="6C766459" w:rsidR="00263353" w:rsidRPr="00231ABC" w:rsidRDefault="00092F73" w:rsidP="00CB2F62">
            <w:pPr>
              <w:jc w:val="center"/>
              <w:rPr>
                <w:sz w:val="24"/>
              </w:rPr>
            </w:pPr>
            <w:r>
              <w:rPr>
                <w:sz w:val="24"/>
              </w:rPr>
              <w:t>6</w:t>
            </w:r>
            <w:r w:rsidR="00263353">
              <w:rPr>
                <w:sz w:val="24"/>
              </w:rPr>
              <w:t>0</w:t>
            </w:r>
          </w:p>
        </w:tc>
        <w:tc>
          <w:tcPr>
            <w:tcW w:w="1890" w:type="dxa"/>
            <w:tcBorders>
              <w:top w:val="single" w:sz="6" w:space="0" w:color="auto"/>
              <w:left w:val="single" w:sz="6" w:space="0" w:color="auto"/>
              <w:bottom w:val="single" w:sz="18" w:space="0" w:color="auto"/>
              <w:right w:val="single" w:sz="18" w:space="0" w:color="auto"/>
            </w:tcBorders>
          </w:tcPr>
          <w:p w14:paraId="00C5DE7A" w14:textId="3935D59C" w:rsidR="00263353" w:rsidRPr="00231ABC" w:rsidRDefault="00092F73" w:rsidP="00092F73">
            <w:pPr>
              <w:jc w:val="center"/>
              <w:rPr>
                <w:sz w:val="24"/>
              </w:rPr>
            </w:pPr>
            <w:r>
              <w:rPr>
                <w:sz w:val="24"/>
              </w:rPr>
              <w:t>2</w:t>
            </w:r>
            <w:r w:rsidR="00263353">
              <w:rPr>
                <w:sz w:val="24"/>
              </w:rPr>
              <w:t xml:space="preserve"> </w:t>
            </w:r>
            <w:r>
              <w:rPr>
                <w:sz w:val="24"/>
              </w:rPr>
              <w:t>243</w:t>
            </w:r>
          </w:p>
        </w:tc>
      </w:tr>
    </w:tbl>
    <w:p w14:paraId="28F87985" w14:textId="77777777" w:rsidR="00360526" w:rsidRPr="00231ABC" w:rsidRDefault="00360526" w:rsidP="00CC3E8F">
      <w:pPr>
        <w:pStyle w:val="Nadpis4"/>
        <w:numPr>
          <w:ilvl w:val="0"/>
          <w:numId w:val="0"/>
        </w:numPr>
        <w:tabs>
          <w:tab w:val="clear" w:pos="864"/>
          <w:tab w:val="left" w:pos="426"/>
        </w:tabs>
      </w:pPr>
      <w:r w:rsidRPr="00231ABC">
        <w:lastRenderedPageBreak/>
        <w:t xml:space="preserve">Pozemky pro technickou vybavenost   </w:t>
      </w:r>
    </w:p>
    <w:p w14:paraId="5F5AA6FA" w14:textId="03730E8D" w:rsidR="00A975CE" w:rsidRPr="00A404C2" w:rsidRDefault="00A975CE" w:rsidP="002136DE">
      <w:pPr>
        <w:spacing w:before="240" w:after="120"/>
        <w:ind w:firstLine="425"/>
        <w:jc w:val="both"/>
        <w:rPr>
          <w:sz w:val="24"/>
        </w:rPr>
      </w:pPr>
      <w:r w:rsidRPr="00231ABC">
        <w:rPr>
          <w:sz w:val="24"/>
        </w:rPr>
        <w:t xml:space="preserve">U pozemků využitých pro </w:t>
      </w:r>
      <w:r w:rsidRPr="00231ABC">
        <w:rPr>
          <w:b/>
          <w:i/>
          <w:sz w:val="24"/>
        </w:rPr>
        <w:t>technickou vybavenost</w:t>
      </w:r>
      <w:r w:rsidRPr="00231ABC">
        <w:rPr>
          <w:b/>
          <w:sz w:val="24"/>
        </w:rPr>
        <w:t xml:space="preserve"> </w:t>
      </w:r>
      <w:r w:rsidRPr="00231ABC">
        <w:rPr>
          <w:sz w:val="24"/>
        </w:rPr>
        <w:t xml:space="preserve">(objekty kotelen, trafostanic, ústředen, čistíren odpadních vod, vodárenské stavby) </w:t>
      </w:r>
      <w:r w:rsidR="004C7E92">
        <w:rPr>
          <w:sz w:val="24"/>
        </w:rPr>
        <w:t>ne</w:t>
      </w:r>
      <w:r w:rsidRPr="00231ABC">
        <w:rPr>
          <w:sz w:val="24"/>
        </w:rPr>
        <w:t>byl</w:t>
      </w:r>
      <w:r w:rsidR="002136DE">
        <w:rPr>
          <w:sz w:val="24"/>
        </w:rPr>
        <w:t>a</w:t>
      </w:r>
      <w:r w:rsidRPr="00231ABC">
        <w:rPr>
          <w:sz w:val="24"/>
        </w:rPr>
        <w:t xml:space="preserve"> </w:t>
      </w:r>
      <w:r w:rsidR="004C7E92">
        <w:rPr>
          <w:sz w:val="24"/>
        </w:rPr>
        <w:t xml:space="preserve">ve </w:t>
      </w:r>
      <w:r w:rsidRPr="00231ABC">
        <w:rPr>
          <w:sz w:val="24"/>
        </w:rPr>
        <w:t>sledované</w:t>
      </w:r>
      <w:r w:rsidR="004C7E92">
        <w:rPr>
          <w:sz w:val="24"/>
        </w:rPr>
        <w:t>m</w:t>
      </w:r>
      <w:r w:rsidRPr="00231ABC">
        <w:rPr>
          <w:sz w:val="24"/>
        </w:rPr>
        <w:t xml:space="preserve"> období zaznamenán</w:t>
      </w:r>
      <w:r w:rsidR="002136DE">
        <w:rPr>
          <w:sz w:val="24"/>
        </w:rPr>
        <w:t>a</w:t>
      </w:r>
      <w:r w:rsidRPr="00231ABC">
        <w:rPr>
          <w:sz w:val="24"/>
        </w:rPr>
        <w:t xml:space="preserve"> pouze </w:t>
      </w:r>
      <w:r w:rsidR="004C7E92">
        <w:rPr>
          <w:sz w:val="24"/>
        </w:rPr>
        <w:t>žádná významná transakce</w:t>
      </w:r>
      <w:r w:rsidRPr="00231ABC">
        <w:rPr>
          <w:sz w:val="24"/>
        </w:rPr>
        <w:t>.</w:t>
      </w:r>
      <w:r w:rsidR="009A1A89">
        <w:rPr>
          <w:sz w:val="24"/>
        </w:rPr>
        <w:t xml:space="preserve"> </w:t>
      </w:r>
      <w:r w:rsidR="004C7E92">
        <w:rPr>
          <w:sz w:val="24"/>
        </w:rPr>
        <w:t>Celkově se v této kategorii zobchodovaly pozemky v objemu 2,16</w:t>
      </w:r>
      <w:r w:rsidR="00EA34C9">
        <w:rPr>
          <w:sz w:val="24"/>
        </w:rPr>
        <w:t> </w:t>
      </w:r>
      <w:r w:rsidR="004C7E92">
        <w:rPr>
          <w:sz w:val="24"/>
        </w:rPr>
        <w:t>mil.</w:t>
      </w:r>
      <w:r w:rsidR="00EA34C9">
        <w:rPr>
          <w:sz w:val="24"/>
        </w:rPr>
        <w:t xml:space="preserve"> Kč, což je z hlediska </w:t>
      </w:r>
      <w:r w:rsidR="004C7E92">
        <w:rPr>
          <w:sz w:val="24"/>
        </w:rPr>
        <w:t xml:space="preserve">obchodů v rámci města zanedbatelný rozsah v úrovni 0,16 %. Zároveň objem obchodů </w:t>
      </w:r>
      <w:r w:rsidR="00A404C2">
        <w:rPr>
          <w:sz w:val="24"/>
        </w:rPr>
        <w:t>pro technickou vybavenost</w:t>
      </w:r>
      <w:r w:rsidR="004C7E92">
        <w:rPr>
          <w:sz w:val="24"/>
        </w:rPr>
        <w:t xml:space="preserve"> jako v jediné </w:t>
      </w:r>
      <w:r w:rsidR="00A404C2">
        <w:rPr>
          <w:sz w:val="24"/>
        </w:rPr>
        <w:t xml:space="preserve">kategorii pozemků v rámci města </w:t>
      </w:r>
      <w:r w:rsidR="004C7E92">
        <w:rPr>
          <w:sz w:val="24"/>
        </w:rPr>
        <w:t>meziročně poklesl o 30</w:t>
      </w:r>
      <w:r w:rsidR="00EA34C9">
        <w:rPr>
          <w:sz w:val="24"/>
        </w:rPr>
        <w:t> </w:t>
      </w:r>
      <w:r w:rsidR="004C7E92">
        <w:rPr>
          <w:sz w:val="24"/>
        </w:rPr>
        <w:t>%</w:t>
      </w:r>
      <w:r w:rsidR="00A404C2">
        <w:rPr>
          <w:sz w:val="24"/>
        </w:rPr>
        <w:t>, stejně jako klesla i průměrná cena na částku 217 Kč za m</w:t>
      </w:r>
      <w:r w:rsidR="00A404C2">
        <w:rPr>
          <w:sz w:val="24"/>
          <w:vertAlign w:val="superscript"/>
        </w:rPr>
        <w:t>2</w:t>
      </w:r>
      <w:r w:rsidR="00A404C2">
        <w:rPr>
          <w:sz w:val="24"/>
        </w:rPr>
        <w:t>.</w:t>
      </w:r>
    </w:p>
    <w:p w14:paraId="2A0BA99A" w14:textId="203F0AA0" w:rsidR="00DB6277" w:rsidRPr="009A1A89" w:rsidRDefault="004C7E92" w:rsidP="00DB6277">
      <w:pPr>
        <w:pStyle w:val="Zhlav"/>
        <w:tabs>
          <w:tab w:val="clear" w:pos="4536"/>
          <w:tab w:val="clear" w:pos="9072"/>
        </w:tabs>
        <w:spacing w:before="120"/>
      </w:pPr>
      <w:r>
        <w:t>CM 2022</w:t>
      </w: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61"/>
        <w:gridCol w:w="1842"/>
        <w:gridCol w:w="1843"/>
        <w:gridCol w:w="1843"/>
      </w:tblGrid>
      <w:tr w:rsidR="00DB6277" w:rsidRPr="009A1A89" w14:paraId="4AC2C0D8" w14:textId="77777777" w:rsidTr="00D5526F">
        <w:trPr>
          <w:cantSplit/>
        </w:trPr>
        <w:tc>
          <w:tcPr>
            <w:tcW w:w="3261" w:type="dxa"/>
            <w:vMerge w:val="restart"/>
            <w:tcBorders>
              <w:top w:val="single" w:sz="18" w:space="0" w:color="auto"/>
              <w:left w:val="single" w:sz="18" w:space="0" w:color="auto"/>
              <w:right w:val="single" w:sz="18" w:space="0" w:color="auto"/>
            </w:tcBorders>
            <w:vAlign w:val="center"/>
          </w:tcPr>
          <w:p w14:paraId="1C764B25" w14:textId="77777777" w:rsidR="00DB6277" w:rsidRPr="009A1A89" w:rsidRDefault="00DB6277" w:rsidP="00D5526F">
            <w:pPr>
              <w:pStyle w:val="Nadpis1"/>
              <w:ind w:left="709" w:hanging="709"/>
              <w:jc w:val="center"/>
              <w:rPr>
                <w:b/>
              </w:rPr>
            </w:pPr>
            <w:r w:rsidRPr="009A1A89">
              <w:rPr>
                <w:b/>
              </w:rPr>
              <w:t>Poloha</w:t>
            </w:r>
          </w:p>
        </w:tc>
        <w:tc>
          <w:tcPr>
            <w:tcW w:w="5528" w:type="dxa"/>
            <w:gridSpan w:val="3"/>
            <w:tcBorders>
              <w:top w:val="single" w:sz="18" w:space="0" w:color="auto"/>
              <w:left w:val="nil"/>
              <w:bottom w:val="nil"/>
              <w:right w:val="single" w:sz="18" w:space="0" w:color="auto"/>
            </w:tcBorders>
          </w:tcPr>
          <w:p w14:paraId="012D87E3" w14:textId="77777777" w:rsidR="00DB6277" w:rsidRPr="009A1A89" w:rsidRDefault="00DB6277" w:rsidP="00D5526F">
            <w:pPr>
              <w:jc w:val="center"/>
              <w:rPr>
                <w:b/>
                <w:sz w:val="24"/>
              </w:rPr>
            </w:pPr>
            <w:r w:rsidRPr="009A1A89">
              <w:rPr>
                <w:b/>
                <w:sz w:val="24"/>
              </w:rPr>
              <w:t>Kč/m</w:t>
            </w:r>
            <w:r w:rsidRPr="009A1A89">
              <w:rPr>
                <w:b/>
                <w:sz w:val="24"/>
                <w:vertAlign w:val="superscript"/>
              </w:rPr>
              <w:t>2</w:t>
            </w:r>
            <w:r w:rsidRPr="009A1A89">
              <w:rPr>
                <w:b/>
                <w:sz w:val="24"/>
              </w:rPr>
              <w:t xml:space="preserve"> </w:t>
            </w:r>
          </w:p>
        </w:tc>
      </w:tr>
      <w:tr w:rsidR="00DB6277" w:rsidRPr="009A1A89" w14:paraId="590E07C2" w14:textId="77777777" w:rsidTr="00D5526F">
        <w:tc>
          <w:tcPr>
            <w:tcW w:w="3261" w:type="dxa"/>
            <w:vMerge/>
            <w:tcBorders>
              <w:left w:val="single" w:sz="18" w:space="0" w:color="auto"/>
              <w:bottom w:val="single" w:sz="18" w:space="0" w:color="auto"/>
              <w:right w:val="single" w:sz="18" w:space="0" w:color="auto"/>
            </w:tcBorders>
            <w:vAlign w:val="center"/>
          </w:tcPr>
          <w:p w14:paraId="2C6CECD9" w14:textId="77777777" w:rsidR="00DB6277" w:rsidRPr="009A1A89" w:rsidRDefault="00DB6277" w:rsidP="00D5526F">
            <w:pPr>
              <w:pStyle w:val="Nadpis1"/>
              <w:jc w:val="center"/>
              <w:rPr>
                <w:b/>
              </w:rPr>
            </w:pPr>
          </w:p>
        </w:tc>
        <w:tc>
          <w:tcPr>
            <w:tcW w:w="1842" w:type="dxa"/>
            <w:tcBorders>
              <w:top w:val="single" w:sz="12" w:space="0" w:color="auto"/>
              <w:left w:val="nil"/>
              <w:bottom w:val="single" w:sz="18" w:space="0" w:color="auto"/>
              <w:right w:val="single" w:sz="6" w:space="0" w:color="auto"/>
            </w:tcBorders>
          </w:tcPr>
          <w:p w14:paraId="69C6FF9F" w14:textId="77777777" w:rsidR="00DB6277" w:rsidRPr="009A1A89" w:rsidRDefault="00DB6277" w:rsidP="00D5526F">
            <w:pPr>
              <w:jc w:val="center"/>
              <w:rPr>
                <w:b/>
                <w:sz w:val="24"/>
              </w:rPr>
            </w:pPr>
            <w:r w:rsidRPr="009A1A89">
              <w:rPr>
                <w:b/>
                <w:sz w:val="24"/>
              </w:rPr>
              <w:t>Průměrná cena</w:t>
            </w:r>
          </w:p>
        </w:tc>
        <w:tc>
          <w:tcPr>
            <w:tcW w:w="1843" w:type="dxa"/>
            <w:tcBorders>
              <w:top w:val="single" w:sz="12" w:space="0" w:color="auto"/>
              <w:left w:val="single" w:sz="6" w:space="0" w:color="auto"/>
              <w:bottom w:val="single" w:sz="18" w:space="0" w:color="auto"/>
              <w:right w:val="single" w:sz="6" w:space="0" w:color="auto"/>
            </w:tcBorders>
          </w:tcPr>
          <w:p w14:paraId="124958D9" w14:textId="77777777" w:rsidR="00DB6277" w:rsidRPr="009A1A89" w:rsidRDefault="00DB6277" w:rsidP="00D5526F">
            <w:pPr>
              <w:jc w:val="center"/>
              <w:rPr>
                <w:b/>
                <w:sz w:val="24"/>
              </w:rPr>
            </w:pPr>
            <w:r w:rsidRPr="009A1A89">
              <w:rPr>
                <w:b/>
                <w:sz w:val="24"/>
              </w:rPr>
              <w:t>Minimální cena</w:t>
            </w:r>
          </w:p>
        </w:tc>
        <w:tc>
          <w:tcPr>
            <w:tcW w:w="1843" w:type="dxa"/>
            <w:tcBorders>
              <w:top w:val="single" w:sz="12" w:space="0" w:color="auto"/>
              <w:left w:val="single" w:sz="6" w:space="0" w:color="auto"/>
              <w:bottom w:val="single" w:sz="18" w:space="0" w:color="auto"/>
              <w:right w:val="single" w:sz="18" w:space="0" w:color="auto"/>
            </w:tcBorders>
          </w:tcPr>
          <w:p w14:paraId="22E22765" w14:textId="77777777" w:rsidR="00DB6277" w:rsidRPr="009A1A89" w:rsidRDefault="00DB6277" w:rsidP="00D5526F">
            <w:pPr>
              <w:jc w:val="center"/>
              <w:rPr>
                <w:b/>
                <w:sz w:val="24"/>
              </w:rPr>
            </w:pPr>
            <w:r w:rsidRPr="009A1A89">
              <w:rPr>
                <w:b/>
                <w:sz w:val="24"/>
              </w:rPr>
              <w:t>Maximální cena</w:t>
            </w:r>
          </w:p>
        </w:tc>
      </w:tr>
      <w:tr w:rsidR="00DB6277" w:rsidRPr="009A1A89" w14:paraId="318F9D95" w14:textId="77777777" w:rsidTr="00D5526F">
        <w:tc>
          <w:tcPr>
            <w:tcW w:w="3261" w:type="dxa"/>
            <w:tcBorders>
              <w:top w:val="nil"/>
              <w:left w:val="single" w:sz="18" w:space="0" w:color="auto"/>
              <w:bottom w:val="single" w:sz="6" w:space="0" w:color="auto"/>
              <w:right w:val="single" w:sz="18" w:space="0" w:color="auto"/>
            </w:tcBorders>
          </w:tcPr>
          <w:p w14:paraId="0A4C94EA" w14:textId="77777777" w:rsidR="00DB6277" w:rsidRPr="009A1A89" w:rsidRDefault="00DB6277" w:rsidP="00D5526F">
            <w:pPr>
              <w:rPr>
                <w:sz w:val="24"/>
              </w:rPr>
            </w:pPr>
            <w:r w:rsidRPr="009A1A89">
              <w:rPr>
                <w:sz w:val="24"/>
              </w:rPr>
              <w:t>Vnitřní město</w:t>
            </w:r>
          </w:p>
        </w:tc>
        <w:tc>
          <w:tcPr>
            <w:tcW w:w="1842" w:type="dxa"/>
            <w:tcBorders>
              <w:top w:val="nil"/>
              <w:left w:val="nil"/>
              <w:bottom w:val="single" w:sz="6" w:space="0" w:color="auto"/>
              <w:right w:val="single" w:sz="6" w:space="0" w:color="auto"/>
            </w:tcBorders>
          </w:tcPr>
          <w:p w14:paraId="36F99D04" w14:textId="18DCD578" w:rsidR="00DB6277" w:rsidRPr="009A1A89" w:rsidRDefault="00DB6277" w:rsidP="00D5526F">
            <w:pPr>
              <w:jc w:val="center"/>
              <w:rPr>
                <w:sz w:val="24"/>
              </w:rPr>
            </w:pPr>
            <w:r w:rsidRPr="009A1A89">
              <w:rPr>
                <w:sz w:val="24"/>
              </w:rPr>
              <w:t>-</w:t>
            </w:r>
          </w:p>
        </w:tc>
        <w:tc>
          <w:tcPr>
            <w:tcW w:w="1843" w:type="dxa"/>
            <w:tcBorders>
              <w:top w:val="nil"/>
              <w:left w:val="single" w:sz="6" w:space="0" w:color="auto"/>
              <w:bottom w:val="single" w:sz="6" w:space="0" w:color="auto"/>
              <w:right w:val="single" w:sz="6" w:space="0" w:color="auto"/>
            </w:tcBorders>
          </w:tcPr>
          <w:p w14:paraId="21096B49" w14:textId="7F3A7888" w:rsidR="00DB6277" w:rsidRPr="009A1A89" w:rsidRDefault="00DB6277" w:rsidP="00D5526F">
            <w:pPr>
              <w:jc w:val="center"/>
              <w:rPr>
                <w:sz w:val="24"/>
              </w:rPr>
            </w:pPr>
            <w:r w:rsidRPr="009A1A89">
              <w:rPr>
                <w:sz w:val="24"/>
              </w:rPr>
              <w:t>-</w:t>
            </w:r>
          </w:p>
        </w:tc>
        <w:tc>
          <w:tcPr>
            <w:tcW w:w="1843" w:type="dxa"/>
            <w:tcBorders>
              <w:top w:val="nil"/>
              <w:left w:val="single" w:sz="6" w:space="0" w:color="auto"/>
              <w:bottom w:val="single" w:sz="6" w:space="0" w:color="auto"/>
              <w:right w:val="single" w:sz="18" w:space="0" w:color="auto"/>
            </w:tcBorders>
          </w:tcPr>
          <w:p w14:paraId="01659847" w14:textId="022AA76C" w:rsidR="00DB6277" w:rsidRPr="009A1A89" w:rsidRDefault="00DB6277" w:rsidP="00D5526F">
            <w:pPr>
              <w:jc w:val="center"/>
              <w:rPr>
                <w:sz w:val="24"/>
              </w:rPr>
            </w:pPr>
            <w:r w:rsidRPr="009A1A89">
              <w:rPr>
                <w:sz w:val="24"/>
              </w:rPr>
              <w:t>-</w:t>
            </w:r>
          </w:p>
        </w:tc>
      </w:tr>
      <w:tr w:rsidR="00DB6277" w:rsidRPr="009A1A89" w14:paraId="08117B16" w14:textId="77777777" w:rsidTr="00D5526F">
        <w:tc>
          <w:tcPr>
            <w:tcW w:w="3261" w:type="dxa"/>
            <w:tcBorders>
              <w:top w:val="single" w:sz="6" w:space="0" w:color="auto"/>
              <w:left w:val="single" w:sz="18" w:space="0" w:color="auto"/>
              <w:bottom w:val="single" w:sz="6" w:space="0" w:color="auto"/>
              <w:right w:val="single" w:sz="18" w:space="0" w:color="auto"/>
            </w:tcBorders>
          </w:tcPr>
          <w:p w14:paraId="6D9D2309" w14:textId="77777777" w:rsidR="00DB6277" w:rsidRPr="009A1A89" w:rsidRDefault="00DB6277" w:rsidP="00D5526F">
            <w:pPr>
              <w:rPr>
                <w:sz w:val="24"/>
              </w:rPr>
            </w:pPr>
            <w:r w:rsidRPr="009A1A89">
              <w:rPr>
                <w:sz w:val="24"/>
              </w:rPr>
              <w:t>Okrajová část vnitřního města</w:t>
            </w:r>
          </w:p>
        </w:tc>
        <w:tc>
          <w:tcPr>
            <w:tcW w:w="1842" w:type="dxa"/>
            <w:tcBorders>
              <w:top w:val="single" w:sz="6" w:space="0" w:color="auto"/>
              <w:left w:val="nil"/>
              <w:bottom w:val="single" w:sz="6" w:space="0" w:color="auto"/>
              <w:right w:val="single" w:sz="6" w:space="0" w:color="auto"/>
            </w:tcBorders>
          </w:tcPr>
          <w:p w14:paraId="405607AB" w14:textId="61A63FE2" w:rsidR="00DB6277" w:rsidRPr="009A1A89" w:rsidRDefault="00A404C2" w:rsidP="00A404C2">
            <w:pPr>
              <w:jc w:val="center"/>
              <w:rPr>
                <w:sz w:val="24"/>
              </w:rPr>
            </w:pPr>
            <w:r>
              <w:rPr>
                <w:sz w:val="24"/>
              </w:rPr>
              <w:t>181</w:t>
            </w:r>
          </w:p>
        </w:tc>
        <w:tc>
          <w:tcPr>
            <w:tcW w:w="1843" w:type="dxa"/>
            <w:tcBorders>
              <w:top w:val="single" w:sz="6" w:space="0" w:color="auto"/>
              <w:left w:val="single" w:sz="6" w:space="0" w:color="auto"/>
              <w:bottom w:val="single" w:sz="6" w:space="0" w:color="auto"/>
              <w:right w:val="single" w:sz="6" w:space="0" w:color="auto"/>
            </w:tcBorders>
          </w:tcPr>
          <w:p w14:paraId="3F7102DD" w14:textId="4870D30D" w:rsidR="00DB6277" w:rsidRPr="009A1A89" w:rsidRDefault="00A404C2" w:rsidP="00A404C2">
            <w:pPr>
              <w:jc w:val="center"/>
              <w:rPr>
                <w:sz w:val="24"/>
              </w:rPr>
            </w:pPr>
            <w:r>
              <w:rPr>
                <w:sz w:val="24"/>
              </w:rPr>
              <w:t>165</w:t>
            </w:r>
          </w:p>
        </w:tc>
        <w:tc>
          <w:tcPr>
            <w:tcW w:w="1843" w:type="dxa"/>
            <w:tcBorders>
              <w:top w:val="single" w:sz="6" w:space="0" w:color="auto"/>
              <w:left w:val="single" w:sz="6" w:space="0" w:color="auto"/>
              <w:bottom w:val="single" w:sz="6" w:space="0" w:color="auto"/>
              <w:right w:val="single" w:sz="18" w:space="0" w:color="auto"/>
            </w:tcBorders>
          </w:tcPr>
          <w:p w14:paraId="6D87A6A8" w14:textId="3D0FD700" w:rsidR="00DB6277" w:rsidRPr="009A1A89" w:rsidRDefault="00A404C2" w:rsidP="00D5526F">
            <w:pPr>
              <w:jc w:val="center"/>
              <w:rPr>
                <w:sz w:val="24"/>
              </w:rPr>
            </w:pPr>
            <w:r>
              <w:rPr>
                <w:sz w:val="24"/>
              </w:rPr>
              <w:t>630</w:t>
            </w:r>
          </w:p>
        </w:tc>
      </w:tr>
      <w:tr w:rsidR="00A404C2" w:rsidRPr="009A1A89" w14:paraId="20A76D42" w14:textId="77777777" w:rsidTr="00D5526F">
        <w:tc>
          <w:tcPr>
            <w:tcW w:w="3261" w:type="dxa"/>
            <w:tcBorders>
              <w:top w:val="single" w:sz="6" w:space="0" w:color="auto"/>
              <w:left w:val="single" w:sz="18" w:space="0" w:color="auto"/>
              <w:bottom w:val="single" w:sz="6" w:space="0" w:color="auto"/>
              <w:right w:val="single" w:sz="18" w:space="0" w:color="auto"/>
            </w:tcBorders>
          </w:tcPr>
          <w:p w14:paraId="21ABBECE" w14:textId="77777777" w:rsidR="00A404C2" w:rsidRPr="009A1A89" w:rsidRDefault="00A404C2" w:rsidP="00D5526F">
            <w:pPr>
              <w:rPr>
                <w:sz w:val="24"/>
              </w:rPr>
            </w:pPr>
            <w:r w:rsidRPr="009A1A89">
              <w:rPr>
                <w:sz w:val="24"/>
              </w:rPr>
              <w:t>Průmyslové části</w:t>
            </w:r>
          </w:p>
        </w:tc>
        <w:tc>
          <w:tcPr>
            <w:tcW w:w="1842" w:type="dxa"/>
            <w:tcBorders>
              <w:top w:val="single" w:sz="6" w:space="0" w:color="auto"/>
              <w:left w:val="nil"/>
              <w:bottom w:val="single" w:sz="6" w:space="0" w:color="auto"/>
              <w:right w:val="single" w:sz="6" w:space="0" w:color="auto"/>
            </w:tcBorders>
          </w:tcPr>
          <w:p w14:paraId="54C3A712" w14:textId="12BE2592" w:rsidR="00A404C2" w:rsidRPr="009A1A89" w:rsidRDefault="00A404C2" w:rsidP="004729B3">
            <w:pPr>
              <w:jc w:val="center"/>
              <w:rPr>
                <w:sz w:val="24"/>
              </w:rPr>
            </w:pPr>
            <w:r w:rsidRPr="009A1A89">
              <w:rPr>
                <w:sz w:val="24"/>
              </w:rPr>
              <w:t>-</w:t>
            </w:r>
          </w:p>
        </w:tc>
        <w:tc>
          <w:tcPr>
            <w:tcW w:w="1843" w:type="dxa"/>
            <w:tcBorders>
              <w:top w:val="single" w:sz="6" w:space="0" w:color="auto"/>
              <w:left w:val="single" w:sz="6" w:space="0" w:color="auto"/>
              <w:bottom w:val="single" w:sz="6" w:space="0" w:color="auto"/>
              <w:right w:val="single" w:sz="6" w:space="0" w:color="auto"/>
            </w:tcBorders>
          </w:tcPr>
          <w:p w14:paraId="70ED4D41" w14:textId="4D8C1BE2" w:rsidR="00A404C2" w:rsidRPr="009A1A89" w:rsidRDefault="00A404C2" w:rsidP="004729B3">
            <w:pPr>
              <w:jc w:val="center"/>
              <w:rPr>
                <w:sz w:val="24"/>
              </w:rPr>
            </w:pPr>
            <w:r w:rsidRPr="009A1A89">
              <w:rPr>
                <w:sz w:val="24"/>
              </w:rPr>
              <w:t>-</w:t>
            </w:r>
          </w:p>
        </w:tc>
        <w:tc>
          <w:tcPr>
            <w:tcW w:w="1843" w:type="dxa"/>
            <w:tcBorders>
              <w:top w:val="single" w:sz="6" w:space="0" w:color="auto"/>
              <w:left w:val="single" w:sz="6" w:space="0" w:color="auto"/>
              <w:bottom w:val="single" w:sz="6" w:space="0" w:color="auto"/>
              <w:right w:val="single" w:sz="18" w:space="0" w:color="auto"/>
            </w:tcBorders>
          </w:tcPr>
          <w:p w14:paraId="5AB9B025" w14:textId="60C82E4B" w:rsidR="00A404C2" w:rsidRPr="009A1A89" w:rsidRDefault="00A404C2" w:rsidP="00D5526F">
            <w:pPr>
              <w:jc w:val="center"/>
              <w:rPr>
                <w:sz w:val="24"/>
              </w:rPr>
            </w:pPr>
            <w:r w:rsidRPr="009A1A89">
              <w:rPr>
                <w:sz w:val="24"/>
              </w:rPr>
              <w:t>-</w:t>
            </w:r>
          </w:p>
        </w:tc>
      </w:tr>
      <w:tr w:rsidR="00DB6277" w:rsidRPr="00231ABC" w14:paraId="39AA6ACC" w14:textId="77777777" w:rsidTr="00D5526F">
        <w:tc>
          <w:tcPr>
            <w:tcW w:w="3261" w:type="dxa"/>
            <w:tcBorders>
              <w:top w:val="single" w:sz="6" w:space="0" w:color="auto"/>
              <w:left w:val="single" w:sz="18" w:space="0" w:color="auto"/>
              <w:bottom w:val="single" w:sz="18" w:space="0" w:color="auto"/>
              <w:right w:val="single" w:sz="18" w:space="0" w:color="auto"/>
            </w:tcBorders>
          </w:tcPr>
          <w:p w14:paraId="52175371" w14:textId="77777777" w:rsidR="00DB6277" w:rsidRPr="009A1A89" w:rsidRDefault="00DB6277" w:rsidP="00D5526F">
            <w:pPr>
              <w:rPr>
                <w:sz w:val="24"/>
              </w:rPr>
            </w:pPr>
            <w:r w:rsidRPr="009A1A89">
              <w:rPr>
                <w:sz w:val="24"/>
              </w:rPr>
              <w:t>Území mimo kompaktní město</w:t>
            </w:r>
          </w:p>
        </w:tc>
        <w:tc>
          <w:tcPr>
            <w:tcW w:w="1842" w:type="dxa"/>
            <w:tcBorders>
              <w:top w:val="single" w:sz="6" w:space="0" w:color="auto"/>
              <w:left w:val="nil"/>
              <w:bottom w:val="single" w:sz="18" w:space="0" w:color="auto"/>
              <w:right w:val="single" w:sz="6" w:space="0" w:color="auto"/>
            </w:tcBorders>
          </w:tcPr>
          <w:p w14:paraId="63E9076A" w14:textId="2053CB8B" w:rsidR="00DB6277" w:rsidRPr="009A1A89" w:rsidRDefault="00A404C2" w:rsidP="00D5526F">
            <w:pPr>
              <w:jc w:val="center"/>
              <w:rPr>
                <w:sz w:val="24"/>
              </w:rPr>
            </w:pPr>
            <w:r>
              <w:rPr>
                <w:sz w:val="24"/>
              </w:rPr>
              <w:t>84</w:t>
            </w:r>
          </w:p>
        </w:tc>
        <w:tc>
          <w:tcPr>
            <w:tcW w:w="1843" w:type="dxa"/>
            <w:tcBorders>
              <w:top w:val="single" w:sz="6" w:space="0" w:color="auto"/>
              <w:left w:val="single" w:sz="6" w:space="0" w:color="auto"/>
              <w:bottom w:val="single" w:sz="18" w:space="0" w:color="auto"/>
              <w:right w:val="single" w:sz="6" w:space="0" w:color="auto"/>
            </w:tcBorders>
          </w:tcPr>
          <w:p w14:paraId="7DCE66E3" w14:textId="28635E78" w:rsidR="00DB6277" w:rsidRPr="009A1A89" w:rsidRDefault="00A404C2" w:rsidP="00D5526F">
            <w:pPr>
              <w:jc w:val="center"/>
              <w:rPr>
                <w:sz w:val="24"/>
              </w:rPr>
            </w:pPr>
            <w:r>
              <w:rPr>
                <w:sz w:val="24"/>
              </w:rPr>
              <w:t>41</w:t>
            </w:r>
          </w:p>
        </w:tc>
        <w:tc>
          <w:tcPr>
            <w:tcW w:w="1843" w:type="dxa"/>
            <w:tcBorders>
              <w:top w:val="single" w:sz="6" w:space="0" w:color="auto"/>
              <w:left w:val="single" w:sz="6" w:space="0" w:color="auto"/>
              <w:bottom w:val="single" w:sz="18" w:space="0" w:color="auto"/>
              <w:right w:val="single" w:sz="18" w:space="0" w:color="auto"/>
            </w:tcBorders>
          </w:tcPr>
          <w:p w14:paraId="724E1C8E" w14:textId="3BD87454" w:rsidR="00DB6277" w:rsidRPr="00A975CE" w:rsidRDefault="00A404C2" w:rsidP="00D5526F">
            <w:pPr>
              <w:jc w:val="center"/>
              <w:rPr>
                <w:sz w:val="24"/>
              </w:rPr>
            </w:pPr>
            <w:r>
              <w:rPr>
                <w:sz w:val="24"/>
              </w:rPr>
              <w:t>101</w:t>
            </w:r>
          </w:p>
        </w:tc>
      </w:tr>
    </w:tbl>
    <w:p w14:paraId="596DDAF7" w14:textId="77777777" w:rsidR="00DB6277" w:rsidRPr="00231ABC" w:rsidRDefault="00DB6277" w:rsidP="00A975CE">
      <w:pPr>
        <w:spacing w:before="120"/>
        <w:ind w:firstLine="425"/>
        <w:jc w:val="both"/>
        <w:rPr>
          <w:sz w:val="24"/>
        </w:rPr>
      </w:pPr>
    </w:p>
    <w:p w14:paraId="573D8EBC" w14:textId="43373163" w:rsidR="002136DE" w:rsidRDefault="002136DE">
      <w:pPr>
        <w:overflowPunct/>
        <w:autoSpaceDE/>
        <w:autoSpaceDN/>
        <w:adjustRightInd/>
        <w:textAlignment w:val="auto"/>
        <w:rPr>
          <w:b/>
          <w:sz w:val="24"/>
        </w:rPr>
      </w:pPr>
    </w:p>
    <w:p w14:paraId="192729A5" w14:textId="1F854890" w:rsidR="00360526" w:rsidRPr="00231ABC" w:rsidRDefault="00360526" w:rsidP="00CC3E8F">
      <w:pPr>
        <w:pStyle w:val="Nadpis4"/>
        <w:numPr>
          <w:ilvl w:val="0"/>
          <w:numId w:val="0"/>
        </w:numPr>
        <w:tabs>
          <w:tab w:val="clear" w:pos="864"/>
          <w:tab w:val="left" w:pos="426"/>
        </w:tabs>
      </w:pPr>
      <w:r w:rsidRPr="00231ABC">
        <w:t>Pozemky s garážemi</w:t>
      </w:r>
    </w:p>
    <w:p w14:paraId="0E75715E" w14:textId="0E4048C5" w:rsidR="00360526" w:rsidRPr="00231ABC" w:rsidRDefault="00360526" w:rsidP="00360526">
      <w:pPr>
        <w:spacing w:before="240"/>
        <w:jc w:val="both"/>
        <w:rPr>
          <w:bCs/>
          <w:sz w:val="24"/>
        </w:rPr>
      </w:pPr>
      <w:r w:rsidRPr="00231ABC">
        <w:rPr>
          <w:sz w:val="24"/>
        </w:rPr>
        <w:t xml:space="preserve">     Ve sledovaném období byly u pozemků zastavěných hromadnými </w:t>
      </w:r>
      <w:r w:rsidRPr="00231ABC">
        <w:rPr>
          <w:b/>
          <w:i/>
          <w:sz w:val="24"/>
        </w:rPr>
        <w:t>garážemi</w:t>
      </w:r>
      <w:r w:rsidRPr="00231ABC">
        <w:rPr>
          <w:b/>
          <w:sz w:val="24"/>
        </w:rPr>
        <w:t xml:space="preserve"> </w:t>
      </w:r>
      <w:r w:rsidRPr="00231ABC">
        <w:rPr>
          <w:sz w:val="24"/>
        </w:rPr>
        <w:t xml:space="preserve">realizovány převody </w:t>
      </w:r>
      <w:r w:rsidR="00841CE6">
        <w:rPr>
          <w:sz w:val="24"/>
        </w:rPr>
        <w:t>v</w:t>
      </w:r>
      <w:r w:rsidR="00947CA3">
        <w:rPr>
          <w:sz w:val="24"/>
        </w:rPr>
        <w:t>e všech částech města s výjimkou okrajových částí vnitřního města, celkově však v</w:t>
      </w:r>
      <w:r w:rsidR="00EA34C9">
        <w:rPr>
          <w:sz w:val="24"/>
        </w:rPr>
        <w:t> </w:t>
      </w:r>
      <w:r w:rsidR="004729B3">
        <w:rPr>
          <w:sz w:val="24"/>
        </w:rPr>
        <w:t>minimálním rozsahu</w:t>
      </w:r>
      <w:r w:rsidR="001921C2" w:rsidRPr="00231ABC">
        <w:rPr>
          <w:sz w:val="24"/>
        </w:rPr>
        <w:t xml:space="preserve">. </w:t>
      </w:r>
      <w:r w:rsidR="00C52846" w:rsidRPr="00231ABC">
        <w:rPr>
          <w:sz w:val="24"/>
        </w:rPr>
        <w:t>P</w:t>
      </w:r>
      <w:r w:rsidRPr="00231ABC">
        <w:rPr>
          <w:bCs/>
          <w:sz w:val="24"/>
        </w:rPr>
        <w:t>růměrná cena</w:t>
      </w:r>
      <w:r w:rsidR="00A142C2" w:rsidRPr="00231ABC">
        <w:rPr>
          <w:bCs/>
          <w:sz w:val="24"/>
        </w:rPr>
        <w:t xml:space="preserve"> </w:t>
      </w:r>
      <w:r w:rsidR="004729B3">
        <w:rPr>
          <w:bCs/>
          <w:sz w:val="24"/>
        </w:rPr>
        <w:t xml:space="preserve">klesla </w:t>
      </w:r>
      <w:r w:rsidR="008262BA">
        <w:rPr>
          <w:bCs/>
          <w:sz w:val="24"/>
        </w:rPr>
        <w:t xml:space="preserve">na </w:t>
      </w:r>
      <w:r w:rsidR="00947CA3">
        <w:rPr>
          <w:bCs/>
          <w:sz w:val="24"/>
        </w:rPr>
        <w:t>484</w:t>
      </w:r>
      <w:r w:rsidR="00A142C2" w:rsidRPr="00231ABC">
        <w:rPr>
          <w:bCs/>
          <w:sz w:val="24"/>
        </w:rPr>
        <w:t xml:space="preserve"> Kč za m</w:t>
      </w:r>
      <w:r w:rsidR="00A142C2" w:rsidRPr="00231ABC">
        <w:rPr>
          <w:bCs/>
          <w:sz w:val="24"/>
          <w:vertAlign w:val="superscript"/>
        </w:rPr>
        <w:t>2</w:t>
      </w:r>
      <w:r w:rsidR="00A142C2" w:rsidRPr="00231ABC">
        <w:rPr>
          <w:bCs/>
          <w:sz w:val="24"/>
        </w:rPr>
        <w:t xml:space="preserve"> </w:t>
      </w:r>
      <w:r w:rsidR="009A1A89">
        <w:rPr>
          <w:bCs/>
          <w:sz w:val="24"/>
        </w:rPr>
        <w:t>(tj.</w:t>
      </w:r>
      <w:r w:rsidR="00841CE6">
        <w:rPr>
          <w:bCs/>
          <w:sz w:val="24"/>
        </w:rPr>
        <w:t> </w:t>
      </w:r>
      <w:r w:rsidR="009A1A89">
        <w:rPr>
          <w:bCs/>
          <w:sz w:val="24"/>
        </w:rPr>
        <w:t>o</w:t>
      </w:r>
      <w:r w:rsidR="00841CE6">
        <w:rPr>
          <w:bCs/>
          <w:sz w:val="24"/>
        </w:rPr>
        <w:t> </w:t>
      </w:r>
      <w:r w:rsidR="00947CA3">
        <w:rPr>
          <w:bCs/>
          <w:sz w:val="24"/>
        </w:rPr>
        <w:t>30</w:t>
      </w:r>
      <w:r w:rsidR="00D11867">
        <w:t> </w:t>
      </w:r>
      <w:r w:rsidR="009A1A89">
        <w:rPr>
          <w:bCs/>
          <w:sz w:val="24"/>
        </w:rPr>
        <w:t xml:space="preserve">%) </w:t>
      </w:r>
      <w:r w:rsidR="00A142C2" w:rsidRPr="00231ABC">
        <w:rPr>
          <w:bCs/>
          <w:sz w:val="24"/>
        </w:rPr>
        <w:t>při</w:t>
      </w:r>
      <w:r w:rsidR="00DA4221">
        <w:rPr>
          <w:bCs/>
          <w:sz w:val="24"/>
        </w:rPr>
        <w:t xml:space="preserve"> </w:t>
      </w:r>
      <w:r w:rsidR="00947CA3">
        <w:rPr>
          <w:bCs/>
          <w:sz w:val="24"/>
        </w:rPr>
        <w:t xml:space="preserve">vyšším </w:t>
      </w:r>
      <w:r w:rsidR="00DA4221">
        <w:rPr>
          <w:bCs/>
          <w:sz w:val="24"/>
        </w:rPr>
        <w:t>o</w:t>
      </w:r>
      <w:r w:rsidR="00A142C2" w:rsidRPr="00231ABC">
        <w:rPr>
          <w:bCs/>
          <w:sz w:val="24"/>
        </w:rPr>
        <w:t>bjem</w:t>
      </w:r>
      <w:r w:rsidR="00DA4221">
        <w:rPr>
          <w:bCs/>
          <w:sz w:val="24"/>
        </w:rPr>
        <w:t>u</w:t>
      </w:r>
      <w:r w:rsidR="00A142C2" w:rsidRPr="00231ABC">
        <w:rPr>
          <w:bCs/>
          <w:sz w:val="24"/>
        </w:rPr>
        <w:t xml:space="preserve"> </w:t>
      </w:r>
      <w:r w:rsidR="00B20796" w:rsidRPr="00231ABC">
        <w:rPr>
          <w:bCs/>
          <w:sz w:val="24"/>
        </w:rPr>
        <w:t xml:space="preserve">obchodů </w:t>
      </w:r>
      <w:r w:rsidR="00947CA3">
        <w:rPr>
          <w:bCs/>
          <w:sz w:val="24"/>
        </w:rPr>
        <w:t xml:space="preserve">v </w:t>
      </w:r>
      <w:r w:rsidR="00DA4221">
        <w:rPr>
          <w:bCs/>
          <w:sz w:val="24"/>
        </w:rPr>
        <w:t>úrov</w:t>
      </w:r>
      <w:r w:rsidR="00947CA3">
        <w:rPr>
          <w:bCs/>
          <w:sz w:val="24"/>
        </w:rPr>
        <w:t>ni</w:t>
      </w:r>
      <w:r w:rsidR="00DA4221">
        <w:rPr>
          <w:bCs/>
          <w:sz w:val="24"/>
        </w:rPr>
        <w:t xml:space="preserve"> </w:t>
      </w:r>
      <w:r w:rsidR="00947CA3">
        <w:rPr>
          <w:bCs/>
          <w:sz w:val="24"/>
        </w:rPr>
        <w:t>2,21</w:t>
      </w:r>
      <w:r w:rsidR="00DA4221">
        <w:rPr>
          <w:bCs/>
          <w:sz w:val="24"/>
        </w:rPr>
        <w:t> </w:t>
      </w:r>
      <w:r w:rsidR="00A142C2" w:rsidRPr="00231ABC">
        <w:rPr>
          <w:bCs/>
          <w:sz w:val="24"/>
        </w:rPr>
        <w:t>mil.</w:t>
      </w:r>
      <w:r w:rsidR="00DA4221">
        <w:rPr>
          <w:bCs/>
          <w:sz w:val="24"/>
        </w:rPr>
        <w:t> </w:t>
      </w:r>
      <w:r w:rsidR="00A142C2" w:rsidRPr="00231ABC">
        <w:rPr>
          <w:bCs/>
          <w:sz w:val="24"/>
        </w:rPr>
        <w:t>Kč</w:t>
      </w:r>
      <w:r w:rsidR="008262BA">
        <w:rPr>
          <w:bCs/>
          <w:sz w:val="24"/>
        </w:rPr>
        <w:t xml:space="preserve">. </w:t>
      </w:r>
      <w:r w:rsidR="004729B3">
        <w:rPr>
          <w:bCs/>
          <w:sz w:val="24"/>
        </w:rPr>
        <w:t>V</w:t>
      </w:r>
      <w:r w:rsidR="009A1A89">
        <w:rPr>
          <w:bCs/>
          <w:sz w:val="24"/>
        </w:rPr>
        <w:t xml:space="preserve"> této kategorii </w:t>
      </w:r>
      <w:r w:rsidR="004729B3">
        <w:rPr>
          <w:bCs/>
          <w:sz w:val="24"/>
        </w:rPr>
        <w:t xml:space="preserve">bylo realizováno </w:t>
      </w:r>
      <w:r w:rsidR="008262BA">
        <w:rPr>
          <w:bCs/>
          <w:sz w:val="24"/>
        </w:rPr>
        <w:t xml:space="preserve">celkem </w:t>
      </w:r>
      <w:r w:rsidR="00947CA3">
        <w:rPr>
          <w:bCs/>
          <w:sz w:val="24"/>
        </w:rPr>
        <w:t>71</w:t>
      </w:r>
      <w:r w:rsidR="008262BA">
        <w:rPr>
          <w:bCs/>
          <w:sz w:val="24"/>
        </w:rPr>
        <w:t xml:space="preserve"> parcel</w:t>
      </w:r>
      <w:r w:rsidR="00947CA3">
        <w:rPr>
          <w:bCs/>
          <w:sz w:val="24"/>
        </w:rPr>
        <w:t xml:space="preserve"> o celkové výměře 4 574 m</w:t>
      </w:r>
      <w:r w:rsidR="00947CA3">
        <w:rPr>
          <w:bCs/>
          <w:sz w:val="24"/>
          <w:vertAlign w:val="superscript"/>
        </w:rPr>
        <w:t>2</w:t>
      </w:r>
      <w:r w:rsidR="009A1A89">
        <w:rPr>
          <w:bCs/>
          <w:sz w:val="24"/>
        </w:rPr>
        <w:t xml:space="preserve">, </w:t>
      </w:r>
      <w:r w:rsidR="004D1206">
        <w:rPr>
          <w:bCs/>
          <w:sz w:val="24"/>
        </w:rPr>
        <w:t>obchod</w:t>
      </w:r>
      <w:r w:rsidR="009A1A89">
        <w:rPr>
          <w:bCs/>
          <w:sz w:val="24"/>
        </w:rPr>
        <w:t>ov</w:t>
      </w:r>
      <w:r w:rsidR="00841CE6">
        <w:rPr>
          <w:bCs/>
          <w:sz w:val="24"/>
        </w:rPr>
        <w:t xml:space="preserve">ány byly převážně </w:t>
      </w:r>
      <w:r w:rsidR="009A1A89">
        <w:rPr>
          <w:bCs/>
          <w:sz w:val="24"/>
        </w:rPr>
        <w:t>v</w:t>
      </w:r>
      <w:r w:rsidR="00947CA3">
        <w:rPr>
          <w:bCs/>
          <w:sz w:val="24"/>
        </w:rPr>
        <w:t xml:space="preserve"> obytných </w:t>
      </w:r>
      <w:r w:rsidR="00EA34C9">
        <w:rPr>
          <w:bCs/>
          <w:sz w:val="24"/>
        </w:rPr>
        <w:t xml:space="preserve">zónách městských částí Poruba, </w:t>
      </w:r>
      <w:r w:rsidR="009A1A89">
        <w:rPr>
          <w:bCs/>
          <w:sz w:val="24"/>
        </w:rPr>
        <w:t>Mariánsk</w:t>
      </w:r>
      <w:r w:rsidR="00947CA3">
        <w:rPr>
          <w:bCs/>
          <w:sz w:val="24"/>
        </w:rPr>
        <w:t>é</w:t>
      </w:r>
      <w:r w:rsidR="009A1A89">
        <w:rPr>
          <w:bCs/>
          <w:sz w:val="24"/>
        </w:rPr>
        <w:t xml:space="preserve"> Hor</w:t>
      </w:r>
      <w:r w:rsidR="00947CA3">
        <w:rPr>
          <w:bCs/>
          <w:sz w:val="24"/>
        </w:rPr>
        <w:t>y, Svinov</w:t>
      </w:r>
      <w:r w:rsidR="004729B3">
        <w:rPr>
          <w:bCs/>
          <w:sz w:val="24"/>
        </w:rPr>
        <w:t xml:space="preserve"> a </w:t>
      </w:r>
      <w:r w:rsidR="00947CA3">
        <w:rPr>
          <w:bCs/>
          <w:sz w:val="24"/>
        </w:rPr>
        <w:t>Zábřeh</w:t>
      </w:r>
      <w:r w:rsidR="008262BA">
        <w:rPr>
          <w:bCs/>
          <w:sz w:val="24"/>
        </w:rPr>
        <w:t>.</w:t>
      </w:r>
      <w:r w:rsidR="005526EC" w:rsidRPr="00231ABC">
        <w:rPr>
          <w:bCs/>
          <w:sz w:val="24"/>
        </w:rPr>
        <w:t xml:space="preserve"> </w:t>
      </w:r>
      <w:r w:rsidR="00A142C2" w:rsidRPr="00231ABC">
        <w:rPr>
          <w:bCs/>
          <w:sz w:val="24"/>
        </w:rPr>
        <w:t xml:space="preserve"> </w:t>
      </w:r>
    </w:p>
    <w:p w14:paraId="2E0AB024" w14:textId="40CB30FC" w:rsidR="00DE16DD" w:rsidRPr="00231ABC" w:rsidRDefault="00DE16DD" w:rsidP="00DE16DD">
      <w:pPr>
        <w:pStyle w:val="Zhlav"/>
        <w:tabs>
          <w:tab w:val="clear" w:pos="4536"/>
          <w:tab w:val="clear" w:pos="9072"/>
        </w:tabs>
        <w:spacing w:before="120"/>
      </w:pPr>
      <w:r w:rsidRPr="00231ABC">
        <w:t>CM 20</w:t>
      </w:r>
      <w:r>
        <w:t>20</w:t>
      </w: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61"/>
        <w:gridCol w:w="1842"/>
        <w:gridCol w:w="1843"/>
        <w:gridCol w:w="1843"/>
      </w:tblGrid>
      <w:tr w:rsidR="00DE16DD" w:rsidRPr="00231ABC" w14:paraId="22E4A83A" w14:textId="77777777" w:rsidTr="00D5526F">
        <w:trPr>
          <w:cantSplit/>
        </w:trPr>
        <w:tc>
          <w:tcPr>
            <w:tcW w:w="3261" w:type="dxa"/>
            <w:vMerge w:val="restart"/>
            <w:tcBorders>
              <w:top w:val="single" w:sz="18" w:space="0" w:color="auto"/>
              <w:left w:val="single" w:sz="18" w:space="0" w:color="auto"/>
              <w:right w:val="single" w:sz="18" w:space="0" w:color="auto"/>
            </w:tcBorders>
            <w:vAlign w:val="center"/>
          </w:tcPr>
          <w:p w14:paraId="6B14282C" w14:textId="77777777" w:rsidR="00DE16DD" w:rsidRPr="00231ABC" w:rsidRDefault="00DE16DD" w:rsidP="00D5526F">
            <w:pPr>
              <w:pStyle w:val="Nadpis1"/>
              <w:ind w:left="709" w:hanging="709"/>
              <w:jc w:val="center"/>
              <w:rPr>
                <w:b/>
              </w:rPr>
            </w:pPr>
            <w:r w:rsidRPr="00231ABC">
              <w:rPr>
                <w:b/>
              </w:rPr>
              <w:t>Poloha</w:t>
            </w:r>
          </w:p>
        </w:tc>
        <w:tc>
          <w:tcPr>
            <w:tcW w:w="5528" w:type="dxa"/>
            <w:gridSpan w:val="3"/>
            <w:tcBorders>
              <w:top w:val="single" w:sz="18" w:space="0" w:color="auto"/>
              <w:left w:val="nil"/>
              <w:bottom w:val="nil"/>
              <w:right w:val="single" w:sz="18" w:space="0" w:color="auto"/>
            </w:tcBorders>
          </w:tcPr>
          <w:p w14:paraId="7F560AAE" w14:textId="77777777" w:rsidR="00DE16DD" w:rsidRPr="00231ABC" w:rsidRDefault="00DE16DD" w:rsidP="00D5526F">
            <w:pPr>
              <w:jc w:val="center"/>
              <w:rPr>
                <w:b/>
                <w:sz w:val="24"/>
              </w:rPr>
            </w:pPr>
            <w:r w:rsidRPr="00231ABC">
              <w:rPr>
                <w:b/>
                <w:sz w:val="24"/>
              </w:rPr>
              <w:t>Kč/m</w:t>
            </w:r>
            <w:r w:rsidRPr="00231ABC">
              <w:rPr>
                <w:b/>
                <w:sz w:val="24"/>
                <w:vertAlign w:val="superscript"/>
              </w:rPr>
              <w:t>2</w:t>
            </w:r>
            <w:r w:rsidRPr="00231ABC">
              <w:rPr>
                <w:b/>
                <w:sz w:val="24"/>
              </w:rPr>
              <w:t xml:space="preserve"> </w:t>
            </w:r>
          </w:p>
        </w:tc>
      </w:tr>
      <w:tr w:rsidR="00DE16DD" w:rsidRPr="00231ABC" w14:paraId="18B097FA" w14:textId="77777777" w:rsidTr="00D5526F">
        <w:tc>
          <w:tcPr>
            <w:tcW w:w="3261" w:type="dxa"/>
            <w:vMerge/>
            <w:tcBorders>
              <w:left w:val="single" w:sz="18" w:space="0" w:color="auto"/>
              <w:bottom w:val="single" w:sz="18" w:space="0" w:color="auto"/>
              <w:right w:val="single" w:sz="18" w:space="0" w:color="auto"/>
            </w:tcBorders>
            <w:vAlign w:val="center"/>
          </w:tcPr>
          <w:p w14:paraId="39168C04" w14:textId="77777777" w:rsidR="00DE16DD" w:rsidRPr="00231ABC" w:rsidRDefault="00DE16DD" w:rsidP="00D5526F">
            <w:pPr>
              <w:pStyle w:val="Nadpis1"/>
              <w:jc w:val="center"/>
              <w:rPr>
                <w:b/>
              </w:rPr>
            </w:pPr>
          </w:p>
        </w:tc>
        <w:tc>
          <w:tcPr>
            <w:tcW w:w="1842" w:type="dxa"/>
            <w:tcBorders>
              <w:top w:val="single" w:sz="12" w:space="0" w:color="auto"/>
              <w:left w:val="nil"/>
              <w:bottom w:val="single" w:sz="18" w:space="0" w:color="auto"/>
              <w:right w:val="single" w:sz="6" w:space="0" w:color="auto"/>
            </w:tcBorders>
          </w:tcPr>
          <w:p w14:paraId="31065237" w14:textId="77777777" w:rsidR="00DE16DD" w:rsidRPr="00231ABC" w:rsidRDefault="00DE16DD" w:rsidP="00D5526F">
            <w:pPr>
              <w:jc w:val="center"/>
              <w:rPr>
                <w:b/>
                <w:sz w:val="24"/>
              </w:rPr>
            </w:pPr>
            <w:r w:rsidRPr="00231ABC">
              <w:rPr>
                <w:b/>
                <w:sz w:val="24"/>
              </w:rPr>
              <w:t>Průměrná cena</w:t>
            </w:r>
          </w:p>
        </w:tc>
        <w:tc>
          <w:tcPr>
            <w:tcW w:w="1843" w:type="dxa"/>
            <w:tcBorders>
              <w:top w:val="single" w:sz="12" w:space="0" w:color="auto"/>
              <w:left w:val="single" w:sz="6" w:space="0" w:color="auto"/>
              <w:bottom w:val="single" w:sz="18" w:space="0" w:color="auto"/>
              <w:right w:val="single" w:sz="6" w:space="0" w:color="auto"/>
            </w:tcBorders>
          </w:tcPr>
          <w:p w14:paraId="5A8CDCDF" w14:textId="77777777" w:rsidR="00DE16DD" w:rsidRPr="00231ABC" w:rsidRDefault="00DE16DD" w:rsidP="00D5526F">
            <w:pPr>
              <w:jc w:val="center"/>
              <w:rPr>
                <w:b/>
                <w:sz w:val="24"/>
              </w:rPr>
            </w:pPr>
            <w:r w:rsidRPr="00231ABC">
              <w:rPr>
                <w:b/>
                <w:sz w:val="24"/>
              </w:rPr>
              <w:t>Minimální cena</w:t>
            </w:r>
          </w:p>
        </w:tc>
        <w:tc>
          <w:tcPr>
            <w:tcW w:w="1843" w:type="dxa"/>
            <w:tcBorders>
              <w:top w:val="single" w:sz="12" w:space="0" w:color="auto"/>
              <w:left w:val="single" w:sz="6" w:space="0" w:color="auto"/>
              <w:bottom w:val="single" w:sz="18" w:space="0" w:color="auto"/>
              <w:right w:val="single" w:sz="18" w:space="0" w:color="auto"/>
            </w:tcBorders>
          </w:tcPr>
          <w:p w14:paraId="69024F7F" w14:textId="77777777" w:rsidR="00DE16DD" w:rsidRPr="00231ABC" w:rsidRDefault="00DE16DD" w:rsidP="00D5526F">
            <w:pPr>
              <w:jc w:val="center"/>
              <w:rPr>
                <w:b/>
                <w:sz w:val="24"/>
              </w:rPr>
            </w:pPr>
            <w:r w:rsidRPr="00231ABC">
              <w:rPr>
                <w:b/>
                <w:sz w:val="24"/>
              </w:rPr>
              <w:t>Maximální cena</w:t>
            </w:r>
          </w:p>
        </w:tc>
      </w:tr>
      <w:tr w:rsidR="00DE16DD" w:rsidRPr="00231ABC" w14:paraId="7223ECB4" w14:textId="77777777" w:rsidTr="00D5526F">
        <w:tc>
          <w:tcPr>
            <w:tcW w:w="3261" w:type="dxa"/>
            <w:tcBorders>
              <w:top w:val="nil"/>
              <w:left w:val="single" w:sz="18" w:space="0" w:color="auto"/>
              <w:bottom w:val="single" w:sz="6" w:space="0" w:color="auto"/>
              <w:right w:val="single" w:sz="18" w:space="0" w:color="auto"/>
            </w:tcBorders>
          </w:tcPr>
          <w:p w14:paraId="49C30752" w14:textId="77777777" w:rsidR="00DE16DD" w:rsidRPr="00231ABC" w:rsidRDefault="00DE16DD" w:rsidP="00D5526F">
            <w:pPr>
              <w:rPr>
                <w:sz w:val="24"/>
              </w:rPr>
            </w:pPr>
            <w:r w:rsidRPr="00231ABC">
              <w:rPr>
                <w:sz w:val="24"/>
              </w:rPr>
              <w:t>Vnitřní město</w:t>
            </w:r>
          </w:p>
        </w:tc>
        <w:tc>
          <w:tcPr>
            <w:tcW w:w="1842" w:type="dxa"/>
            <w:tcBorders>
              <w:top w:val="nil"/>
              <w:left w:val="nil"/>
              <w:bottom w:val="single" w:sz="6" w:space="0" w:color="auto"/>
              <w:right w:val="single" w:sz="6" w:space="0" w:color="auto"/>
            </w:tcBorders>
          </w:tcPr>
          <w:p w14:paraId="59FCA2CA" w14:textId="6BBF9DDE" w:rsidR="00DE16DD" w:rsidRPr="00A975CE" w:rsidRDefault="00DE16DD" w:rsidP="00D5526F">
            <w:pPr>
              <w:jc w:val="center"/>
              <w:rPr>
                <w:sz w:val="24"/>
              </w:rPr>
            </w:pPr>
            <w:r>
              <w:rPr>
                <w:sz w:val="24"/>
              </w:rPr>
              <w:t>896</w:t>
            </w:r>
          </w:p>
        </w:tc>
        <w:tc>
          <w:tcPr>
            <w:tcW w:w="1843" w:type="dxa"/>
            <w:tcBorders>
              <w:top w:val="nil"/>
              <w:left w:val="single" w:sz="6" w:space="0" w:color="auto"/>
              <w:bottom w:val="single" w:sz="6" w:space="0" w:color="auto"/>
              <w:right w:val="single" w:sz="6" w:space="0" w:color="auto"/>
            </w:tcBorders>
          </w:tcPr>
          <w:p w14:paraId="4BFDFC98" w14:textId="7099487F" w:rsidR="00DE16DD" w:rsidRPr="00A975CE" w:rsidRDefault="00DE16DD" w:rsidP="00D5526F">
            <w:pPr>
              <w:jc w:val="center"/>
              <w:rPr>
                <w:sz w:val="24"/>
              </w:rPr>
            </w:pPr>
            <w:r>
              <w:rPr>
                <w:sz w:val="24"/>
              </w:rPr>
              <w:t>170</w:t>
            </w:r>
          </w:p>
        </w:tc>
        <w:tc>
          <w:tcPr>
            <w:tcW w:w="1843" w:type="dxa"/>
            <w:tcBorders>
              <w:top w:val="nil"/>
              <w:left w:val="single" w:sz="6" w:space="0" w:color="auto"/>
              <w:bottom w:val="single" w:sz="6" w:space="0" w:color="auto"/>
              <w:right w:val="single" w:sz="18" w:space="0" w:color="auto"/>
            </w:tcBorders>
          </w:tcPr>
          <w:p w14:paraId="69D02B8F" w14:textId="67244615" w:rsidR="00DE16DD" w:rsidRPr="00A975CE" w:rsidRDefault="00DE16DD" w:rsidP="00D5526F">
            <w:pPr>
              <w:jc w:val="center"/>
              <w:rPr>
                <w:sz w:val="24"/>
              </w:rPr>
            </w:pPr>
            <w:r>
              <w:rPr>
                <w:sz w:val="24"/>
              </w:rPr>
              <w:t>1 029</w:t>
            </w:r>
          </w:p>
        </w:tc>
      </w:tr>
      <w:tr w:rsidR="00DE16DD" w:rsidRPr="00231ABC" w14:paraId="683BEBD2" w14:textId="77777777" w:rsidTr="00D5526F">
        <w:tc>
          <w:tcPr>
            <w:tcW w:w="3261" w:type="dxa"/>
            <w:tcBorders>
              <w:top w:val="single" w:sz="6" w:space="0" w:color="auto"/>
              <w:left w:val="single" w:sz="18" w:space="0" w:color="auto"/>
              <w:bottom w:val="single" w:sz="6" w:space="0" w:color="auto"/>
              <w:right w:val="single" w:sz="18" w:space="0" w:color="auto"/>
            </w:tcBorders>
          </w:tcPr>
          <w:p w14:paraId="673CBAD6" w14:textId="77777777" w:rsidR="00DE16DD" w:rsidRPr="00231ABC" w:rsidRDefault="00DE16DD" w:rsidP="00D5526F">
            <w:pPr>
              <w:rPr>
                <w:sz w:val="24"/>
              </w:rPr>
            </w:pPr>
            <w:r w:rsidRPr="00231ABC">
              <w:rPr>
                <w:sz w:val="24"/>
              </w:rPr>
              <w:t>Okrajová část vnitřního města</w:t>
            </w:r>
          </w:p>
        </w:tc>
        <w:tc>
          <w:tcPr>
            <w:tcW w:w="1842" w:type="dxa"/>
            <w:tcBorders>
              <w:top w:val="single" w:sz="6" w:space="0" w:color="auto"/>
              <w:left w:val="nil"/>
              <w:bottom w:val="single" w:sz="6" w:space="0" w:color="auto"/>
              <w:right w:val="single" w:sz="6" w:space="0" w:color="auto"/>
            </w:tcBorders>
          </w:tcPr>
          <w:p w14:paraId="1FD890EA" w14:textId="4E8F53A4" w:rsidR="00DE16DD" w:rsidRPr="00A975CE" w:rsidRDefault="00DE16DD" w:rsidP="00D5526F">
            <w:pPr>
              <w:jc w:val="center"/>
              <w:rPr>
                <w:sz w:val="24"/>
              </w:rPr>
            </w:pPr>
            <w:r>
              <w:rPr>
                <w:sz w:val="24"/>
              </w:rPr>
              <w:t>-</w:t>
            </w:r>
          </w:p>
        </w:tc>
        <w:tc>
          <w:tcPr>
            <w:tcW w:w="1843" w:type="dxa"/>
            <w:tcBorders>
              <w:top w:val="single" w:sz="6" w:space="0" w:color="auto"/>
              <w:left w:val="single" w:sz="6" w:space="0" w:color="auto"/>
              <w:bottom w:val="single" w:sz="6" w:space="0" w:color="auto"/>
              <w:right w:val="single" w:sz="6" w:space="0" w:color="auto"/>
            </w:tcBorders>
          </w:tcPr>
          <w:p w14:paraId="523C2D6F" w14:textId="03730570" w:rsidR="00DE16DD" w:rsidRPr="00A975CE" w:rsidRDefault="00DE16DD" w:rsidP="00D5526F">
            <w:pPr>
              <w:jc w:val="center"/>
              <w:rPr>
                <w:sz w:val="24"/>
              </w:rPr>
            </w:pPr>
            <w:r>
              <w:rPr>
                <w:sz w:val="24"/>
              </w:rPr>
              <w:t>-</w:t>
            </w:r>
          </w:p>
        </w:tc>
        <w:tc>
          <w:tcPr>
            <w:tcW w:w="1843" w:type="dxa"/>
            <w:tcBorders>
              <w:top w:val="single" w:sz="6" w:space="0" w:color="auto"/>
              <w:left w:val="single" w:sz="6" w:space="0" w:color="auto"/>
              <w:bottom w:val="single" w:sz="6" w:space="0" w:color="auto"/>
              <w:right w:val="single" w:sz="18" w:space="0" w:color="auto"/>
            </w:tcBorders>
          </w:tcPr>
          <w:p w14:paraId="69A7DFA7" w14:textId="32D77769" w:rsidR="00DE16DD" w:rsidRPr="00A975CE" w:rsidRDefault="00DE16DD" w:rsidP="00D5526F">
            <w:pPr>
              <w:jc w:val="center"/>
              <w:rPr>
                <w:sz w:val="24"/>
              </w:rPr>
            </w:pPr>
            <w:r>
              <w:rPr>
                <w:sz w:val="24"/>
              </w:rPr>
              <w:t>-</w:t>
            </w:r>
          </w:p>
        </w:tc>
      </w:tr>
      <w:tr w:rsidR="00DE16DD" w:rsidRPr="00231ABC" w14:paraId="6096EED7" w14:textId="77777777" w:rsidTr="00D5526F">
        <w:tc>
          <w:tcPr>
            <w:tcW w:w="3261" w:type="dxa"/>
            <w:tcBorders>
              <w:top w:val="single" w:sz="6" w:space="0" w:color="auto"/>
              <w:left w:val="single" w:sz="18" w:space="0" w:color="auto"/>
              <w:bottom w:val="single" w:sz="6" w:space="0" w:color="auto"/>
              <w:right w:val="single" w:sz="18" w:space="0" w:color="auto"/>
            </w:tcBorders>
          </w:tcPr>
          <w:p w14:paraId="5DD2D58B" w14:textId="77777777" w:rsidR="00DE16DD" w:rsidRPr="00231ABC" w:rsidRDefault="00DE16DD" w:rsidP="00D5526F">
            <w:pPr>
              <w:rPr>
                <w:sz w:val="24"/>
              </w:rPr>
            </w:pPr>
            <w:r w:rsidRPr="00231ABC">
              <w:rPr>
                <w:sz w:val="24"/>
              </w:rPr>
              <w:t>Průmyslové části</w:t>
            </w:r>
          </w:p>
        </w:tc>
        <w:tc>
          <w:tcPr>
            <w:tcW w:w="1842" w:type="dxa"/>
            <w:tcBorders>
              <w:top w:val="single" w:sz="6" w:space="0" w:color="auto"/>
              <w:left w:val="nil"/>
              <w:bottom w:val="single" w:sz="6" w:space="0" w:color="auto"/>
              <w:right w:val="single" w:sz="6" w:space="0" w:color="auto"/>
            </w:tcBorders>
          </w:tcPr>
          <w:p w14:paraId="7C5711CE" w14:textId="558C8B49" w:rsidR="00DE16DD" w:rsidRPr="00A975CE" w:rsidRDefault="00DE16DD" w:rsidP="00D5526F">
            <w:pPr>
              <w:jc w:val="center"/>
              <w:rPr>
                <w:sz w:val="24"/>
              </w:rPr>
            </w:pPr>
            <w:r>
              <w:rPr>
                <w:sz w:val="24"/>
              </w:rPr>
              <w:t>650</w:t>
            </w:r>
          </w:p>
        </w:tc>
        <w:tc>
          <w:tcPr>
            <w:tcW w:w="1843" w:type="dxa"/>
            <w:tcBorders>
              <w:top w:val="single" w:sz="6" w:space="0" w:color="auto"/>
              <w:left w:val="single" w:sz="6" w:space="0" w:color="auto"/>
              <w:bottom w:val="single" w:sz="6" w:space="0" w:color="auto"/>
              <w:right w:val="single" w:sz="6" w:space="0" w:color="auto"/>
            </w:tcBorders>
          </w:tcPr>
          <w:p w14:paraId="335303A6" w14:textId="77D7A398" w:rsidR="00DE16DD" w:rsidRPr="00A975CE" w:rsidRDefault="00DE16DD" w:rsidP="00D5526F">
            <w:pPr>
              <w:jc w:val="center"/>
              <w:rPr>
                <w:sz w:val="24"/>
              </w:rPr>
            </w:pPr>
            <w:r>
              <w:rPr>
                <w:sz w:val="24"/>
              </w:rPr>
              <w:t>230</w:t>
            </w:r>
          </w:p>
        </w:tc>
        <w:tc>
          <w:tcPr>
            <w:tcW w:w="1843" w:type="dxa"/>
            <w:tcBorders>
              <w:top w:val="single" w:sz="6" w:space="0" w:color="auto"/>
              <w:left w:val="single" w:sz="6" w:space="0" w:color="auto"/>
              <w:bottom w:val="single" w:sz="6" w:space="0" w:color="auto"/>
              <w:right w:val="single" w:sz="18" w:space="0" w:color="auto"/>
            </w:tcBorders>
          </w:tcPr>
          <w:p w14:paraId="12BFBBDE" w14:textId="54AF2949" w:rsidR="00DE16DD" w:rsidRPr="00A975CE" w:rsidRDefault="00DE16DD" w:rsidP="00D5526F">
            <w:pPr>
              <w:jc w:val="center"/>
              <w:rPr>
                <w:sz w:val="24"/>
              </w:rPr>
            </w:pPr>
            <w:r>
              <w:rPr>
                <w:sz w:val="24"/>
              </w:rPr>
              <w:t>651</w:t>
            </w:r>
          </w:p>
        </w:tc>
      </w:tr>
      <w:tr w:rsidR="00DE16DD" w:rsidRPr="00231ABC" w14:paraId="73B05924" w14:textId="77777777" w:rsidTr="00D5526F">
        <w:tc>
          <w:tcPr>
            <w:tcW w:w="3261" w:type="dxa"/>
            <w:tcBorders>
              <w:top w:val="single" w:sz="6" w:space="0" w:color="auto"/>
              <w:left w:val="single" w:sz="18" w:space="0" w:color="auto"/>
              <w:bottom w:val="single" w:sz="18" w:space="0" w:color="auto"/>
              <w:right w:val="single" w:sz="18" w:space="0" w:color="auto"/>
            </w:tcBorders>
          </w:tcPr>
          <w:p w14:paraId="19559AFB" w14:textId="77777777" w:rsidR="00DE16DD" w:rsidRPr="00231ABC" w:rsidRDefault="00DE16DD" w:rsidP="00D5526F">
            <w:pPr>
              <w:rPr>
                <w:sz w:val="24"/>
              </w:rPr>
            </w:pPr>
            <w:r w:rsidRPr="00231ABC">
              <w:rPr>
                <w:sz w:val="24"/>
              </w:rPr>
              <w:t>Území mimo kompaktní město</w:t>
            </w:r>
          </w:p>
        </w:tc>
        <w:tc>
          <w:tcPr>
            <w:tcW w:w="1842" w:type="dxa"/>
            <w:tcBorders>
              <w:top w:val="single" w:sz="6" w:space="0" w:color="auto"/>
              <w:left w:val="nil"/>
              <w:bottom w:val="single" w:sz="18" w:space="0" w:color="auto"/>
              <w:right w:val="single" w:sz="6" w:space="0" w:color="auto"/>
            </w:tcBorders>
          </w:tcPr>
          <w:p w14:paraId="04273FBE" w14:textId="626A185D" w:rsidR="00DE16DD" w:rsidRPr="00A975CE" w:rsidRDefault="00DE16DD" w:rsidP="00D5526F">
            <w:pPr>
              <w:jc w:val="center"/>
              <w:rPr>
                <w:sz w:val="24"/>
              </w:rPr>
            </w:pPr>
            <w:r>
              <w:rPr>
                <w:sz w:val="24"/>
              </w:rPr>
              <w:t>-</w:t>
            </w:r>
          </w:p>
        </w:tc>
        <w:tc>
          <w:tcPr>
            <w:tcW w:w="1843" w:type="dxa"/>
            <w:tcBorders>
              <w:top w:val="single" w:sz="6" w:space="0" w:color="auto"/>
              <w:left w:val="single" w:sz="6" w:space="0" w:color="auto"/>
              <w:bottom w:val="single" w:sz="18" w:space="0" w:color="auto"/>
              <w:right w:val="single" w:sz="6" w:space="0" w:color="auto"/>
            </w:tcBorders>
          </w:tcPr>
          <w:p w14:paraId="70C5041C" w14:textId="74242A75" w:rsidR="00DE16DD" w:rsidRPr="00A975CE" w:rsidRDefault="00DE16DD" w:rsidP="00D5526F">
            <w:pPr>
              <w:jc w:val="center"/>
              <w:rPr>
                <w:sz w:val="24"/>
              </w:rPr>
            </w:pPr>
            <w:r>
              <w:rPr>
                <w:sz w:val="24"/>
              </w:rPr>
              <w:t>-</w:t>
            </w:r>
          </w:p>
        </w:tc>
        <w:tc>
          <w:tcPr>
            <w:tcW w:w="1843" w:type="dxa"/>
            <w:tcBorders>
              <w:top w:val="single" w:sz="6" w:space="0" w:color="auto"/>
              <w:left w:val="single" w:sz="6" w:space="0" w:color="auto"/>
              <w:bottom w:val="single" w:sz="18" w:space="0" w:color="auto"/>
              <w:right w:val="single" w:sz="18" w:space="0" w:color="auto"/>
            </w:tcBorders>
          </w:tcPr>
          <w:p w14:paraId="513B86D4" w14:textId="380CC589" w:rsidR="00DE16DD" w:rsidRPr="00A975CE" w:rsidRDefault="00DE16DD" w:rsidP="00D5526F">
            <w:pPr>
              <w:jc w:val="center"/>
              <w:rPr>
                <w:sz w:val="24"/>
              </w:rPr>
            </w:pPr>
            <w:r>
              <w:rPr>
                <w:sz w:val="24"/>
              </w:rPr>
              <w:t>-</w:t>
            </w:r>
          </w:p>
        </w:tc>
      </w:tr>
    </w:tbl>
    <w:p w14:paraId="32CEB6DE" w14:textId="579D230C" w:rsidR="004729B3" w:rsidRPr="00231ABC" w:rsidRDefault="004729B3" w:rsidP="004729B3">
      <w:pPr>
        <w:pStyle w:val="Zhlav"/>
        <w:tabs>
          <w:tab w:val="clear" w:pos="4536"/>
          <w:tab w:val="clear" w:pos="9072"/>
        </w:tabs>
        <w:spacing w:before="120"/>
      </w:pPr>
      <w:r w:rsidRPr="00231ABC">
        <w:t>CM 20</w:t>
      </w:r>
      <w:r>
        <w:t>21</w:t>
      </w:r>
    </w:p>
    <w:tbl>
      <w:tblPr>
        <w:tblW w:w="0" w:type="auto"/>
        <w:tblInd w:w="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61"/>
        <w:gridCol w:w="1890"/>
        <w:gridCol w:w="1890"/>
        <w:gridCol w:w="1890"/>
      </w:tblGrid>
      <w:tr w:rsidR="004729B3" w:rsidRPr="00A975CE" w14:paraId="77E12D5A" w14:textId="77777777" w:rsidTr="009C240A">
        <w:trPr>
          <w:cantSplit/>
        </w:trPr>
        <w:tc>
          <w:tcPr>
            <w:tcW w:w="3261" w:type="dxa"/>
            <w:vMerge w:val="restart"/>
            <w:tcBorders>
              <w:top w:val="single" w:sz="18" w:space="0" w:color="auto"/>
              <w:left w:val="single" w:sz="18" w:space="0" w:color="auto"/>
              <w:right w:val="single" w:sz="18" w:space="0" w:color="auto"/>
            </w:tcBorders>
            <w:vAlign w:val="center"/>
          </w:tcPr>
          <w:p w14:paraId="3F4A3BE4" w14:textId="77777777" w:rsidR="004729B3" w:rsidRPr="00A975CE" w:rsidRDefault="004729B3" w:rsidP="009C240A">
            <w:pPr>
              <w:pStyle w:val="Nadpis1"/>
              <w:jc w:val="center"/>
              <w:rPr>
                <w:b/>
              </w:rPr>
            </w:pPr>
            <w:r w:rsidRPr="00A975CE">
              <w:rPr>
                <w:b/>
              </w:rPr>
              <w:t>Poloha</w:t>
            </w:r>
          </w:p>
        </w:tc>
        <w:tc>
          <w:tcPr>
            <w:tcW w:w="5670" w:type="dxa"/>
            <w:gridSpan w:val="3"/>
            <w:tcBorders>
              <w:top w:val="single" w:sz="18" w:space="0" w:color="auto"/>
              <w:left w:val="nil"/>
              <w:bottom w:val="nil"/>
              <w:right w:val="single" w:sz="18" w:space="0" w:color="auto"/>
            </w:tcBorders>
          </w:tcPr>
          <w:p w14:paraId="1DE867C2" w14:textId="77777777" w:rsidR="004729B3" w:rsidRPr="00A975CE" w:rsidRDefault="004729B3" w:rsidP="009C240A">
            <w:pPr>
              <w:jc w:val="center"/>
              <w:rPr>
                <w:b/>
                <w:sz w:val="24"/>
              </w:rPr>
            </w:pPr>
            <w:r w:rsidRPr="00A975CE">
              <w:rPr>
                <w:b/>
                <w:sz w:val="24"/>
              </w:rPr>
              <w:t>Kč/m</w:t>
            </w:r>
            <w:r w:rsidRPr="00A975CE">
              <w:rPr>
                <w:b/>
                <w:sz w:val="24"/>
                <w:vertAlign w:val="superscript"/>
              </w:rPr>
              <w:t>2</w:t>
            </w:r>
            <w:r w:rsidRPr="00A975CE">
              <w:rPr>
                <w:b/>
                <w:sz w:val="24"/>
              </w:rPr>
              <w:t xml:space="preserve"> </w:t>
            </w:r>
          </w:p>
        </w:tc>
      </w:tr>
      <w:tr w:rsidR="004729B3" w:rsidRPr="00A975CE" w14:paraId="5F74EB62" w14:textId="77777777" w:rsidTr="009C240A">
        <w:tc>
          <w:tcPr>
            <w:tcW w:w="3261" w:type="dxa"/>
            <w:vMerge/>
            <w:tcBorders>
              <w:left w:val="single" w:sz="18" w:space="0" w:color="auto"/>
              <w:bottom w:val="single" w:sz="18" w:space="0" w:color="auto"/>
              <w:right w:val="single" w:sz="18" w:space="0" w:color="auto"/>
            </w:tcBorders>
          </w:tcPr>
          <w:p w14:paraId="1495D886" w14:textId="77777777" w:rsidR="004729B3" w:rsidRPr="00A975CE" w:rsidRDefault="004729B3" w:rsidP="009C240A">
            <w:pPr>
              <w:pStyle w:val="Nadpis1"/>
            </w:pPr>
          </w:p>
        </w:tc>
        <w:tc>
          <w:tcPr>
            <w:tcW w:w="1890" w:type="dxa"/>
            <w:tcBorders>
              <w:top w:val="single" w:sz="12" w:space="0" w:color="auto"/>
              <w:left w:val="nil"/>
              <w:bottom w:val="single" w:sz="18" w:space="0" w:color="auto"/>
              <w:right w:val="single" w:sz="6" w:space="0" w:color="auto"/>
            </w:tcBorders>
          </w:tcPr>
          <w:p w14:paraId="53A045B3" w14:textId="77777777" w:rsidR="004729B3" w:rsidRPr="00A975CE" w:rsidRDefault="004729B3" w:rsidP="009C240A">
            <w:pPr>
              <w:jc w:val="center"/>
              <w:rPr>
                <w:b/>
                <w:sz w:val="24"/>
              </w:rPr>
            </w:pPr>
            <w:r w:rsidRPr="00A975CE">
              <w:rPr>
                <w:b/>
                <w:sz w:val="24"/>
              </w:rPr>
              <w:t>Průměrná cena</w:t>
            </w:r>
          </w:p>
        </w:tc>
        <w:tc>
          <w:tcPr>
            <w:tcW w:w="1890" w:type="dxa"/>
            <w:tcBorders>
              <w:top w:val="single" w:sz="12" w:space="0" w:color="auto"/>
              <w:left w:val="single" w:sz="6" w:space="0" w:color="auto"/>
              <w:bottom w:val="single" w:sz="18" w:space="0" w:color="auto"/>
              <w:right w:val="single" w:sz="6" w:space="0" w:color="auto"/>
            </w:tcBorders>
          </w:tcPr>
          <w:p w14:paraId="469EC6A2" w14:textId="77777777" w:rsidR="004729B3" w:rsidRPr="00A975CE" w:rsidRDefault="004729B3" w:rsidP="009C240A">
            <w:pPr>
              <w:jc w:val="center"/>
              <w:rPr>
                <w:b/>
                <w:sz w:val="24"/>
              </w:rPr>
            </w:pPr>
            <w:r w:rsidRPr="00A975CE">
              <w:rPr>
                <w:b/>
                <w:sz w:val="24"/>
              </w:rPr>
              <w:t>Minimální cena</w:t>
            </w:r>
          </w:p>
        </w:tc>
        <w:tc>
          <w:tcPr>
            <w:tcW w:w="1890" w:type="dxa"/>
            <w:tcBorders>
              <w:top w:val="single" w:sz="12" w:space="0" w:color="auto"/>
              <w:left w:val="single" w:sz="6" w:space="0" w:color="auto"/>
              <w:bottom w:val="single" w:sz="18" w:space="0" w:color="auto"/>
              <w:right w:val="single" w:sz="18" w:space="0" w:color="auto"/>
            </w:tcBorders>
          </w:tcPr>
          <w:p w14:paraId="54371030" w14:textId="77777777" w:rsidR="004729B3" w:rsidRPr="00A975CE" w:rsidRDefault="004729B3" w:rsidP="009C240A">
            <w:pPr>
              <w:jc w:val="center"/>
              <w:rPr>
                <w:b/>
                <w:sz w:val="24"/>
              </w:rPr>
            </w:pPr>
            <w:r w:rsidRPr="00A975CE">
              <w:rPr>
                <w:b/>
                <w:sz w:val="24"/>
              </w:rPr>
              <w:t>Maximální cena</w:t>
            </w:r>
          </w:p>
        </w:tc>
      </w:tr>
      <w:tr w:rsidR="004729B3" w:rsidRPr="00A975CE" w14:paraId="6CB74A9E" w14:textId="77777777" w:rsidTr="009C240A">
        <w:tc>
          <w:tcPr>
            <w:tcW w:w="3261" w:type="dxa"/>
            <w:tcBorders>
              <w:top w:val="nil"/>
              <w:left w:val="single" w:sz="18" w:space="0" w:color="auto"/>
              <w:bottom w:val="single" w:sz="6" w:space="0" w:color="auto"/>
              <w:right w:val="single" w:sz="18" w:space="0" w:color="auto"/>
            </w:tcBorders>
          </w:tcPr>
          <w:p w14:paraId="237708A9" w14:textId="77777777" w:rsidR="004729B3" w:rsidRPr="00A975CE" w:rsidRDefault="004729B3" w:rsidP="009C240A">
            <w:pPr>
              <w:rPr>
                <w:sz w:val="24"/>
              </w:rPr>
            </w:pPr>
            <w:r w:rsidRPr="00A975CE">
              <w:rPr>
                <w:sz w:val="24"/>
              </w:rPr>
              <w:t>Vnitřní město</w:t>
            </w:r>
          </w:p>
        </w:tc>
        <w:tc>
          <w:tcPr>
            <w:tcW w:w="1890" w:type="dxa"/>
            <w:tcBorders>
              <w:top w:val="nil"/>
              <w:left w:val="nil"/>
              <w:bottom w:val="single" w:sz="6" w:space="0" w:color="auto"/>
              <w:right w:val="single" w:sz="6" w:space="0" w:color="auto"/>
            </w:tcBorders>
          </w:tcPr>
          <w:p w14:paraId="2894111D" w14:textId="299C931B" w:rsidR="004729B3" w:rsidRPr="00231ABC" w:rsidRDefault="004729B3" w:rsidP="004729B3">
            <w:pPr>
              <w:jc w:val="center"/>
              <w:rPr>
                <w:sz w:val="24"/>
              </w:rPr>
            </w:pPr>
            <w:r>
              <w:rPr>
                <w:sz w:val="24"/>
              </w:rPr>
              <w:t>741</w:t>
            </w:r>
          </w:p>
        </w:tc>
        <w:tc>
          <w:tcPr>
            <w:tcW w:w="1890" w:type="dxa"/>
            <w:tcBorders>
              <w:top w:val="nil"/>
              <w:left w:val="single" w:sz="6" w:space="0" w:color="auto"/>
              <w:bottom w:val="single" w:sz="6" w:space="0" w:color="auto"/>
              <w:right w:val="single" w:sz="6" w:space="0" w:color="auto"/>
            </w:tcBorders>
          </w:tcPr>
          <w:p w14:paraId="53615795" w14:textId="54CBE776" w:rsidR="004729B3" w:rsidRPr="00231ABC" w:rsidRDefault="004729B3" w:rsidP="004729B3">
            <w:pPr>
              <w:jc w:val="center"/>
              <w:rPr>
                <w:sz w:val="24"/>
              </w:rPr>
            </w:pPr>
            <w:r>
              <w:rPr>
                <w:sz w:val="24"/>
              </w:rPr>
              <w:t>65</w:t>
            </w:r>
          </w:p>
        </w:tc>
        <w:tc>
          <w:tcPr>
            <w:tcW w:w="1890" w:type="dxa"/>
            <w:tcBorders>
              <w:top w:val="nil"/>
              <w:left w:val="single" w:sz="6" w:space="0" w:color="auto"/>
              <w:bottom w:val="single" w:sz="6" w:space="0" w:color="auto"/>
              <w:right w:val="single" w:sz="18" w:space="0" w:color="auto"/>
            </w:tcBorders>
          </w:tcPr>
          <w:p w14:paraId="5869C4FF" w14:textId="0ECF66EE" w:rsidR="004729B3" w:rsidRPr="00231ABC" w:rsidRDefault="004729B3" w:rsidP="004729B3">
            <w:pPr>
              <w:jc w:val="center"/>
              <w:rPr>
                <w:sz w:val="24"/>
              </w:rPr>
            </w:pPr>
            <w:r>
              <w:rPr>
                <w:sz w:val="24"/>
              </w:rPr>
              <w:t>1 182</w:t>
            </w:r>
          </w:p>
        </w:tc>
      </w:tr>
      <w:tr w:rsidR="004729B3" w:rsidRPr="00A975CE" w14:paraId="4EFD6047" w14:textId="77777777" w:rsidTr="009C240A">
        <w:tc>
          <w:tcPr>
            <w:tcW w:w="3261" w:type="dxa"/>
            <w:tcBorders>
              <w:top w:val="single" w:sz="6" w:space="0" w:color="auto"/>
              <w:left w:val="single" w:sz="18" w:space="0" w:color="auto"/>
              <w:bottom w:val="single" w:sz="6" w:space="0" w:color="auto"/>
              <w:right w:val="single" w:sz="18" w:space="0" w:color="auto"/>
            </w:tcBorders>
          </w:tcPr>
          <w:p w14:paraId="4EB68363" w14:textId="77777777" w:rsidR="004729B3" w:rsidRPr="00A975CE" w:rsidRDefault="004729B3" w:rsidP="009C240A">
            <w:pPr>
              <w:rPr>
                <w:sz w:val="24"/>
              </w:rPr>
            </w:pPr>
            <w:r w:rsidRPr="00A975CE">
              <w:rPr>
                <w:sz w:val="24"/>
              </w:rPr>
              <w:t>Okrajová část vnitřního města</w:t>
            </w:r>
          </w:p>
        </w:tc>
        <w:tc>
          <w:tcPr>
            <w:tcW w:w="1890" w:type="dxa"/>
            <w:tcBorders>
              <w:top w:val="single" w:sz="6" w:space="0" w:color="auto"/>
              <w:left w:val="nil"/>
              <w:bottom w:val="single" w:sz="6" w:space="0" w:color="auto"/>
              <w:right w:val="single" w:sz="6" w:space="0" w:color="auto"/>
            </w:tcBorders>
          </w:tcPr>
          <w:p w14:paraId="4ADB4DB2" w14:textId="07ADDD06" w:rsidR="004729B3" w:rsidRPr="00231ABC" w:rsidRDefault="004729B3" w:rsidP="004729B3">
            <w:pPr>
              <w:jc w:val="center"/>
              <w:rPr>
                <w:sz w:val="24"/>
              </w:rPr>
            </w:pPr>
            <w:r>
              <w:rPr>
                <w:sz w:val="24"/>
              </w:rPr>
              <w:t>800</w:t>
            </w:r>
          </w:p>
        </w:tc>
        <w:tc>
          <w:tcPr>
            <w:tcW w:w="1890" w:type="dxa"/>
            <w:tcBorders>
              <w:top w:val="single" w:sz="6" w:space="0" w:color="auto"/>
              <w:left w:val="single" w:sz="6" w:space="0" w:color="auto"/>
              <w:bottom w:val="single" w:sz="6" w:space="0" w:color="auto"/>
              <w:right w:val="single" w:sz="6" w:space="0" w:color="auto"/>
            </w:tcBorders>
          </w:tcPr>
          <w:p w14:paraId="5A40929C" w14:textId="619E18B7" w:rsidR="004729B3" w:rsidRPr="00231ABC" w:rsidRDefault="004729B3" w:rsidP="004729B3">
            <w:pPr>
              <w:jc w:val="center"/>
              <w:rPr>
                <w:sz w:val="24"/>
              </w:rPr>
            </w:pPr>
            <w:r>
              <w:rPr>
                <w:sz w:val="24"/>
              </w:rPr>
              <w:t>-</w:t>
            </w:r>
          </w:p>
        </w:tc>
        <w:tc>
          <w:tcPr>
            <w:tcW w:w="1890" w:type="dxa"/>
            <w:tcBorders>
              <w:top w:val="single" w:sz="6" w:space="0" w:color="auto"/>
              <w:left w:val="single" w:sz="6" w:space="0" w:color="auto"/>
              <w:bottom w:val="single" w:sz="6" w:space="0" w:color="auto"/>
              <w:right w:val="single" w:sz="18" w:space="0" w:color="auto"/>
            </w:tcBorders>
          </w:tcPr>
          <w:p w14:paraId="7A45488E" w14:textId="1C192759" w:rsidR="004729B3" w:rsidRPr="00231ABC" w:rsidRDefault="004729B3" w:rsidP="004729B3">
            <w:pPr>
              <w:jc w:val="center"/>
              <w:rPr>
                <w:sz w:val="24"/>
              </w:rPr>
            </w:pPr>
            <w:r>
              <w:rPr>
                <w:sz w:val="24"/>
              </w:rPr>
              <w:t>-</w:t>
            </w:r>
          </w:p>
        </w:tc>
      </w:tr>
      <w:tr w:rsidR="004729B3" w:rsidRPr="00A975CE" w14:paraId="56B0B161" w14:textId="77777777" w:rsidTr="009C240A">
        <w:tc>
          <w:tcPr>
            <w:tcW w:w="3261" w:type="dxa"/>
            <w:tcBorders>
              <w:top w:val="single" w:sz="6" w:space="0" w:color="auto"/>
              <w:left w:val="single" w:sz="18" w:space="0" w:color="auto"/>
              <w:bottom w:val="single" w:sz="6" w:space="0" w:color="auto"/>
              <w:right w:val="single" w:sz="18" w:space="0" w:color="auto"/>
            </w:tcBorders>
          </w:tcPr>
          <w:p w14:paraId="696364D3" w14:textId="77777777" w:rsidR="004729B3" w:rsidRPr="00A975CE" w:rsidRDefault="004729B3" w:rsidP="009C240A">
            <w:pPr>
              <w:rPr>
                <w:sz w:val="24"/>
              </w:rPr>
            </w:pPr>
            <w:r w:rsidRPr="00A975CE">
              <w:rPr>
                <w:sz w:val="24"/>
              </w:rPr>
              <w:t>Průmyslové části</w:t>
            </w:r>
          </w:p>
        </w:tc>
        <w:tc>
          <w:tcPr>
            <w:tcW w:w="1890" w:type="dxa"/>
            <w:tcBorders>
              <w:top w:val="single" w:sz="6" w:space="0" w:color="auto"/>
              <w:left w:val="nil"/>
              <w:bottom w:val="single" w:sz="6" w:space="0" w:color="auto"/>
              <w:right w:val="single" w:sz="6" w:space="0" w:color="auto"/>
            </w:tcBorders>
          </w:tcPr>
          <w:p w14:paraId="251FD51C" w14:textId="0E347471" w:rsidR="004729B3" w:rsidRPr="00231ABC" w:rsidRDefault="004729B3" w:rsidP="004729B3">
            <w:pPr>
              <w:jc w:val="center"/>
              <w:rPr>
                <w:sz w:val="24"/>
              </w:rPr>
            </w:pPr>
            <w:r>
              <w:rPr>
                <w:sz w:val="24"/>
              </w:rPr>
              <w:t>-</w:t>
            </w:r>
          </w:p>
        </w:tc>
        <w:tc>
          <w:tcPr>
            <w:tcW w:w="1890" w:type="dxa"/>
            <w:tcBorders>
              <w:top w:val="single" w:sz="6" w:space="0" w:color="auto"/>
              <w:left w:val="single" w:sz="6" w:space="0" w:color="auto"/>
              <w:bottom w:val="single" w:sz="6" w:space="0" w:color="auto"/>
              <w:right w:val="single" w:sz="6" w:space="0" w:color="auto"/>
            </w:tcBorders>
          </w:tcPr>
          <w:p w14:paraId="513F6092" w14:textId="3113D7E9" w:rsidR="004729B3" w:rsidRPr="00231ABC" w:rsidRDefault="004729B3" w:rsidP="009C240A">
            <w:pPr>
              <w:jc w:val="center"/>
              <w:rPr>
                <w:sz w:val="24"/>
              </w:rPr>
            </w:pPr>
            <w:r>
              <w:rPr>
                <w:sz w:val="24"/>
              </w:rPr>
              <w:t>-</w:t>
            </w:r>
          </w:p>
        </w:tc>
        <w:tc>
          <w:tcPr>
            <w:tcW w:w="1890" w:type="dxa"/>
            <w:tcBorders>
              <w:top w:val="single" w:sz="6" w:space="0" w:color="auto"/>
              <w:left w:val="single" w:sz="6" w:space="0" w:color="auto"/>
              <w:bottom w:val="single" w:sz="6" w:space="0" w:color="auto"/>
              <w:right w:val="single" w:sz="18" w:space="0" w:color="auto"/>
            </w:tcBorders>
          </w:tcPr>
          <w:p w14:paraId="0768B33C" w14:textId="335B6AC3" w:rsidR="004729B3" w:rsidRPr="00231ABC" w:rsidRDefault="004729B3" w:rsidP="009C240A">
            <w:pPr>
              <w:jc w:val="center"/>
              <w:rPr>
                <w:sz w:val="24"/>
              </w:rPr>
            </w:pPr>
            <w:r>
              <w:rPr>
                <w:sz w:val="24"/>
              </w:rPr>
              <w:t>-</w:t>
            </w:r>
          </w:p>
        </w:tc>
      </w:tr>
      <w:tr w:rsidR="004729B3" w:rsidRPr="00231ABC" w14:paraId="671DEA6A" w14:textId="77777777" w:rsidTr="009C240A">
        <w:tc>
          <w:tcPr>
            <w:tcW w:w="3261" w:type="dxa"/>
            <w:tcBorders>
              <w:top w:val="single" w:sz="6" w:space="0" w:color="auto"/>
              <w:left w:val="single" w:sz="18" w:space="0" w:color="auto"/>
              <w:bottom w:val="single" w:sz="18" w:space="0" w:color="auto"/>
              <w:right w:val="single" w:sz="18" w:space="0" w:color="auto"/>
            </w:tcBorders>
          </w:tcPr>
          <w:p w14:paraId="5391B300" w14:textId="77777777" w:rsidR="004729B3" w:rsidRPr="00A975CE" w:rsidRDefault="004729B3" w:rsidP="009C240A">
            <w:pPr>
              <w:rPr>
                <w:sz w:val="24"/>
              </w:rPr>
            </w:pPr>
            <w:r w:rsidRPr="00A975CE">
              <w:rPr>
                <w:sz w:val="24"/>
              </w:rPr>
              <w:t>Území mimo kompaktní město</w:t>
            </w:r>
          </w:p>
        </w:tc>
        <w:tc>
          <w:tcPr>
            <w:tcW w:w="1890" w:type="dxa"/>
            <w:tcBorders>
              <w:top w:val="single" w:sz="6" w:space="0" w:color="auto"/>
              <w:left w:val="nil"/>
              <w:bottom w:val="single" w:sz="18" w:space="0" w:color="auto"/>
              <w:right w:val="single" w:sz="6" w:space="0" w:color="auto"/>
            </w:tcBorders>
          </w:tcPr>
          <w:p w14:paraId="178CDBE6" w14:textId="39E14E63" w:rsidR="004729B3" w:rsidRPr="00231ABC" w:rsidRDefault="004729B3" w:rsidP="004729B3">
            <w:pPr>
              <w:jc w:val="center"/>
              <w:rPr>
                <w:sz w:val="24"/>
              </w:rPr>
            </w:pPr>
            <w:r>
              <w:rPr>
                <w:sz w:val="24"/>
              </w:rPr>
              <w:t>423</w:t>
            </w:r>
          </w:p>
        </w:tc>
        <w:tc>
          <w:tcPr>
            <w:tcW w:w="1890" w:type="dxa"/>
            <w:tcBorders>
              <w:top w:val="single" w:sz="6" w:space="0" w:color="auto"/>
              <w:left w:val="single" w:sz="6" w:space="0" w:color="auto"/>
              <w:bottom w:val="single" w:sz="18" w:space="0" w:color="auto"/>
              <w:right w:val="single" w:sz="6" w:space="0" w:color="auto"/>
            </w:tcBorders>
          </w:tcPr>
          <w:p w14:paraId="11DCB251" w14:textId="0AD8BFB3" w:rsidR="004729B3" w:rsidRPr="00231ABC" w:rsidRDefault="004729B3" w:rsidP="009C240A">
            <w:pPr>
              <w:jc w:val="center"/>
              <w:rPr>
                <w:sz w:val="24"/>
              </w:rPr>
            </w:pPr>
            <w:r>
              <w:rPr>
                <w:sz w:val="24"/>
              </w:rPr>
              <w:t>417</w:t>
            </w:r>
          </w:p>
        </w:tc>
        <w:tc>
          <w:tcPr>
            <w:tcW w:w="1890" w:type="dxa"/>
            <w:tcBorders>
              <w:top w:val="single" w:sz="6" w:space="0" w:color="auto"/>
              <w:left w:val="single" w:sz="6" w:space="0" w:color="auto"/>
              <w:bottom w:val="single" w:sz="18" w:space="0" w:color="auto"/>
              <w:right w:val="single" w:sz="18" w:space="0" w:color="auto"/>
            </w:tcBorders>
          </w:tcPr>
          <w:p w14:paraId="5AB183E6" w14:textId="6359AB76" w:rsidR="004729B3" w:rsidRPr="00231ABC" w:rsidRDefault="004729B3" w:rsidP="009C240A">
            <w:pPr>
              <w:jc w:val="center"/>
              <w:rPr>
                <w:sz w:val="24"/>
              </w:rPr>
            </w:pPr>
            <w:r>
              <w:rPr>
                <w:sz w:val="24"/>
              </w:rPr>
              <w:t>735</w:t>
            </w:r>
          </w:p>
        </w:tc>
      </w:tr>
    </w:tbl>
    <w:p w14:paraId="71019BF7" w14:textId="2F3D55EE" w:rsidR="00303AB4" w:rsidRPr="00231ABC" w:rsidRDefault="00303AB4" w:rsidP="00303AB4">
      <w:pPr>
        <w:pStyle w:val="Zhlav"/>
        <w:tabs>
          <w:tab w:val="clear" w:pos="4536"/>
          <w:tab w:val="clear" w:pos="9072"/>
        </w:tabs>
        <w:spacing w:before="120"/>
      </w:pPr>
      <w:r w:rsidRPr="00231ABC">
        <w:t>CM 20</w:t>
      </w:r>
      <w:r>
        <w:t>22</w:t>
      </w:r>
      <w:r>
        <w:tab/>
      </w: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61"/>
        <w:gridCol w:w="1842"/>
        <w:gridCol w:w="1843"/>
        <w:gridCol w:w="1843"/>
      </w:tblGrid>
      <w:tr w:rsidR="00303AB4" w:rsidRPr="00231ABC" w14:paraId="60E686BC" w14:textId="77777777" w:rsidTr="00CB2F62">
        <w:trPr>
          <w:cantSplit/>
        </w:trPr>
        <w:tc>
          <w:tcPr>
            <w:tcW w:w="3261" w:type="dxa"/>
            <w:vMerge w:val="restart"/>
            <w:tcBorders>
              <w:top w:val="single" w:sz="18" w:space="0" w:color="auto"/>
              <w:left w:val="single" w:sz="18" w:space="0" w:color="auto"/>
              <w:right w:val="single" w:sz="18" w:space="0" w:color="auto"/>
            </w:tcBorders>
            <w:vAlign w:val="center"/>
          </w:tcPr>
          <w:p w14:paraId="65C949CA" w14:textId="77777777" w:rsidR="00303AB4" w:rsidRPr="00231ABC" w:rsidRDefault="00303AB4" w:rsidP="00CB2F62">
            <w:pPr>
              <w:pStyle w:val="Nadpis1"/>
              <w:jc w:val="center"/>
              <w:rPr>
                <w:b/>
              </w:rPr>
            </w:pPr>
            <w:r w:rsidRPr="00231ABC">
              <w:rPr>
                <w:b/>
              </w:rPr>
              <w:t>Poloha</w:t>
            </w:r>
          </w:p>
        </w:tc>
        <w:tc>
          <w:tcPr>
            <w:tcW w:w="5528" w:type="dxa"/>
            <w:gridSpan w:val="3"/>
            <w:tcBorders>
              <w:top w:val="single" w:sz="18" w:space="0" w:color="auto"/>
              <w:left w:val="nil"/>
              <w:bottom w:val="nil"/>
              <w:right w:val="single" w:sz="18" w:space="0" w:color="auto"/>
            </w:tcBorders>
          </w:tcPr>
          <w:p w14:paraId="7620BC59" w14:textId="77777777" w:rsidR="00303AB4" w:rsidRPr="00231ABC" w:rsidRDefault="00303AB4" w:rsidP="00CB2F62">
            <w:pPr>
              <w:jc w:val="center"/>
              <w:rPr>
                <w:b/>
                <w:sz w:val="24"/>
              </w:rPr>
            </w:pPr>
            <w:r w:rsidRPr="00231ABC">
              <w:rPr>
                <w:b/>
                <w:sz w:val="24"/>
              </w:rPr>
              <w:t>Kč/m</w:t>
            </w:r>
            <w:r w:rsidRPr="00231ABC">
              <w:rPr>
                <w:b/>
                <w:sz w:val="24"/>
                <w:vertAlign w:val="superscript"/>
              </w:rPr>
              <w:t>2</w:t>
            </w:r>
            <w:r w:rsidRPr="00231ABC">
              <w:rPr>
                <w:b/>
                <w:sz w:val="24"/>
              </w:rPr>
              <w:t xml:space="preserve"> </w:t>
            </w:r>
          </w:p>
        </w:tc>
      </w:tr>
      <w:tr w:rsidR="00303AB4" w:rsidRPr="00231ABC" w14:paraId="4828138C" w14:textId="77777777" w:rsidTr="00CB2F62">
        <w:tc>
          <w:tcPr>
            <w:tcW w:w="3261" w:type="dxa"/>
            <w:vMerge/>
            <w:tcBorders>
              <w:left w:val="single" w:sz="18" w:space="0" w:color="auto"/>
              <w:bottom w:val="single" w:sz="18" w:space="0" w:color="auto"/>
              <w:right w:val="single" w:sz="18" w:space="0" w:color="auto"/>
            </w:tcBorders>
            <w:vAlign w:val="center"/>
          </w:tcPr>
          <w:p w14:paraId="06CBC36D" w14:textId="77777777" w:rsidR="00303AB4" w:rsidRPr="00231ABC" w:rsidRDefault="00303AB4" w:rsidP="00CB2F62">
            <w:pPr>
              <w:pStyle w:val="Nadpis1"/>
              <w:jc w:val="center"/>
              <w:rPr>
                <w:b/>
              </w:rPr>
            </w:pPr>
          </w:p>
        </w:tc>
        <w:tc>
          <w:tcPr>
            <w:tcW w:w="1842" w:type="dxa"/>
            <w:tcBorders>
              <w:top w:val="single" w:sz="12" w:space="0" w:color="auto"/>
              <w:left w:val="nil"/>
              <w:bottom w:val="single" w:sz="18" w:space="0" w:color="auto"/>
              <w:right w:val="single" w:sz="6" w:space="0" w:color="auto"/>
            </w:tcBorders>
          </w:tcPr>
          <w:p w14:paraId="5214DA01" w14:textId="77777777" w:rsidR="00303AB4" w:rsidRPr="00231ABC" w:rsidRDefault="00303AB4" w:rsidP="00CB2F62">
            <w:pPr>
              <w:jc w:val="center"/>
              <w:rPr>
                <w:b/>
                <w:sz w:val="24"/>
              </w:rPr>
            </w:pPr>
            <w:r w:rsidRPr="00231ABC">
              <w:rPr>
                <w:b/>
                <w:sz w:val="24"/>
              </w:rPr>
              <w:t>Průměrná cena</w:t>
            </w:r>
          </w:p>
        </w:tc>
        <w:tc>
          <w:tcPr>
            <w:tcW w:w="1843" w:type="dxa"/>
            <w:tcBorders>
              <w:top w:val="single" w:sz="12" w:space="0" w:color="auto"/>
              <w:left w:val="single" w:sz="6" w:space="0" w:color="auto"/>
              <w:bottom w:val="single" w:sz="18" w:space="0" w:color="auto"/>
              <w:right w:val="single" w:sz="6" w:space="0" w:color="auto"/>
            </w:tcBorders>
          </w:tcPr>
          <w:p w14:paraId="04FC350E" w14:textId="77777777" w:rsidR="00303AB4" w:rsidRPr="00231ABC" w:rsidRDefault="00303AB4" w:rsidP="00CB2F62">
            <w:pPr>
              <w:jc w:val="center"/>
              <w:rPr>
                <w:b/>
                <w:sz w:val="24"/>
              </w:rPr>
            </w:pPr>
            <w:r w:rsidRPr="00231ABC">
              <w:rPr>
                <w:b/>
                <w:sz w:val="24"/>
              </w:rPr>
              <w:t>Minimální cena</w:t>
            </w:r>
          </w:p>
        </w:tc>
        <w:tc>
          <w:tcPr>
            <w:tcW w:w="1843" w:type="dxa"/>
            <w:tcBorders>
              <w:top w:val="single" w:sz="12" w:space="0" w:color="auto"/>
              <w:left w:val="single" w:sz="6" w:space="0" w:color="auto"/>
              <w:bottom w:val="single" w:sz="18" w:space="0" w:color="auto"/>
              <w:right w:val="single" w:sz="18" w:space="0" w:color="auto"/>
            </w:tcBorders>
          </w:tcPr>
          <w:p w14:paraId="5A8C01A6" w14:textId="77777777" w:rsidR="00303AB4" w:rsidRPr="00231ABC" w:rsidRDefault="00303AB4" w:rsidP="00CB2F62">
            <w:pPr>
              <w:jc w:val="center"/>
              <w:rPr>
                <w:b/>
                <w:sz w:val="24"/>
              </w:rPr>
            </w:pPr>
            <w:r w:rsidRPr="00231ABC">
              <w:rPr>
                <w:b/>
                <w:sz w:val="24"/>
              </w:rPr>
              <w:t>Maximální cena</w:t>
            </w:r>
          </w:p>
        </w:tc>
      </w:tr>
      <w:tr w:rsidR="00303AB4" w:rsidRPr="00231ABC" w14:paraId="287202C0" w14:textId="77777777" w:rsidTr="00CB2F62">
        <w:tc>
          <w:tcPr>
            <w:tcW w:w="3261" w:type="dxa"/>
            <w:tcBorders>
              <w:top w:val="nil"/>
              <w:left w:val="single" w:sz="18" w:space="0" w:color="auto"/>
              <w:bottom w:val="single" w:sz="6" w:space="0" w:color="auto"/>
              <w:right w:val="single" w:sz="18" w:space="0" w:color="auto"/>
            </w:tcBorders>
          </w:tcPr>
          <w:p w14:paraId="4482BE52" w14:textId="77777777" w:rsidR="00303AB4" w:rsidRPr="00231ABC" w:rsidRDefault="00303AB4" w:rsidP="00CB2F62">
            <w:pPr>
              <w:rPr>
                <w:sz w:val="24"/>
              </w:rPr>
            </w:pPr>
            <w:r w:rsidRPr="00231ABC">
              <w:rPr>
                <w:sz w:val="24"/>
              </w:rPr>
              <w:t>Vnitřní město</w:t>
            </w:r>
          </w:p>
        </w:tc>
        <w:tc>
          <w:tcPr>
            <w:tcW w:w="1842" w:type="dxa"/>
            <w:tcBorders>
              <w:top w:val="nil"/>
              <w:left w:val="nil"/>
              <w:bottom w:val="single" w:sz="6" w:space="0" w:color="auto"/>
              <w:right w:val="single" w:sz="6" w:space="0" w:color="auto"/>
            </w:tcBorders>
          </w:tcPr>
          <w:p w14:paraId="66CC2F2C" w14:textId="77841937" w:rsidR="00303AB4" w:rsidRPr="00231ABC" w:rsidRDefault="00303AB4" w:rsidP="00CB2F62">
            <w:pPr>
              <w:jc w:val="center"/>
              <w:rPr>
                <w:sz w:val="24"/>
              </w:rPr>
            </w:pPr>
            <w:r>
              <w:rPr>
                <w:sz w:val="24"/>
              </w:rPr>
              <w:t>481</w:t>
            </w:r>
          </w:p>
        </w:tc>
        <w:tc>
          <w:tcPr>
            <w:tcW w:w="1843" w:type="dxa"/>
            <w:tcBorders>
              <w:top w:val="nil"/>
              <w:left w:val="single" w:sz="6" w:space="0" w:color="auto"/>
              <w:bottom w:val="single" w:sz="6" w:space="0" w:color="auto"/>
              <w:right w:val="single" w:sz="6" w:space="0" w:color="auto"/>
            </w:tcBorders>
          </w:tcPr>
          <w:p w14:paraId="423A8D97" w14:textId="583AACA4" w:rsidR="00303AB4" w:rsidRPr="00231ABC" w:rsidRDefault="00303AB4" w:rsidP="00303AB4">
            <w:pPr>
              <w:jc w:val="center"/>
              <w:rPr>
                <w:sz w:val="24"/>
              </w:rPr>
            </w:pPr>
            <w:r>
              <w:rPr>
                <w:sz w:val="24"/>
              </w:rPr>
              <w:t>246</w:t>
            </w:r>
          </w:p>
        </w:tc>
        <w:tc>
          <w:tcPr>
            <w:tcW w:w="1843" w:type="dxa"/>
            <w:tcBorders>
              <w:top w:val="nil"/>
              <w:left w:val="single" w:sz="6" w:space="0" w:color="auto"/>
              <w:bottom w:val="single" w:sz="6" w:space="0" w:color="auto"/>
              <w:right w:val="single" w:sz="18" w:space="0" w:color="auto"/>
            </w:tcBorders>
          </w:tcPr>
          <w:p w14:paraId="5B56B531" w14:textId="414BE6CD" w:rsidR="00303AB4" w:rsidRPr="00231ABC" w:rsidRDefault="00303AB4" w:rsidP="00CB2F62">
            <w:pPr>
              <w:jc w:val="center"/>
              <w:rPr>
                <w:sz w:val="24"/>
              </w:rPr>
            </w:pPr>
            <w:r>
              <w:rPr>
                <w:sz w:val="24"/>
              </w:rPr>
              <w:t>2 200</w:t>
            </w:r>
          </w:p>
        </w:tc>
      </w:tr>
      <w:tr w:rsidR="00303AB4" w:rsidRPr="00231ABC" w14:paraId="5A6437B7" w14:textId="77777777" w:rsidTr="00CB2F62">
        <w:tc>
          <w:tcPr>
            <w:tcW w:w="3261" w:type="dxa"/>
            <w:tcBorders>
              <w:top w:val="single" w:sz="6" w:space="0" w:color="auto"/>
              <w:left w:val="single" w:sz="18" w:space="0" w:color="auto"/>
              <w:bottom w:val="single" w:sz="6" w:space="0" w:color="auto"/>
              <w:right w:val="single" w:sz="18" w:space="0" w:color="auto"/>
            </w:tcBorders>
          </w:tcPr>
          <w:p w14:paraId="38E05372" w14:textId="77777777" w:rsidR="00303AB4" w:rsidRPr="00231ABC" w:rsidRDefault="00303AB4" w:rsidP="00CB2F62">
            <w:pPr>
              <w:rPr>
                <w:sz w:val="24"/>
              </w:rPr>
            </w:pPr>
            <w:r w:rsidRPr="00231ABC">
              <w:rPr>
                <w:sz w:val="24"/>
              </w:rPr>
              <w:t>Okrajová část vnitřního města</w:t>
            </w:r>
          </w:p>
        </w:tc>
        <w:tc>
          <w:tcPr>
            <w:tcW w:w="1842" w:type="dxa"/>
            <w:tcBorders>
              <w:top w:val="single" w:sz="6" w:space="0" w:color="auto"/>
              <w:left w:val="nil"/>
              <w:bottom w:val="single" w:sz="6" w:space="0" w:color="auto"/>
              <w:right w:val="single" w:sz="6" w:space="0" w:color="auto"/>
            </w:tcBorders>
          </w:tcPr>
          <w:p w14:paraId="10EE1223" w14:textId="5588482A" w:rsidR="00303AB4" w:rsidRPr="00231ABC" w:rsidRDefault="00303AB4" w:rsidP="00303AB4">
            <w:pPr>
              <w:jc w:val="center"/>
              <w:rPr>
                <w:sz w:val="24"/>
              </w:rPr>
            </w:pPr>
            <w:r>
              <w:rPr>
                <w:sz w:val="24"/>
              </w:rPr>
              <w:t>-</w:t>
            </w:r>
          </w:p>
        </w:tc>
        <w:tc>
          <w:tcPr>
            <w:tcW w:w="1843" w:type="dxa"/>
            <w:tcBorders>
              <w:top w:val="single" w:sz="6" w:space="0" w:color="auto"/>
              <w:left w:val="single" w:sz="6" w:space="0" w:color="auto"/>
              <w:bottom w:val="single" w:sz="6" w:space="0" w:color="auto"/>
              <w:right w:val="single" w:sz="6" w:space="0" w:color="auto"/>
            </w:tcBorders>
          </w:tcPr>
          <w:p w14:paraId="183A7467" w14:textId="46586CD9" w:rsidR="00303AB4" w:rsidRPr="00231ABC" w:rsidRDefault="00303AB4" w:rsidP="00CB2F62">
            <w:pPr>
              <w:jc w:val="center"/>
              <w:rPr>
                <w:sz w:val="24"/>
              </w:rPr>
            </w:pPr>
            <w:r>
              <w:rPr>
                <w:sz w:val="24"/>
              </w:rPr>
              <w:t>-</w:t>
            </w:r>
          </w:p>
        </w:tc>
        <w:tc>
          <w:tcPr>
            <w:tcW w:w="1843" w:type="dxa"/>
            <w:tcBorders>
              <w:top w:val="single" w:sz="6" w:space="0" w:color="auto"/>
              <w:left w:val="single" w:sz="6" w:space="0" w:color="auto"/>
              <w:bottom w:val="single" w:sz="6" w:space="0" w:color="auto"/>
              <w:right w:val="single" w:sz="18" w:space="0" w:color="auto"/>
            </w:tcBorders>
          </w:tcPr>
          <w:p w14:paraId="159042ED" w14:textId="79C0F94F" w:rsidR="00303AB4" w:rsidRPr="00231ABC" w:rsidRDefault="00303AB4" w:rsidP="00303AB4">
            <w:pPr>
              <w:jc w:val="center"/>
              <w:rPr>
                <w:sz w:val="24"/>
              </w:rPr>
            </w:pPr>
            <w:r>
              <w:rPr>
                <w:sz w:val="24"/>
              </w:rPr>
              <w:t>-</w:t>
            </w:r>
          </w:p>
        </w:tc>
      </w:tr>
      <w:tr w:rsidR="00303AB4" w:rsidRPr="00231ABC" w14:paraId="56313C6C" w14:textId="77777777" w:rsidTr="00CB2F62">
        <w:tc>
          <w:tcPr>
            <w:tcW w:w="3261" w:type="dxa"/>
            <w:tcBorders>
              <w:top w:val="single" w:sz="6" w:space="0" w:color="auto"/>
              <w:left w:val="single" w:sz="18" w:space="0" w:color="auto"/>
              <w:bottom w:val="single" w:sz="6" w:space="0" w:color="auto"/>
              <w:right w:val="single" w:sz="18" w:space="0" w:color="auto"/>
            </w:tcBorders>
          </w:tcPr>
          <w:p w14:paraId="51BA5B78" w14:textId="77777777" w:rsidR="00303AB4" w:rsidRPr="00231ABC" w:rsidRDefault="00303AB4" w:rsidP="00CB2F62">
            <w:pPr>
              <w:rPr>
                <w:sz w:val="24"/>
              </w:rPr>
            </w:pPr>
            <w:r w:rsidRPr="00231ABC">
              <w:rPr>
                <w:sz w:val="24"/>
              </w:rPr>
              <w:t>Průmyslové části</w:t>
            </w:r>
          </w:p>
        </w:tc>
        <w:tc>
          <w:tcPr>
            <w:tcW w:w="1842" w:type="dxa"/>
            <w:tcBorders>
              <w:top w:val="single" w:sz="6" w:space="0" w:color="auto"/>
              <w:left w:val="nil"/>
              <w:bottom w:val="single" w:sz="6" w:space="0" w:color="auto"/>
              <w:right w:val="single" w:sz="6" w:space="0" w:color="auto"/>
            </w:tcBorders>
          </w:tcPr>
          <w:p w14:paraId="7553EB53" w14:textId="40321C1A" w:rsidR="00303AB4" w:rsidRPr="00231ABC" w:rsidRDefault="00303AB4" w:rsidP="00CB2F62">
            <w:pPr>
              <w:jc w:val="center"/>
              <w:rPr>
                <w:sz w:val="24"/>
              </w:rPr>
            </w:pPr>
            <w:r>
              <w:rPr>
                <w:sz w:val="24"/>
              </w:rPr>
              <w:t>672</w:t>
            </w:r>
          </w:p>
        </w:tc>
        <w:tc>
          <w:tcPr>
            <w:tcW w:w="1843" w:type="dxa"/>
            <w:tcBorders>
              <w:top w:val="single" w:sz="6" w:space="0" w:color="auto"/>
              <w:left w:val="single" w:sz="6" w:space="0" w:color="auto"/>
              <w:bottom w:val="single" w:sz="6" w:space="0" w:color="auto"/>
              <w:right w:val="single" w:sz="6" w:space="0" w:color="auto"/>
            </w:tcBorders>
          </w:tcPr>
          <w:p w14:paraId="2F77BC19" w14:textId="34CE3D29" w:rsidR="00303AB4" w:rsidRPr="00231ABC" w:rsidRDefault="00303AB4" w:rsidP="00CB2F62">
            <w:pPr>
              <w:jc w:val="center"/>
              <w:rPr>
                <w:sz w:val="24"/>
              </w:rPr>
            </w:pPr>
            <w:r>
              <w:rPr>
                <w:sz w:val="24"/>
              </w:rPr>
              <w:t>285</w:t>
            </w:r>
          </w:p>
        </w:tc>
        <w:tc>
          <w:tcPr>
            <w:tcW w:w="1843" w:type="dxa"/>
            <w:tcBorders>
              <w:top w:val="single" w:sz="6" w:space="0" w:color="auto"/>
              <w:left w:val="single" w:sz="6" w:space="0" w:color="auto"/>
              <w:bottom w:val="single" w:sz="6" w:space="0" w:color="auto"/>
              <w:right w:val="single" w:sz="18" w:space="0" w:color="auto"/>
            </w:tcBorders>
          </w:tcPr>
          <w:p w14:paraId="1F77E8F8" w14:textId="296042A0" w:rsidR="00303AB4" w:rsidRPr="00231ABC" w:rsidRDefault="00303AB4" w:rsidP="00303AB4">
            <w:pPr>
              <w:jc w:val="center"/>
              <w:rPr>
                <w:sz w:val="24"/>
              </w:rPr>
            </w:pPr>
            <w:r>
              <w:rPr>
                <w:sz w:val="24"/>
              </w:rPr>
              <w:t>1 136</w:t>
            </w:r>
          </w:p>
        </w:tc>
      </w:tr>
      <w:tr w:rsidR="00303AB4" w:rsidRPr="00231ABC" w14:paraId="1D84ABA3" w14:textId="77777777" w:rsidTr="00CB2F62">
        <w:tc>
          <w:tcPr>
            <w:tcW w:w="3261" w:type="dxa"/>
            <w:tcBorders>
              <w:top w:val="single" w:sz="6" w:space="0" w:color="auto"/>
              <w:left w:val="single" w:sz="18" w:space="0" w:color="auto"/>
              <w:bottom w:val="single" w:sz="18" w:space="0" w:color="auto"/>
              <w:right w:val="single" w:sz="18" w:space="0" w:color="auto"/>
            </w:tcBorders>
          </w:tcPr>
          <w:p w14:paraId="39E7DC44" w14:textId="77777777" w:rsidR="00303AB4" w:rsidRPr="00231ABC" w:rsidRDefault="00303AB4" w:rsidP="00CB2F62">
            <w:pPr>
              <w:rPr>
                <w:sz w:val="24"/>
              </w:rPr>
            </w:pPr>
            <w:r w:rsidRPr="00231ABC">
              <w:rPr>
                <w:sz w:val="24"/>
              </w:rPr>
              <w:t>Území mimo kompaktní město</w:t>
            </w:r>
          </w:p>
        </w:tc>
        <w:tc>
          <w:tcPr>
            <w:tcW w:w="1842" w:type="dxa"/>
            <w:tcBorders>
              <w:top w:val="single" w:sz="6" w:space="0" w:color="auto"/>
              <w:left w:val="nil"/>
              <w:bottom w:val="single" w:sz="18" w:space="0" w:color="auto"/>
              <w:right w:val="single" w:sz="6" w:space="0" w:color="auto"/>
            </w:tcBorders>
          </w:tcPr>
          <w:p w14:paraId="0EF9FF2A" w14:textId="7B2F61B8" w:rsidR="00303AB4" w:rsidRPr="00231ABC" w:rsidRDefault="00303AB4" w:rsidP="00CB2F62">
            <w:pPr>
              <w:jc w:val="center"/>
              <w:rPr>
                <w:sz w:val="24"/>
              </w:rPr>
            </w:pPr>
            <w:r>
              <w:rPr>
                <w:sz w:val="24"/>
              </w:rPr>
              <w:t>383</w:t>
            </w:r>
          </w:p>
        </w:tc>
        <w:tc>
          <w:tcPr>
            <w:tcW w:w="1843" w:type="dxa"/>
            <w:tcBorders>
              <w:top w:val="single" w:sz="6" w:space="0" w:color="auto"/>
              <w:left w:val="single" w:sz="6" w:space="0" w:color="auto"/>
              <w:bottom w:val="single" w:sz="18" w:space="0" w:color="auto"/>
              <w:right w:val="single" w:sz="6" w:space="0" w:color="auto"/>
            </w:tcBorders>
          </w:tcPr>
          <w:p w14:paraId="27BE954C" w14:textId="35A0630A" w:rsidR="00303AB4" w:rsidRPr="00231ABC" w:rsidRDefault="00303AB4" w:rsidP="00303AB4">
            <w:pPr>
              <w:jc w:val="center"/>
              <w:rPr>
                <w:sz w:val="24"/>
              </w:rPr>
            </w:pPr>
            <w:r>
              <w:rPr>
                <w:sz w:val="24"/>
              </w:rPr>
              <w:t>239</w:t>
            </w:r>
          </w:p>
        </w:tc>
        <w:tc>
          <w:tcPr>
            <w:tcW w:w="1843" w:type="dxa"/>
            <w:tcBorders>
              <w:top w:val="single" w:sz="6" w:space="0" w:color="auto"/>
              <w:left w:val="single" w:sz="6" w:space="0" w:color="auto"/>
              <w:bottom w:val="single" w:sz="18" w:space="0" w:color="auto"/>
              <w:right w:val="single" w:sz="18" w:space="0" w:color="auto"/>
            </w:tcBorders>
          </w:tcPr>
          <w:p w14:paraId="55725070" w14:textId="45BDF807" w:rsidR="00303AB4" w:rsidRPr="00231ABC" w:rsidRDefault="00303AB4" w:rsidP="00CB2F62">
            <w:pPr>
              <w:jc w:val="center"/>
              <w:rPr>
                <w:sz w:val="24"/>
              </w:rPr>
            </w:pPr>
            <w:r>
              <w:rPr>
                <w:sz w:val="24"/>
              </w:rPr>
              <w:t>455</w:t>
            </w:r>
          </w:p>
        </w:tc>
      </w:tr>
    </w:tbl>
    <w:p w14:paraId="21499004" w14:textId="77777777" w:rsidR="00EA34C9" w:rsidRPr="00EA34C9" w:rsidRDefault="00EA34C9" w:rsidP="00EA34C9">
      <w:pPr>
        <w:pStyle w:val="Nadpis7"/>
        <w:numPr>
          <w:ilvl w:val="0"/>
          <w:numId w:val="26"/>
        </w:numPr>
        <w:tabs>
          <w:tab w:val="clear" w:pos="1296"/>
          <w:tab w:val="left" w:pos="360"/>
        </w:tabs>
        <w:spacing w:before="0"/>
        <w:ind w:left="357" w:hanging="357"/>
      </w:pPr>
      <w:r>
        <w:br w:type="page"/>
      </w:r>
    </w:p>
    <w:p w14:paraId="19378E4A" w14:textId="78BA61DF" w:rsidR="006A1907" w:rsidRPr="00231ABC" w:rsidRDefault="006A1907" w:rsidP="00EA34C9">
      <w:pPr>
        <w:pStyle w:val="Nadpis7"/>
        <w:numPr>
          <w:ilvl w:val="0"/>
          <w:numId w:val="46"/>
        </w:numPr>
        <w:tabs>
          <w:tab w:val="clear" w:pos="1296"/>
          <w:tab w:val="left" w:pos="360"/>
        </w:tabs>
        <w:spacing w:before="0"/>
      </w:pPr>
      <w:r w:rsidRPr="00231ABC">
        <w:lastRenderedPageBreak/>
        <w:t xml:space="preserve">Seznam městských obvodů a katastrálních území </w:t>
      </w:r>
    </w:p>
    <w:p w14:paraId="035A786A" w14:textId="77777777" w:rsidR="006A1907" w:rsidRPr="00231ABC" w:rsidRDefault="006A1907">
      <w:pPr>
        <w:pStyle w:val="Zkladntext"/>
        <w:spacing w:before="240" w:after="240"/>
        <w:rPr>
          <w:b/>
        </w:rPr>
      </w:pPr>
      <w:r w:rsidRPr="00231ABC">
        <w:rPr>
          <w:b/>
        </w:rPr>
        <w:t>Tabulka - Seznam městských obvodů a k nim přin</w:t>
      </w:r>
      <w:r w:rsidR="008131EC" w:rsidRPr="00231ABC">
        <w:rPr>
          <w:b/>
        </w:rPr>
        <w:t>áležejících katastrálních území</w:t>
      </w:r>
      <w:r w:rsidRPr="00231ABC">
        <w:rPr>
          <w:b/>
        </w:rPr>
        <w:t xml:space="preserve"> ve</w:t>
      </w:r>
      <w:r w:rsidR="008131EC" w:rsidRPr="00231ABC">
        <w:rPr>
          <w:b/>
        </w:rPr>
        <w:t> </w:t>
      </w:r>
      <w:r w:rsidRPr="00231ABC">
        <w:rPr>
          <w:b/>
        </w:rPr>
        <w:t>správním území města Ostravy.</w:t>
      </w:r>
    </w:p>
    <w:tbl>
      <w:tblPr>
        <w:tblW w:w="0" w:type="auto"/>
        <w:tblInd w:w="6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00"/>
        <w:gridCol w:w="2876"/>
        <w:gridCol w:w="2718"/>
      </w:tblGrid>
      <w:tr w:rsidR="006A1907" w:rsidRPr="00231ABC" w14:paraId="63100B41" w14:textId="77777777">
        <w:tc>
          <w:tcPr>
            <w:tcW w:w="500" w:type="dxa"/>
            <w:tcBorders>
              <w:top w:val="single" w:sz="12" w:space="0" w:color="auto"/>
              <w:left w:val="single" w:sz="12" w:space="0" w:color="auto"/>
              <w:bottom w:val="single" w:sz="6" w:space="0" w:color="auto"/>
              <w:right w:val="single" w:sz="6" w:space="0" w:color="auto"/>
            </w:tcBorders>
          </w:tcPr>
          <w:p w14:paraId="40CA3195" w14:textId="77777777" w:rsidR="006A1907" w:rsidRPr="00231ABC" w:rsidRDefault="006A1907">
            <w:pPr>
              <w:jc w:val="both"/>
              <w:rPr>
                <w:sz w:val="24"/>
              </w:rPr>
            </w:pPr>
          </w:p>
        </w:tc>
        <w:tc>
          <w:tcPr>
            <w:tcW w:w="2876" w:type="dxa"/>
            <w:tcBorders>
              <w:top w:val="single" w:sz="12" w:space="0" w:color="auto"/>
              <w:left w:val="single" w:sz="6" w:space="0" w:color="auto"/>
              <w:bottom w:val="single" w:sz="6" w:space="0" w:color="auto"/>
              <w:right w:val="single" w:sz="6" w:space="0" w:color="auto"/>
            </w:tcBorders>
          </w:tcPr>
          <w:p w14:paraId="27DCE803" w14:textId="77777777" w:rsidR="006A1907" w:rsidRPr="00231ABC" w:rsidRDefault="006A1907">
            <w:pPr>
              <w:jc w:val="center"/>
              <w:rPr>
                <w:b/>
                <w:i/>
                <w:sz w:val="32"/>
              </w:rPr>
            </w:pPr>
            <w:r w:rsidRPr="00231ABC">
              <w:rPr>
                <w:b/>
                <w:i/>
                <w:sz w:val="32"/>
              </w:rPr>
              <w:t>Městský obvod</w:t>
            </w:r>
          </w:p>
        </w:tc>
        <w:tc>
          <w:tcPr>
            <w:tcW w:w="2718" w:type="dxa"/>
            <w:tcBorders>
              <w:top w:val="single" w:sz="12" w:space="0" w:color="auto"/>
              <w:left w:val="single" w:sz="6" w:space="0" w:color="auto"/>
              <w:bottom w:val="single" w:sz="6" w:space="0" w:color="auto"/>
              <w:right w:val="single" w:sz="12" w:space="0" w:color="auto"/>
            </w:tcBorders>
          </w:tcPr>
          <w:p w14:paraId="60BD8E7C" w14:textId="77777777" w:rsidR="006A1907" w:rsidRPr="00231ABC" w:rsidRDefault="006A1907">
            <w:pPr>
              <w:rPr>
                <w:b/>
                <w:i/>
                <w:sz w:val="32"/>
              </w:rPr>
            </w:pPr>
            <w:r w:rsidRPr="00231ABC">
              <w:rPr>
                <w:b/>
                <w:i/>
                <w:sz w:val="32"/>
              </w:rPr>
              <w:t xml:space="preserve">Katastrální území </w:t>
            </w:r>
          </w:p>
        </w:tc>
      </w:tr>
      <w:tr w:rsidR="006A1907" w:rsidRPr="00231ABC" w14:paraId="7BACE320" w14:textId="77777777">
        <w:trPr>
          <w:cantSplit/>
        </w:trPr>
        <w:tc>
          <w:tcPr>
            <w:tcW w:w="500" w:type="dxa"/>
            <w:tcBorders>
              <w:top w:val="single" w:sz="12" w:space="0" w:color="auto"/>
              <w:left w:val="single" w:sz="12" w:space="0" w:color="auto"/>
              <w:bottom w:val="single" w:sz="6" w:space="0" w:color="auto"/>
              <w:right w:val="single" w:sz="6" w:space="0" w:color="auto"/>
            </w:tcBorders>
          </w:tcPr>
          <w:p w14:paraId="798C9F24" w14:textId="77777777" w:rsidR="006A1907" w:rsidRPr="00231ABC" w:rsidRDefault="006A1907">
            <w:pPr>
              <w:jc w:val="center"/>
              <w:rPr>
                <w:sz w:val="24"/>
              </w:rPr>
            </w:pPr>
            <w:r w:rsidRPr="00231ABC">
              <w:rPr>
                <w:sz w:val="24"/>
              </w:rPr>
              <w:t>1</w:t>
            </w:r>
          </w:p>
        </w:tc>
        <w:tc>
          <w:tcPr>
            <w:tcW w:w="2876" w:type="dxa"/>
            <w:tcBorders>
              <w:top w:val="single" w:sz="12" w:space="0" w:color="auto"/>
              <w:left w:val="single" w:sz="6" w:space="0" w:color="auto"/>
              <w:bottom w:val="single" w:sz="6" w:space="0" w:color="auto"/>
              <w:right w:val="single" w:sz="6" w:space="0" w:color="auto"/>
            </w:tcBorders>
          </w:tcPr>
          <w:p w14:paraId="22C222D0" w14:textId="77777777" w:rsidR="006A1907" w:rsidRPr="00231ABC" w:rsidRDefault="006A1907">
            <w:pPr>
              <w:jc w:val="center"/>
              <w:rPr>
                <w:sz w:val="24"/>
              </w:rPr>
            </w:pPr>
            <w:r w:rsidRPr="00231ABC">
              <w:rPr>
                <w:sz w:val="24"/>
              </w:rPr>
              <w:t>Moravská Ostrava a Přívoz</w:t>
            </w:r>
          </w:p>
        </w:tc>
        <w:tc>
          <w:tcPr>
            <w:tcW w:w="2718" w:type="dxa"/>
            <w:tcBorders>
              <w:top w:val="single" w:sz="12" w:space="0" w:color="auto"/>
              <w:left w:val="single" w:sz="6" w:space="0" w:color="auto"/>
              <w:bottom w:val="single" w:sz="6" w:space="0" w:color="auto"/>
              <w:right w:val="single" w:sz="12" w:space="0" w:color="auto"/>
            </w:tcBorders>
          </w:tcPr>
          <w:p w14:paraId="0CBE4D6C" w14:textId="77777777" w:rsidR="006A1907" w:rsidRPr="00231ABC" w:rsidRDefault="006A1907">
            <w:pPr>
              <w:ind w:firstLine="127"/>
              <w:rPr>
                <w:sz w:val="24"/>
              </w:rPr>
            </w:pPr>
            <w:r w:rsidRPr="00231ABC">
              <w:rPr>
                <w:sz w:val="24"/>
              </w:rPr>
              <w:t>Moravská Ostrava</w:t>
            </w:r>
          </w:p>
        </w:tc>
      </w:tr>
      <w:tr w:rsidR="006A1907" w:rsidRPr="00231ABC" w14:paraId="05139BB5" w14:textId="77777777">
        <w:trPr>
          <w:cantSplit/>
        </w:trPr>
        <w:tc>
          <w:tcPr>
            <w:tcW w:w="500" w:type="dxa"/>
            <w:tcBorders>
              <w:top w:val="single" w:sz="6" w:space="0" w:color="auto"/>
              <w:left w:val="single" w:sz="12" w:space="0" w:color="auto"/>
              <w:bottom w:val="single" w:sz="12" w:space="0" w:color="auto"/>
              <w:right w:val="single" w:sz="6" w:space="0" w:color="auto"/>
            </w:tcBorders>
          </w:tcPr>
          <w:p w14:paraId="329239FD" w14:textId="77777777" w:rsidR="006A1907" w:rsidRPr="00231ABC" w:rsidRDefault="006A1907">
            <w:pPr>
              <w:jc w:val="center"/>
              <w:rPr>
                <w:sz w:val="24"/>
              </w:rPr>
            </w:pPr>
          </w:p>
        </w:tc>
        <w:tc>
          <w:tcPr>
            <w:tcW w:w="2876" w:type="dxa"/>
            <w:tcBorders>
              <w:top w:val="single" w:sz="6" w:space="0" w:color="auto"/>
              <w:left w:val="single" w:sz="6" w:space="0" w:color="auto"/>
              <w:bottom w:val="single" w:sz="12" w:space="0" w:color="auto"/>
              <w:right w:val="single" w:sz="6" w:space="0" w:color="auto"/>
            </w:tcBorders>
          </w:tcPr>
          <w:p w14:paraId="2EC76006" w14:textId="77777777" w:rsidR="006A1907" w:rsidRPr="00231ABC" w:rsidRDefault="006A1907">
            <w:pPr>
              <w:jc w:val="center"/>
              <w:rPr>
                <w:sz w:val="24"/>
              </w:rPr>
            </w:pPr>
          </w:p>
        </w:tc>
        <w:tc>
          <w:tcPr>
            <w:tcW w:w="2718" w:type="dxa"/>
            <w:tcBorders>
              <w:top w:val="single" w:sz="6" w:space="0" w:color="auto"/>
              <w:left w:val="single" w:sz="6" w:space="0" w:color="auto"/>
              <w:bottom w:val="single" w:sz="12" w:space="0" w:color="auto"/>
              <w:right w:val="single" w:sz="12" w:space="0" w:color="auto"/>
            </w:tcBorders>
          </w:tcPr>
          <w:p w14:paraId="31BB9A1A" w14:textId="77777777" w:rsidR="006A1907" w:rsidRPr="00231ABC" w:rsidRDefault="006A1907">
            <w:pPr>
              <w:ind w:firstLine="127"/>
              <w:rPr>
                <w:sz w:val="24"/>
              </w:rPr>
            </w:pPr>
            <w:r w:rsidRPr="00231ABC">
              <w:rPr>
                <w:sz w:val="24"/>
              </w:rPr>
              <w:t>Přívoz</w:t>
            </w:r>
          </w:p>
        </w:tc>
      </w:tr>
      <w:tr w:rsidR="006A1907" w:rsidRPr="00231ABC" w14:paraId="626A2006" w14:textId="77777777">
        <w:trPr>
          <w:cantSplit/>
        </w:trPr>
        <w:tc>
          <w:tcPr>
            <w:tcW w:w="500" w:type="dxa"/>
            <w:tcBorders>
              <w:top w:val="single" w:sz="12" w:space="0" w:color="auto"/>
              <w:left w:val="single" w:sz="12" w:space="0" w:color="auto"/>
              <w:bottom w:val="single" w:sz="6" w:space="0" w:color="auto"/>
              <w:right w:val="single" w:sz="6" w:space="0" w:color="auto"/>
            </w:tcBorders>
          </w:tcPr>
          <w:p w14:paraId="5C493470" w14:textId="77777777" w:rsidR="006A1907" w:rsidRPr="00231ABC" w:rsidRDefault="006A1907">
            <w:pPr>
              <w:jc w:val="center"/>
              <w:rPr>
                <w:sz w:val="24"/>
              </w:rPr>
            </w:pPr>
            <w:r w:rsidRPr="00231ABC">
              <w:rPr>
                <w:sz w:val="24"/>
              </w:rPr>
              <w:t>2</w:t>
            </w:r>
          </w:p>
        </w:tc>
        <w:tc>
          <w:tcPr>
            <w:tcW w:w="2876" w:type="dxa"/>
            <w:tcBorders>
              <w:top w:val="single" w:sz="12" w:space="0" w:color="auto"/>
              <w:left w:val="single" w:sz="6" w:space="0" w:color="auto"/>
              <w:bottom w:val="single" w:sz="6" w:space="0" w:color="auto"/>
              <w:right w:val="single" w:sz="6" w:space="0" w:color="auto"/>
            </w:tcBorders>
          </w:tcPr>
          <w:p w14:paraId="7F6D83AD" w14:textId="77777777" w:rsidR="006A1907" w:rsidRPr="00231ABC" w:rsidRDefault="006A1907">
            <w:pPr>
              <w:jc w:val="center"/>
              <w:rPr>
                <w:sz w:val="24"/>
              </w:rPr>
            </w:pPr>
            <w:r w:rsidRPr="00231ABC">
              <w:rPr>
                <w:sz w:val="24"/>
              </w:rPr>
              <w:t>Slezská Ostrava</w:t>
            </w:r>
          </w:p>
        </w:tc>
        <w:tc>
          <w:tcPr>
            <w:tcW w:w="2718" w:type="dxa"/>
            <w:tcBorders>
              <w:top w:val="single" w:sz="12" w:space="0" w:color="auto"/>
              <w:left w:val="single" w:sz="6" w:space="0" w:color="auto"/>
              <w:bottom w:val="single" w:sz="6" w:space="0" w:color="auto"/>
              <w:right w:val="single" w:sz="12" w:space="0" w:color="auto"/>
            </w:tcBorders>
          </w:tcPr>
          <w:p w14:paraId="27617FA2" w14:textId="77777777" w:rsidR="006A1907" w:rsidRPr="00231ABC" w:rsidRDefault="006A1907">
            <w:pPr>
              <w:ind w:firstLine="127"/>
              <w:rPr>
                <w:sz w:val="24"/>
              </w:rPr>
            </w:pPr>
            <w:r w:rsidRPr="00231ABC">
              <w:rPr>
                <w:sz w:val="24"/>
              </w:rPr>
              <w:t>Antošovice</w:t>
            </w:r>
          </w:p>
        </w:tc>
      </w:tr>
      <w:tr w:rsidR="006A1907" w:rsidRPr="00231ABC" w14:paraId="4DE1558F" w14:textId="77777777">
        <w:trPr>
          <w:cantSplit/>
        </w:trPr>
        <w:tc>
          <w:tcPr>
            <w:tcW w:w="500" w:type="dxa"/>
            <w:tcBorders>
              <w:top w:val="single" w:sz="6" w:space="0" w:color="auto"/>
              <w:left w:val="single" w:sz="12" w:space="0" w:color="auto"/>
              <w:bottom w:val="single" w:sz="6" w:space="0" w:color="auto"/>
              <w:right w:val="single" w:sz="6" w:space="0" w:color="auto"/>
            </w:tcBorders>
          </w:tcPr>
          <w:p w14:paraId="1C5B6C89" w14:textId="77777777" w:rsidR="006A1907" w:rsidRPr="00231ABC" w:rsidRDefault="006A1907">
            <w:pPr>
              <w:jc w:val="center"/>
              <w:rPr>
                <w:sz w:val="24"/>
              </w:rPr>
            </w:pPr>
          </w:p>
        </w:tc>
        <w:tc>
          <w:tcPr>
            <w:tcW w:w="2876" w:type="dxa"/>
            <w:tcBorders>
              <w:top w:val="single" w:sz="6" w:space="0" w:color="auto"/>
              <w:left w:val="single" w:sz="6" w:space="0" w:color="auto"/>
              <w:bottom w:val="single" w:sz="6" w:space="0" w:color="auto"/>
              <w:right w:val="single" w:sz="6" w:space="0" w:color="auto"/>
            </w:tcBorders>
          </w:tcPr>
          <w:p w14:paraId="7A5F7BE3" w14:textId="77777777" w:rsidR="006A1907" w:rsidRPr="00231ABC" w:rsidRDefault="006A1907">
            <w:pPr>
              <w:jc w:val="center"/>
              <w:rPr>
                <w:sz w:val="24"/>
              </w:rPr>
            </w:pPr>
          </w:p>
        </w:tc>
        <w:tc>
          <w:tcPr>
            <w:tcW w:w="2718" w:type="dxa"/>
            <w:tcBorders>
              <w:top w:val="single" w:sz="6" w:space="0" w:color="auto"/>
              <w:left w:val="single" w:sz="6" w:space="0" w:color="auto"/>
              <w:bottom w:val="single" w:sz="6" w:space="0" w:color="auto"/>
              <w:right w:val="single" w:sz="12" w:space="0" w:color="auto"/>
            </w:tcBorders>
          </w:tcPr>
          <w:p w14:paraId="3C20B58A" w14:textId="77777777" w:rsidR="006A1907" w:rsidRPr="00231ABC" w:rsidRDefault="006A1907">
            <w:pPr>
              <w:ind w:firstLine="127"/>
              <w:rPr>
                <w:sz w:val="24"/>
              </w:rPr>
            </w:pPr>
            <w:r w:rsidRPr="00231ABC">
              <w:rPr>
                <w:sz w:val="24"/>
              </w:rPr>
              <w:t>Heřmanice</w:t>
            </w:r>
          </w:p>
        </w:tc>
      </w:tr>
      <w:tr w:rsidR="006A1907" w:rsidRPr="00231ABC" w14:paraId="26CA66FA" w14:textId="77777777">
        <w:trPr>
          <w:cantSplit/>
        </w:trPr>
        <w:tc>
          <w:tcPr>
            <w:tcW w:w="500" w:type="dxa"/>
            <w:tcBorders>
              <w:top w:val="single" w:sz="6" w:space="0" w:color="auto"/>
              <w:left w:val="single" w:sz="12" w:space="0" w:color="auto"/>
              <w:bottom w:val="single" w:sz="6" w:space="0" w:color="auto"/>
              <w:right w:val="single" w:sz="6" w:space="0" w:color="auto"/>
            </w:tcBorders>
          </w:tcPr>
          <w:p w14:paraId="589C3467" w14:textId="77777777" w:rsidR="006A1907" w:rsidRPr="00231ABC" w:rsidRDefault="006A1907">
            <w:pPr>
              <w:jc w:val="center"/>
              <w:rPr>
                <w:sz w:val="24"/>
              </w:rPr>
            </w:pPr>
          </w:p>
        </w:tc>
        <w:tc>
          <w:tcPr>
            <w:tcW w:w="2876" w:type="dxa"/>
            <w:tcBorders>
              <w:top w:val="single" w:sz="6" w:space="0" w:color="auto"/>
              <w:left w:val="single" w:sz="6" w:space="0" w:color="auto"/>
              <w:bottom w:val="single" w:sz="6" w:space="0" w:color="auto"/>
              <w:right w:val="single" w:sz="6" w:space="0" w:color="auto"/>
            </w:tcBorders>
          </w:tcPr>
          <w:p w14:paraId="7B932B01" w14:textId="77777777" w:rsidR="006A1907" w:rsidRPr="00231ABC" w:rsidRDefault="006A1907">
            <w:pPr>
              <w:jc w:val="center"/>
              <w:rPr>
                <w:sz w:val="24"/>
              </w:rPr>
            </w:pPr>
          </w:p>
        </w:tc>
        <w:tc>
          <w:tcPr>
            <w:tcW w:w="2718" w:type="dxa"/>
            <w:tcBorders>
              <w:top w:val="single" w:sz="6" w:space="0" w:color="auto"/>
              <w:left w:val="single" w:sz="6" w:space="0" w:color="auto"/>
              <w:bottom w:val="single" w:sz="6" w:space="0" w:color="auto"/>
              <w:right w:val="single" w:sz="12" w:space="0" w:color="auto"/>
            </w:tcBorders>
          </w:tcPr>
          <w:p w14:paraId="57E5D287" w14:textId="77777777" w:rsidR="006A1907" w:rsidRPr="00231ABC" w:rsidRDefault="006A1907">
            <w:pPr>
              <w:ind w:firstLine="127"/>
              <w:rPr>
                <w:sz w:val="24"/>
              </w:rPr>
            </w:pPr>
            <w:r w:rsidRPr="00231ABC">
              <w:rPr>
                <w:sz w:val="24"/>
              </w:rPr>
              <w:t>Hrušov</w:t>
            </w:r>
          </w:p>
        </w:tc>
      </w:tr>
      <w:tr w:rsidR="006A1907" w:rsidRPr="00231ABC" w14:paraId="00D38F10" w14:textId="77777777">
        <w:trPr>
          <w:cantSplit/>
        </w:trPr>
        <w:tc>
          <w:tcPr>
            <w:tcW w:w="500" w:type="dxa"/>
            <w:tcBorders>
              <w:top w:val="single" w:sz="6" w:space="0" w:color="auto"/>
              <w:left w:val="single" w:sz="12" w:space="0" w:color="auto"/>
              <w:bottom w:val="single" w:sz="6" w:space="0" w:color="auto"/>
              <w:right w:val="single" w:sz="6" w:space="0" w:color="auto"/>
            </w:tcBorders>
          </w:tcPr>
          <w:p w14:paraId="3DDD47CF" w14:textId="77777777" w:rsidR="006A1907" w:rsidRPr="00231ABC" w:rsidRDefault="006A1907">
            <w:pPr>
              <w:jc w:val="center"/>
              <w:rPr>
                <w:sz w:val="24"/>
              </w:rPr>
            </w:pPr>
          </w:p>
        </w:tc>
        <w:tc>
          <w:tcPr>
            <w:tcW w:w="2876" w:type="dxa"/>
            <w:tcBorders>
              <w:top w:val="single" w:sz="6" w:space="0" w:color="auto"/>
              <w:left w:val="single" w:sz="6" w:space="0" w:color="auto"/>
              <w:bottom w:val="single" w:sz="6" w:space="0" w:color="auto"/>
              <w:right w:val="single" w:sz="6" w:space="0" w:color="auto"/>
            </w:tcBorders>
          </w:tcPr>
          <w:p w14:paraId="6D189282" w14:textId="77777777" w:rsidR="006A1907" w:rsidRPr="00231ABC" w:rsidRDefault="006A1907">
            <w:pPr>
              <w:jc w:val="center"/>
              <w:rPr>
                <w:sz w:val="24"/>
              </w:rPr>
            </w:pPr>
          </w:p>
        </w:tc>
        <w:tc>
          <w:tcPr>
            <w:tcW w:w="2718" w:type="dxa"/>
            <w:tcBorders>
              <w:top w:val="single" w:sz="6" w:space="0" w:color="auto"/>
              <w:left w:val="single" w:sz="6" w:space="0" w:color="auto"/>
              <w:bottom w:val="single" w:sz="6" w:space="0" w:color="auto"/>
              <w:right w:val="single" w:sz="12" w:space="0" w:color="auto"/>
            </w:tcBorders>
          </w:tcPr>
          <w:p w14:paraId="62B97BE9" w14:textId="77777777" w:rsidR="006A1907" w:rsidRPr="00231ABC" w:rsidRDefault="006A1907">
            <w:pPr>
              <w:ind w:firstLine="127"/>
              <w:rPr>
                <w:sz w:val="24"/>
              </w:rPr>
            </w:pPr>
            <w:r w:rsidRPr="00231ABC">
              <w:rPr>
                <w:sz w:val="24"/>
              </w:rPr>
              <w:t>Koblov</w:t>
            </w:r>
          </w:p>
        </w:tc>
      </w:tr>
      <w:tr w:rsidR="006A1907" w:rsidRPr="00231ABC" w14:paraId="36D9DEF0" w14:textId="77777777">
        <w:trPr>
          <w:cantSplit/>
        </w:trPr>
        <w:tc>
          <w:tcPr>
            <w:tcW w:w="500" w:type="dxa"/>
            <w:tcBorders>
              <w:top w:val="single" w:sz="6" w:space="0" w:color="auto"/>
              <w:left w:val="single" w:sz="12" w:space="0" w:color="auto"/>
              <w:bottom w:val="single" w:sz="6" w:space="0" w:color="auto"/>
              <w:right w:val="single" w:sz="6" w:space="0" w:color="auto"/>
            </w:tcBorders>
          </w:tcPr>
          <w:p w14:paraId="4F23FE20" w14:textId="77777777" w:rsidR="006A1907" w:rsidRPr="00231ABC" w:rsidRDefault="006A1907">
            <w:pPr>
              <w:jc w:val="center"/>
              <w:rPr>
                <w:sz w:val="24"/>
              </w:rPr>
            </w:pPr>
          </w:p>
        </w:tc>
        <w:tc>
          <w:tcPr>
            <w:tcW w:w="2876" w:type="dxa"/>
            <w:tcBorders>
              <w:top w:val="single" w:sz="6" w:space="0" w:color="auto"/>
              <w:left w:val="single" w:sz="6" w:space="0" w:color="auto"/>
              <w:bottom w:val="single" w:sz="6" w:space="0" w:color="auto"/>
              <w:right w:val="single" w:sz="6" w:space="0" w:color="auto"/>
            </w:tcBorders>
          </w:tcPr>
          <w:p w14:paraId="32D8FD00" w14:textId="77777777" w:rsidR="006A1907" w:rsidRPr="00231ABC" w:rsidRDefault="006A1907">
            <w:pPr>
              <w:jc w:val="center"/>
              <w:rPr>
                <w:sz w:val="24"/>
              </w:rPr>
            </w:pPr>
          </w:p>
        </w:tc>
        <w:tc>
          <w:tcPr>
            <w:tcW w:w="2718" w:type="dxa"/>
            <w:tcBorders>
              <w:top w:val="single" w:sz="6" w:space="0" w:color="auto"/>
              <w:left w:val="single" w:sz="6" w:space="0" w:color="auto"/>
              <w:bottom w:val="single" w:sz="6" w:space="0" w:color="auto"/>
              <w:right w:val="single" w:sz="12" w:space="0" w:color="auto"/>
            </w:tcBorders>
          </w:tcPr>
          <w:p w14:paraId="496EB31B" w14:textId="77777777" w:rsidR="006A1907" w:rsidRPr="00231ABC" w:rsidRDefault="006A1907">
            <w:pPr>
              <w:ind w:firstLine="127"/>
              <w:rPr>
                <w:sz w:val="24"/>
              </w:rPr>
            </w:pPr>
            <w:r w:rsidRPr="00231ABC">
              <w:rPr>
                <w:sz w:val="24"/>
              </w:rPr>
              <w:t>Kunčice nad Ostravicí</w:t>
            </w:r>
          </w:p>
        </w:tc>
      </w:tr>
      <w:tr w:rsidR="006A1907" w:rsidRPr="00231ABC" w14:paraId="513B57B2" w14:textId="77777777">
        <w:trPr>
          <w:cantSplit/>
        </w:trPr>
        <w:tc>
          <w:tcPr>
            <w:tcW w:w="500" w:type="dxa"/>
            <w:tcBorders>
              <w:top w:val="single" w:sz="6" w:space="0" w:color="auto"/>
              <w:left w:val="single" w:sz="12" w:space="0" w:color="auto"/>
              <w:bottom w:val="single" w:sz="6" w:space="0" w:color="auto"/>
              <w:right w:val="single" w:sz="6" w:space="0" w:color="auto"/>
            </w:tcBorders>
          </w:tcPr>
          <w:p w14:paraId="5F4A65A4" w14:textId="77777777" w:rsidR="006A1907" w:rsidRPr="00231ABC" w:rsidRDefault="006A1907">
            <w:pPr>
              <w:jc w:val="center"/>
              <w:rPr>
                <w:sz w:val="24"/>
              </w:rPr>
            </w:pPr>
          </w:p>
        </w:tc>
        <w:tc>
          <w:tcPr>
            <w:tcW w:w="2876" w:type="dxa"/>
            <w:tcBorders>
              <w:top w:val="single" w:sz="6" w:space="0" w:color="auto"/>
              <w:left w:val="single" w:sz="6" w:space="0" w:color="auto"/>
              <w:bottom w:val="single" w:sz="6" w:space="0" w:color="auto"/>
              <w:right w:val="single" w:sz="6" w:space="0" w:color="auto"/>
            </w:tcBorders>
          </w:tcPr>
          <w:p w14:paraId="442A3738" w14:textId="77777777" w:rsidR="006A1907" w:rsidRPr="00231ABC" w:rsidRDefault="006A1907">
            <w:pPr>
              <w:jc w:val="center"/>
              <w:rPr>
                <w:sz w:val="24"/>
              </w:rPr>
            </w:pPr>
          </w:p>
        </w:tc>
        <w:tc>
          <w:tcPr>
            <w:tcW w:w="2718" w:type="dxa"/>
            <w:tcBorders>
              <w:top w:val="single" w:sz="6" w:space="0" w:color="auto"/>
              <w:left w:val="single" w:sz="6" w:space="0" w:color="auto"/>
              <w:bottom w:val="single" w:sz="6" w:space="0" w:color="auto"/>
              <w:right w:val="single" w:sz="12" w:space="0" w:color="auto"/>
            </w:tcBorders>
          </w:tcPr>
          <w:p w14:paraId="229535BD" w14:textId="77777777" w:rsidR="006A1907" w:rsidRPr="00231ABC" w:rsidRDefault="006A1907">
            <w:pPr>
              <w:ind w:firstLine="127"/>
              <w:rPr>
                <w:sz w:val="24"/>
              </w:rPr>
            </w:pPr>
            <w:r w:rsidRPr="00231ABC">
              <w:rPr>
                <w:sz w:val="24"/>
              </w:rPr>
              <w:t>Kunčičky</w:t>
            </w:r>
          </w:p>
        </w:tc>
      </w:tr>
      <w:tr w:rsidR="006A1907" w:rsidRPr="00231ABC" w14:paraId="42182390" w14:textId="77777777">
        <w:trPr>
          <w:cantSplit/>
        </w:trPr>
        <w:tc>
          <w:tcPr>
            <w:tcW w:w="500" w:type="dxa"/>
            <w:tcBorders>
              <w:top w:val="single" w:sz="6" w:space="0" w:color="auto"/>
              <w:left w:val="single" w:sz="12" w:space="0" w:color="auto"/>
              <w:bottom w:val="single" w:sz="6" w:space="0" w:color="auto"/>
              <w:right w:val="single" w:sz="6" w:space="0" w:color="auto"/>
            </w:tcBorders>
          </w:tcPr>
          <w:p w14:paraId="6CA01ECE" w14:textId="77777777" w:rsidR="006A1907" w:rsidRPr="00231ABC" w:rsidRDefault="006A1907">
            <w:pPr>
              <w:jc w:val="center"/>
              <w:rPr>
                <w:sz w:val="24"/>
              </w:rPr>
            </w:pPr>
          </w:p>
        </w:tc>
        <w:tc>
          <w:tcPr>
            <w:tcW w:w="2876" w:type="dxa"/>
            <w:tcBorders>
              <w:top w:val="single" w:sz="6" w:space="0" w:color="auto"/>
              <w:left w:val="single" w:sz="6" w:space="0" w:color="auto"/>
              <w:bottom w:val="single" w:sz="6" w:space="0" w:color="auto"/>
              <w:right w:val="single" w:sz="6" w:space="0" w:color="auto"/>
            </w:tcBorders>
          </w:tcPr>
          <w:p w14:paraId="55CAA831" w14:textId="77777777" w:rsidR="006A1907" w:rsidRPr="00231ABC" w:rsidRDefault="006A1907">
            <w:pPr>
              <w:jc w:val="center"/>
              <w:rPr>
                <w:sz w:val="24"/>
              </w:rPr>
            </w:pPr>
          </w:p>
        </w:tc>
        <w:tc>
          <w:tcPr>
            <w:tcW w:w="2718" w:type="dxa"/>
            <w:tcBorders>
              <w:top w:val="single" w:sz="6" w:space="0" w:color="auto"/>
              <w:left w:val="single" w:sz="6" w:space="0" w:color="auto"/>
              <w:bottom w:val="single" w:sz="6" w:space="0" w:color="auto"/>
              <w:right w:val="single" w:sz="12" w:space="0" w:color="auto"/>
            </w:tcBorders>
          </w:tcPr>
          <w:p w14:paraId="5AA3343E" w14:textId="77777777" w:rsidR="006A1907" w:rsidRPr="00231ABC" w:rsidRDefault="006A1907">
            <w:pPr>
              <w:ind w:firstLine="127"/>
              <w:rPr>
                <w:sz w:val="24"/>
              </w:rPr>
            </w:pPr>
            <w:r w:rsidRPr="00231ABC">
              <w:rPr>
                <w:sz w:val="24"/>
              </w:rPr>
              <w:t>Muglinov</w:t>
            </w:r>
          </w:p>
        </w:tc>
      </w:tr>
      <w:tr w:rsidR="006A1907" w:rsidRPr="00231ABC" w14:paraId="1981F092" w14:textId="77777777">
        <w:trPr>
          <w:cantSplit/>
        </w:trPr>
        <w:tc>
          <w:tcPr>
            <w:tcW w:w="500" w:type="dxa"/>
            <w:tcBorders>
              <w:top w:val="single" w:sz="6" w:space="0" w:color="auto"/>
              <w:left w:val="single" w:sz="12" w:space="0" w:color="auto"/>
              <w:bottom w:val="single" w:sz="12" w:space="0" w:color="auto"/>
              <w:right w:val="single" w:sz="6" w:space="0" w:color="auto"/>
            </w:tcBorders>
          </w:tcPr>
          <w:p w14:paraId="33191A83" w14:textId="77777777" w:rsidR="006A1907" w:rsidRPr="00231ABC" w:rsidRDefault="006A1907">
            <w:pPr>
              <w:jc w:val="center"/>
              <w:rPr>
                <w:sz w:val="24"/>
              </w:rPr>
            </w:pPr>
          </w:p>
        </w:tc>
        <w:tc>
          <w:tcPr>
            <w:tcW w:w="2876" w:type="dxa"/>
            <w:tcBorders>
              <w:top w:val="single" w:sz="6" w:space="0" w:color="auto"/>
              <w:left w:val="single" w:sz="6" w:space="0" w:color="auto"/>
              <w:bottom w:val="single" w:sz="12" w:space="0" w:color="auto"/>
              <w:right w:val="single" w:sz="6" w:space="0" w:color="auto"/>
            </w:tcBorders>
          </w:tcPr>
          <w:p w14:paraId="651AED34" w14:textId="77777777" w:rsidR="006A1907" w:rsidRPr="00231ABC" w:rsidRDefault="006A1907">
            <w:pPr>
              <w:jc w:val="center"/>
              <w:rPr>
                <w:sz w:val="24"/>
              </w:rPr>
            </w:pPr>
          </w:p>
        </w:tc>
        <w:tc>
          <w:tcPr>
            <w:tcW w:w="2718" w:type="dxa"/>
            <w:tcBorders>
              <w:top w:val="single" w:sz="6" w:space="0" w:color="auto"/>
              <w:left w:val="single" w:sz="6" w:space="0" w:color="auto"/>
              <w:bottom w:val="single" w:sz="12" w:space="0" w:color="auto"/>
              <w:right w:val="single" w:sz="12" w:space="0" w:color="auto"/>
            </w:tcBorders>
          </w:tcPr>
          <w:p w14:paraId="550AC705" w14:textId="77777777" w:rsidR="006A1907" w:rsidRPr="00231ABC" w:rsidRDefault="006A1907">
            <w:pPr>
              <w:ind w:firstLine="127"/>
              <w:rPr>
                <w:sz w:val="24"/>
              </w:rPr>
            </w:pPr>
            <w:r w:rsidRPr="00231ABC">
              <w:rPr>
                <w:sz w:val="24"/>
              </w:rPr>
              <w:t>Slezská Ostrava</w:t>
            </w:r>
          </w:p>
        </w:tc>
      </w:tr>
      <w:tr w:rsidR="006A1907" w:rsidRPr="00231ABC" w14:paraId="7D455785" w14:textId="77777777">
        <w:trPr>
          <w:cantSplit/>
        </w:trPr>
        <w:tc>
          <w:tcPr>
            <w:tcW w:w="500" w:type="dxa"/>
            <w:tcBorders>
              <w:top w:val="single" w:sz="12" w:space="0" w:color="auto"/>
              <w:left w:val="single" w:sz="12" w:space="0" w:color="auto"/>
              <w:bottom w:val="single" w:sz="6" w:space="0" w:color="auto"/>
              <w:right w:val="single" w:sz="6" w:space="0" w:color="auto"/>
            </w:tcBorders>
          </w:tcPr>
          <w:p w14:paraId="28F6DE24" w14:textId="77777777" w:rsidR="006A1907" w:rsidRPr="00231ABC" w:rsidRDefault="006A1907">
            <w:pPr>
              <w:jc w:val="center"/>
              <w:rPr>
                <w:sz w:val="24"/>
              </w:rPr>
            </w:pPr>
            <w:r w:rsidRPr="00231ABC">
              <w:rPr>
                <w:sz w:val="24"/>
              </w:rPr>
              <w:t>3</w:t>
            </w:r>
          </w:p>
        </w:tc>
        <w:tc>
          <w:tcPr>
            <w:tcW w:w="2876" w:type="dxa"/>
            <w:tcBorders>
              <w:top w:val="single" w:sz="12" w:space="0" w:color="auto"/>
              <w:left w:val="single" w:sz="6" w:space="0" w:color="auto"/>
              <w:bottom w:val="single" w:sz="6" w:space="0" w:color="auto"/>
              <w:right w:val="single" w:sz="6" w:space="0" w:color="auto"/>
            </w:tcBorders>
          </w:tcPr>
          <w:p w14:paraId="21B4E166" w14:textId="77777777" w:rsidR="006A1907" w:rsidRPr="00231ABC" w:rsidRDefault="006A1907">
            <w:pPr>
              <w:jc w:val="center"/>
              <w:rPr>
                <w:sz w:val="24"/>
              </w:rPr>
            </w:pPr>
            <w:r w:rsidRPr="00231ABC">
              <w:rPr>
                <w:sz w:val="24"/>
              </w:rPr>
              <w:t>Ostrava-</w:t>
            </w:r>
            <w:r w:rsidR="00CC00C4" w:rsidRPr="00231ABC">
              <w:rPr>
                <w:sz w:val="24"/>
              </w:rPr>
              <w:t>J</w:t>
            </w:r>
            <w:r w:rsidRPr="00231ABC">
              <w:rPr>
                <w:sz w:val="24"/>
              </w:rPr>
              <w:t>ih</w:t>
            </w:r>
          </w:p>
        </w:tc>
        <w:tc>
          <w:tcPr>
            <w:tcW w:w="2718" w:type="dxa"/>
            <w:tcBorders>
              <w:top w:val="single" w:sz="12" w:space="0" w:color="auto"/>
              <w:left w:val="single" w:sz="6" w:space="0" w:color="auto"/>
              <w:bottom w:val="single" w:sz="6" w:space="0" w:color="auto"/>
              <w:right w:val="single" w:sz="12" w:space="0" w:color="auto"/>
            </w:tcBorders>
          </w:tcPr>
          <w:p w14:paraId="3337C31F" w14:textId="77777777" w:rsidR="006A1907" w:rsidRPr="00231ABC" w:rsidRDefault="006A1907">
            <w:pPr>
              <w:ind w:firstLine="127"/>
              <w:rPr>
                <w:sz w:val="24"/>
              </w:rPr>
            </w:pPr>
            <w:r w:rsidRPr="00231ABC">
              <w:rPr>
                <w:sz w:val="24"/>
              </w:rPr>
              <w:t>Dubina u Ostravy</w:t>
            </w:r>
          </w:p>
        </w:tc>
      </w:tr>
      <w:tr w:rsidR="006A1907" w:rsidRPr="00231ABC" w14:paraId="780A75D3" w14:textId="77777777">
        <w:trPr>
          <w:cantSplit/>
        </w:trPr>
        <w:tc>
          <w:tcPr>
            <w:tcW w:w="500" w:type="dxa"/>
            <w:tcBorders>
              <w:top w:val="single" w:sz="6" w:space="0" w:color="auto"/>
              <w:left w:val="single" w:sz="12" w:space="0" w:color="auto"/>
              <w:bottom w:val="single" w:sz="6" w:space="0" w:color="auto"/>
              <w:right w:val="single" w:sz="6" w:space="0" w:color="auto"/>
            </w:tcBorders>
          </w:tcPr>
          <w:p w14:paraId="683B92A8" w14:textId="77777777" w:rsidR="006A1907" w:rsidRPr="00231ABC" w:rsidRDefault="006A1907">
            <w:pPr>
              <w:jc w:val="center"/>
              <w:rPr>
                <w:sz w:val="24"/>
              </w:rPr>
            </w:pPr>
          </w:p>
        </w:tc>
        <w:tc>
          <w:tcPr>
            <w:tcW w:w="2876" w:type="dxa"/>
            <w:tcBorders>
              <w:top w:val="single" w:sz="6" w:space="0" w:color="auto"/>
              <w:left w:val="single" w:sz="6" w:space="0" w:color="auto"/>
              <w:bottom w:val="single" w:sz="6" w:space="0" w:color="auto"/>
              <w:right w:val="single" w:sz="6" w:space="0" w:color="auto"/>
            </w:tcBorders>
          </w:tcPr>
          <w:p w14:paraId="50763549" w14:textId="77777777" w:rsidR="006A1907" w:rsidRPr="00231ABC" w:rsidRDefault="006A1907">
            <w:pPr>
              <w:jc w:val="center"/>
              <w:rPr>
                <w:sz w:val="24"/>
              </w:rPr>
            </w:pPr>
          </w:p>
        </w:tc>
        <w:tc>
          <w:tcPr>
            <w:tcW w:w="2718" w:type="dxa"/>
            <w:tcBorders>
              <w:top w:val="single" w:sz="6" w:space="0" w:color="auto"/>
              <w:left w:val="single" w:sz="6" w:space="0" w:color="auto"/>
              <w:bottom w:val="single" w:sz="6" w:space="0" w:color="auto"/>
              <w:right w:val="single" w:sz="12" w:space="0" w:color="auto"/>
            </w:tcBorders>
          </w:tcPr>
          <w:p w14:paraId="61E70DD4" w14:textId="77777777" w:rsidR="006A1907" w:rsidRPr="00231ABC" w:rsidRDefault="006A1907">
            <w:pPr>
              <w:ind w:firstLine="127"/>
              <w:rPr>
                <w:sz w:val="24"/>
              </w:rPr>
            </w:pPr>
            <w:r w:rsidRPr="00231ABC">
              <w:rPr>
                <w:sz w:val="24"/>
              </w:rPr>
              <w:t>Hrabůvka</w:t>
            </w:r>
          </w:p>
        </w:tc>
      </w:tr>
      <w:tr w:rsidR="006A1907" w:rsidRPr="00231ABC" w14:paraId="72DC7CDE" w14:textId="77777777">
        <w:trPr>
          <w:cantSplit/>
        </w:trPr>
        <w:tc>
          <w:tcPr>
            <w:tcW w:w="500" w:type="dxa"/>
            <w:tcBorders>
              <w:top w:val="single" w:sz="6" w:space="0" w:color="auto"/>
              <w:left w:val="single" w:sz="12" w:space="0" w:color="auto"/>
              <w:bottom w:val="single" w:sz="6" w:space="0" w:color="auto"/>
              <w:right w:val="single" w:sz="6" w:space="0" w:color="auto"/>
            </w:tcBorders>
          </w:tcPr>
          <w:p w14:paraId="44570A80" w14:textId="77777777" w:rsidR="006A1907" w:rsidRPr="00231ABC" w:rsidRDefault="006A1907">
            <w:pPr>
              <w:jc w:val="center"/>
              <w:rPr>
                <w:sz w:val="24"/>
              </w:rPr>
            </w:pPr>
          </w:p>
        </w:tc>
        <w:tc>
          <w:tcPr>
            <w:tcW w:w="2876" w:type="dxa"/>
            <w:tcBorders>
              <w:top w:val="single" w:sz="6" w:space="0" w:color="auto"/>
              <w:left w:val="single" w:sz="6" w:space="0" w:color="auto"/>
              <w:bottom w:val="single" w:sz="6" w:space="0" w:color="auto"/>
              <w:right w:val="single" w:sz="6" w:space="0" w:color="auto"/>
            </w:tcBorders>
          </w:tcPr>
          <w:p w14:paraId="5A3AAB3D" w14:textId="77777777" w:rsidR="006A1907" w:rsidRPr="00231ABC" w:rsidRDefault="006A1907">
            <w:pPr>
              <w:jc w:val="center"/>
              <w:rPr>
                <w:sz w:val="24"/>
              </w:rPr>
            </w:pPr>
          </w:p>
        </w:tc>
        <w:tc>
          <w:tcPr>
            <w:tcW w:w="2718" w:type="dxa"/>
            <w:tcBorders>
              <w:top w:val="single" w:sz="6" w:space="0" w:color="auto"/>
              <w:left w:val="single" w:sz="6" w:space="0" w:color="auto"/>
              <w:bottom w:val="single" w:sz="6" w:space="0" w:color="auto"/>
              <w:right w:val="single" w:sz="12" w:space="0" w:color="auto"/>
            </w:tcBorders>
          </w:tcPr>
          <w:p w14:paraId="17C81BBA" w14:textId="77777777" w:rsidR="006A1907" w:rsidRPr="00231ABC" w:rsidRDefault="006A1907">
            <w:pPr>
              <w:ind w:firstLine="127"/>
              <w:rPr>
                <w:sz w:val="24"/>
              </w:rPr>
            </w:pPr>
            <w:r w:rsidRPr="00231ABC">
              <w:rPr>
                <w:sz w:val="24"/>
              </w:rPr>
              <w:t>Výškovice u Ostravy</w:t>
            </w:r>
          </w:p>
        </w:tc>
      </w:tr>
      <w:tr w:rsidR="006A1907" w:rsidRPr="00231ABC" w14:paraId="3E205C98" w14:textId="77777777">
        <w:trPr>
          <w:cantSplit/>
        </w:trPr>
        <w:tc>
          <w:tcPr>
            <w:tcW w:w="500" w:type="dxa"/>
            <w:tcBorders>
              <w:top w:val="single" w:sz="6" w:space="0" w:color="auto"/>
              <w:left w:val="single" w:sz="12" w:space="0" w:color="auto"/>
              <w:bottom w:val="single" w:sz="12" w:space="0" w:color="auto"/>
              <w:right w:val="single" w:sz="6" w:space="0" w:color="auto"/>
            </w:tcBorders>
          </w:tcPr>
          <w:p w14:paraId="0FAF49BC" w14:textId="77777777" w:rsidR="006A1907" w:rsidRPr="00231ABC" w:rsidRDefault="006A1907">
            <w:pPr>
              <w:jc w:val="center"/>
              <w:rPr>
                <w:sz w:val="24"/>
              </w:rPr>
            </w:pPr>
          </w:p>
        </w:tc>
        <w:tc>
          <w:tcPr>
            <w:tcW w:w="2876" w:type="dxa"/>
            <w:tcBorders>
              <w:top w:val="single" w:sz="6" w:space="0" w:color="auto"/>
              <w:left w:val="single" w:sz="6" w:space="0" w:color="auto"/>
              <w:bottom w:val="single" w:sz="12" w:space="0" w:color="auto"/>
              <w:right w:val="single" w:sz="6" w:space="0" w:color="auto"/>
            </w:tcBorders>
          </w:tcPr>
          <w:p w14:paraId="52AC7927" w14:textId="77777777" w:rsidR="006A1907" w:rsidRPr="00231ABC" w:rsidRDefault="006A1907">
            <w:pPr>
              <w:jc w:val="center"/>
              <w:rPr>
                <w:sz w:val="24"/>
              </w:rPr>
            </w:pPr>
          </w:p>
        </w:tc>
        <w:tc>
          <w:tcPr>
            <w:tcW w:w="2718" w:type="dxa"/>
            <w:tcBorders>
              <w:top w:val="single" w:sz="6" w:space="0" w:color="auto"/>
              <w:left w:val="single" w:sz="6" w:space="0" w:color="auto"/>
              <w:bottom w:val="single" w:sz="12" w:space="0" w:color="auto"/>
              <w:right w:val="single" w:sz="12" w:space="0" w:color="auto"/>
            </w:tcBorders>
          </w:tcPr>
          <w:p w14:paraId="3DB0AE6D" w14:textId="77777777" w:rsidR="006A1907" w:rsidRPr="00231ABC" w:rsidRDefault="006A1907">
            <w:pPr>
              <w:ind w:firstLine="127"/>
              <w:rPr>
                <w:sz w:val="24"/>
              </w:rPr>
            </w:pPr>
            <w:r w:rsidRPr="00231ABC">
              <w:rPr>
                <w:sz w:val="24"/>
              </w:rPr>
              <w:t>Zábřeh nad Odrou</w:t>
            </w:r>
          </w:p>
        </w:tc>
      </w:tr>
      <w:tr w:rsidR="006A1907" w:rsidRPr="00231ABC" w14:paraId="3976C977" w14:textId="77777777">
        <w:trPr>
          <w:cantSplit/>
        </w:trPr>
        <w:tc>
          <w:tcPr>
            <w:tcW w:w="500" w:type="dxa"/>
            <w:tcBorders>
              <w:top w:val="single" w:sz="12" w:space="0" w:color="auto"/>
              <w:left w:val="single" w:sz="12" w:space="0" w:color="auto"/>
              <w:bottom w:val="single" w:sz="6" w:space="0" w:color="auto"/>
              <w:right w:val="single" w:sz="6" w:space="0" w:color="auto"/>
            </w:tcBorders>
          </w:tcPr>
          <w:p w14:paraId="7A8D1A9E" w14:textId="77777777" w:rsidR="006A1907" w:rsidRPr="00231ABC" w:rsidRDefault="006A1907">
            <w:pPr>
              <w:jc w:val="center"/>
              <w:rPr>
                <w:sz w:val="24"/>
              </w:rPr>
            </w:pPr>
            <w:r w:rsidRPr="00231ABC">
              <w:rPr>
                <w:sz w:val="24"/>
              </w:rPr>
              <w:t>4</w:t>
            </w:r>
          </w:p>
        </w:tc>
        <w:tc>
          <w:tcPr>
            <w:tcW w:w="2876" w:type="dxa"/>
            <w:tcBorders>
              <w:top w:val="single" w:sz="12" w:space="0" w:color="auto"/>
              <w:left w:val="single" w:sz="6" w:space="0" w:color="auto"/>
              <w:bottom w:val="single" w:sz="6" w:space="0" w:color="auto"/>
              <w:right w:val="single" w:sz="6" w:space="0" w:color="auto"/>
            </w:tcBorders>
          </w:tcPr>
          <w:p w14:paraId="124312B7" w14:textId="77777777" w:rsidR="006A1907" w:rsidRPr="00231ABC" w:rsidRDefault="006A1907">
            <w:pPr>
              <w:jc w:val="center"/>
              <w:rPr>
                <w:sz w:val="24"/>
              </w:rPr>
            </w:pPr>
            <w:r w:rsidRPr="00231ABC">
              <w:rPr>
                <w:sz w:val="24"/>
              </w:rPr>
              <w:t>Poruba</w:t>
            </w:r>
          </w:p>
        </w:tc>
        <w:tc>
          <w:tcPr>
            <w:tcW w:w="2718" w:type="dxa"/>
            <w:tcBorders>
              <w:top w:val="single" w:sz="12" w:space="0" w:color="auto"/>
              <w:left w:val="single" w:sz="6" w:space="0" w:color="auto"/>
              <w:bottom w:val="single" w:sz="6" w:space="0" w:color="auto"/>
              <w:right w:val="single" w:sz="12" w:space="0" w:color="auto"/>
            </w:tcBorders>
          </w:tcPr>
          <w:p w14:paraId="3231BEF0" w14:textId="77777777" w:rsidR="006A1907" w:rsidRPr="00231ABC" w:rsidRDefault="006A1907">
            <w:pPr>
              <w:ind w:firstLine="127"/>
              <w:rPr>
                <w:sz w:val="24"/>
              </w:rPr>
            </w:pPr>
            <w:r w:rsidRPr="00231ABC">
              <w:rPr>
                <w:sz w:val="24"/>
              </w:rPr>
              <w:t>Poruba</w:t>
            </w:r>
          </w:p>
        </w:tc>
      </w:tr>
      <w:tr w:rsidR="006A1907" w:rsidRPr="00231ABC" w14:paraId="378566A0" w14:textId="77777777">
        <w:trPr>
          <w:cantSplit/>
        </w:trPr>
        <w:tc>
          <w:tcPr>
            <w:tcW w:w="500" w:type="dxa"/>
            <w:tcBorders>
              <w:top w:val="single" w:sz="6" w:space="0" w:color="auto"/>
              <w:left w:val="single" w:sz="12" w:space="0" w:color="auto"/>
              <w:bottom w:val="single" w:sz="12" w:space="0" w:color="auto"/>
              <w:right w:val="single" w:sz="6" w:space="0" w:color="auto"/>
            </w:tcBorders>
          </w:tcPr>
          <w:p w14:paraId="1D1BB0A0" w14:textId="77777777" w:rsidR="006A1907" w:rsidRPr="00231ABC" w:rsidRDefault="006A1907">
            <w:pPr>
              <w:jc w:val="center"/>
              <w:rPr>
                <w:sz w:val="24"/>
              </w:rPr>
            </w:pPr>
          </w:p>
        </w:tc>
        <w:tc>
          <w:tcPr>
            <w:tcW w:w="2876" w:type="dxa"/>
            <w:tcBorders>
              <w:top w:val="single" w:sz="6" w:space="0" w:color="auto"/>
              <w:left w:val="single" w:sz="6" w:space="0" w:color="auto"/>
              <w:bottom w:val="single" w:sz="12" w:space="0" w:color="auto"/>
              <w:right w:val="single" w:sz="6" w:space="0" w:color="auto"/>
            </w:tcBorders>
          </w:tcPr>
          <w:p w14:paraId="4A53AE29" w14:textId="77777777" w:rsidR="006A1907" w:rsidRPr="00231ABC" w:rsidRDefault="006A1907">
            <w:pPr>
              <w:jc w:val="center"/>
              <w:rPr>
                <w:sz w:val="24"/>
              </w:rPr>
            </w:pPr>
          </w:p>
        </w:tc>
        <w:tc>
          <w:tcPr>
            <w:tcW w:w="2718" w:type="dxa"/>
            <w:tcBorders>
              <w:top w:val="single" w:sz="6" w:space="0" w:color="auto"/>
              <w:left w:val="single" w:sz="6" w:space="0" w:color="auto"/>
              <w:bottom w:val="single" w:sz="12" w:space="0" w:color="auto"/>
              <w:right w:val="single" w:sz="12" w:space="0" w:color="auto"/>
            </w:tcBorders>
          </w:tcPr>
          <w:p w14:paraId="074D320A" w14:textId="77777777" w:rsidR="006A1907" w:rsidRPr="00231ABC" w:rsidRDefault="006A1907">
            <w:pPr>
              <w:ind w:firstLine="127"/>
              <w:rPr>
                <w:sz w:val="24"/>
              </w:rPr>
            </w:pPr>
            <w:r w:rsidRPr="00231ABC">
              <w:rPr>
                <w:sz w:val="24"/>
              </w:rPr>
              <w:t>Poruba-sever</w:t>
            </w:r>
          </w:p>
        </w:tc>
      </w:tr>
      <w:tr w:rsidR="006A1907" w:rsidRPr="00231ABC" w14:paraId="37F66E6C" w14:textId="77777777">
        <w:tc>
          <w:tcPr>
            <w:tcW w:w="500" w:type="dxa"/>
            <w:tcBorders>
              <w:top w:val="single" w:sz="12" w:space="0" w:color="auto"/>
              <w:left w:val="single" w:sz="12" w:space="0" w:color="auto"/>
              <w:bottom w:val="single" w:sz="12" w:space="0" w:color="auto"/>
              <w:right w:val="single" w:sz="6" w:space="0" w:color="auto"/>
            </w:tcBorders>
          </w:tcPr>
          <w:p w14:paraId="13BEDC6C" w14:textId="77777777" w:rsidR="006A1907" w:rsidRPr="00231ABC" w:rsidRDefault="006A1907">
            <w:pPr>
              <w:jc w:val="center"/>
              <w:rPr>
                <w:sz w:val="24"/>
              </w:rPr>
            </w:pPr>
            <w:r w:rsidRPr="00231ABC">
              <w:rPr>
                <w:sz w:val="24"/>
              </w:rPr>
              <w:t>5</w:t>
            </w:r>
          </w:p>
        </w:tc>
        <w:tc>
          <w:tcPr>
            <w:tcW w:w="2876" w:type="dxa"/>
            <w:tcBorders>
              <w:top w:val="single" w:sz="12" w:space="0" w:color="auto"/>
              <w:left w:val="single" w:sz="6" w:space="0" w:color="auto"/>
              <w:bottom w:val="single" w:sz="12" w:space="0" w:color="auto"/>
              <w:right w:val="single" w:sz="6" w:space="0" w:color="auto"/>
            </w:tcBorders>
          </w:tcPr>
          <w:p w14:paraId="1C1ADBFA" w14:textId="77777777" w:rsidR="006A1907" w:rsidRPr="00231ABC" w:rsidRDefault="006A1907">
            <w:pPr>
              <w:jc w:val="center"/>
              <w:rPr>
                <w:sz w:val="24"/>
              </w:rPr>
            </w:pPr>
            <w:r w:rsidRPr="00231ABC">
              <w:rPr>
                <w:sz w:val="24"/>
              </w:rPr>
              <w:t>Nová Bělá</w:t>
            </w:r>
          </w:p>
        </w:tc>
        <w:tc>
          <w:tcPr>
            <w:tcW w:w="2718" w:type="dxa"/>
            <w:tcBorders>
              <w:top w:val="single" w:sz="12" w:space="0" w:color="auto"/>
              <w:left w:val="single" w:sz="6" w:space="0" w:color="auto"/>
              <w:bottom w:val="single" w:sz="12" w:space="0" w:color="auto"/>
              <w:right w:val="single" w:sz="12" w:space="0" w:color="auto"/>
            </w:tcBorders>
          </w:tcPr>
          <w:p w14:paraId="4D75B6E6" w14:textId="77777777" w:rsidR="006A1907" w:rsidRPr="00231ABC" w:rsidRDefault="006A1907">
            <w:pPr>
              <w:ind w:firstLine="127"/>
              <w:rPr>
                <w:sz w:val="24"/>
              </w:rPr>
            </w:pPr>
            <w:r w:rsidRPr="00231ABC">
              <w:rPr>
                <w:sz w:val="24"/>
              </w:rPr>
              <w:t>Nová Bělá</w:t>
            </w:r>
          </w:p>
        </w:tc>
      </w:tr>
      <w:tr w:rsidR="006A1907" w:rsidRPr="00231ABC" w14:paraId="384BF35C" w14:textId="77777777">
        <w:trPr>
          <w:cantSplit/>
        </w:trPr>
        <w:tc>
          <w:tcPr>
            <w:tcW w:w="500" w:type="dxa"/>
            <w:tcBorders>
              <w:top w:val="single" w:sz="12" w:space="0" w:color="auto"/>
              <w:left w:val="single" w:sz="12" w:space="0" w:color="auto"/>
              <w:bottom w:val="single" w:sz="6" w:space="0" w:color="auto"/>
              <w:right w:val="single" w:sz="6" w:space="0" w:color="auto"/>
            </w:tcBorders>
          </w:tcPr>
          <w:p w14:paraId="03F6E90C" w14:textId="77777777" w:rsidR="006A1907" w:rsidRPr="00231ABC" w:rsidRDefault="006A1907">
            <w:pPr>
              <w:jc w:val="center"/>
              <w:rPr>
                <w:sz w:val="24"/>
              </w:rPr>
            </w:pPr>
            <w:r w:rsidRPr="00231ABC">
              <w:rPr>
                <w:sz w:val="24"/>
              </w:rPr>
              <w:t>6</w:t>
            </w:r>
          </w:p>
        </w:tc>
        <w:tc>
          <w:tcPr>
            <w:tcW w:w="2876" w:type="dxa"/>
            <w:tcBorders>
              <w:top w:val="single" w:sz="12" w:space="0" w:color="auto"/>
              <w:left w:val="single" w:sz="6" w:space="0" w:color="auto"/>
              <w:bottom w:val="single" w:sz="6" w:space="0" w:color="auto"/>
              <w:right w:val="single" w:sz="6" w:space="0" w:color="auto"/>
            </w:tcBorders>
          </w:tcPr>
          <w:p w14:paraId="32573399" w14:textId="77777777" w:rsidR="006A1907" w:rsidRPr="00231ABC" w:rsidRDefault="006A1907">
            <w:pPr>
              <w:jc w:val="center"/>
              <w:rPr>
                <w:sz w:val="24"/>
              </w:rPr>
            </w:pPr>
            <w:r w:rsidRPr="00231ABC">
              <w:rPr>
                <w:sz w:val="24"/>
              </w:rPr>
              <w:t>Vítkovice</w:t>
            </w:r>
          </w:p>
        </w:tc>
        <w:tc>
          <w:tcPr>
            <w:tcW w:w="2718" w:type="dxa"/>
            <w:tcBorders>
              <w:top w:val="single" w:sz="12" w:space="0" w:color="auto"/>
              <w:left w:val="single" w:sz="6" w:space="0" w:color="auto"/>
              <w:bottom w:val="single" w:sz="6" w:space="0" w:color="auto"/>
              <w:right w:val="single" w:sz="12" w:space="0" w:color="auto"/>
            </w:tcBorders>
          </w:tcPr>
          <w:p w14:paraId="56633DF0" w14:textId="77777777" w:rsidR="006A1907" w:rsidRPr="00231ABC" w:rsidRDefault="006A1907">
            <w:pPr>
              <w:ind w:firstLine="127"/>
              <w:rPr>
                <w:sz w:val="24"/>
              </w:rPr>
            </w:pPr>
            <w:r w:rsidRPr="00231ABC">
              <w:rPr>
                <w:sz w:val="24"/>
              </w:rPr>
              <w:t>Vítkovice</w:t>
            </w:r>
          </w:p>
        </w:tc>
      </w:tr>
      <w:tr w:rsidR="006A1907" w:rsidRPr="00231ABC" w14:paraId="46695FA6" w14:textId="77777777">
        <w:trPr>
          <w:cantSplit/>
        </w:trPr>
        <w:tc>
          <w:tcPr>
            <w:tcW w:w="500" w:type="dxa"/>
            <w:tcBorders>
              <w:top w:val="single" w:sz="6" w:space="0" w:color="auto"/>
              <w:left w:val="single" w:sz="12" w:space="0" w:color="auto"/>
              <w:bottom w:val="single" w:sz="12" w:space="0" w:color="auto"/>
              <w:right w:val="single" w:sz="6" w:space="0" w:color="auto"/>
            </w:tcBorders>
          </w:tcPr>
          <w:p w14:paraId="54C3DBB9" w14:textId="77777777" w:rsidR="006A1907" w:rsidRPr="00231ABC" w:rsidRDefault="006A1907">
            <w:pPr>
              <w:jc w:val="center"/>
              <w:rPr>
                <w:sz w:val="24"/>
              </w:rPr>
            </w:pPr>
          </w:p>
        </w:tc>
        <w:tc>
          <w:tcPr>
            <w:tcW w:w="2876" w:type="dxa"/>
            <w:tcBorders>
              <w:top w:val="single" w:sz="6" w:space="0" w:color="auto"/>
              <w:left w:val="single" w:sz="6" w:space="0" w:color="auto"/>
              <w:bottom w:val="single" w:sz="12" w:space="0" w:color="auto"/>
              <w:right w:val="single" w:sz="6" w:space="0" w:color="auto"/>
            </w:tcBorders>
          </w:tcPr>
          <w:p w14:paraId="78D13719" w14:textId="77777777" w:rsidR="006A1907" w:rsidRPr="00231ABC" w:rsidRDefault="006A1907">
            <w:pPr>
              <w:jc w:val="center"/>
              <w:rPr>
                <w:sz w:val="24"/>
              </w:rPr>
            </w:pPr>
          </w:p>
        </w:tc>
        <w:tc>
          <w:tcPr>
            <w:tcW w:w="2718" w:type="dxa"/>
            <w:tcBorders>
              <w:top w:val="single" w:sz="6" w:space="0" w:color="auto"/>
              <w:left w:val="single" w:sz="6" w:space="0" w:color="auto"/>
              <w:bottom w:val="single" w:sz="12" w:space="0" w:color="auto"/>
              <w:right w:val="single" w:sz="12" w:space="0" w:color="auto"/>
            </w:tcBorders>
          </w:tcPr>
          <w:p w14:paraId="0D3BB3B2" w14:textId="77777777" w:rsidR="006A1907" w:rsidRPr="00231ABC" w:rsidRDefault="006A1907">
            <w:pPr>
              <w:ind w:firstLine="127"/>
              <w:rPr>
                <w:sz w:val="24"/>
              </w:rPr>
            </w:pPr>
            <w:r w:rsidRPr="00231ABC">
              <w:rPr>
                <w:sz w:val="24"/>
              </w:rPr>
              <w:t>Zábřeh-VŽ</w:t>
            </w:r>
          </w:p>
        </w:tc>
      </w:tr>
      <w:tr w:rsidR="006A1907" w:rsidRPr="00231ABC" w14:paraId="448CDE30" w14:textId="77777777">
        <w:tc>
          <w:tcPr>
            <w:tcW w:w="500" w:type="dxa"/>
            <w:tcBorders>
              <w:top w:val="single" w:sz="12" w:space="0" w:color="auto"/>
              <w:left w:val="single" w:sz="12" w:space="0" w:color="auto"/>
              <w:bottom w:val="single" w:sz="12" w:space="0" w:color="auto"/>
              <w:right w:val="single" w:sz="6" w:space="0" w:color="auto"/>
            </w:tcBorders>
          </w:tcPr>
          <w:p w14:paraId="53872EAF" w14:textId="77777777" w:rsidR="006A1907" w:rsidRPr="00231ABC" w:rsidRDefault="006A1907">
            <w:pPr>
              <w:jc w:val="center"/>
              <w:rPr>
                <w:sz w:val="24"/>
              </w:rPr>
            </w:pPr>
            <w:r w:rsidRPr="00231ABC">
              <w:rPr>
                <w:sz w:val="24"/>
              </w:rPr>
              <w:t>7</w:t>
            </w:r>
          </w:p>
        </w:tc>
        <w:tc>
          <w:tcPr>
            <w:tcW w:w="2876" w:type="dxa"/>
            <w:tcBorders>
              <w:top w:val="single" w:sz="12" w:space="0" w:color="auto"/>
              <w:left w:val="single" w:sz="6" w:space="0" w:color="auto"/>
              <w:bottom w:val="single" w:sz="12" w:space="0" w:color="auto"/>
              <w:right w:val="single" w:sz="6" w:space="0" w:color="auto"/>
            </w:tcBorders>
          </w:tcPr>
          <w:p w14:paraId="0416BF14" w14:textId="77777777" w:rsidR="006A1907" w:rsidRPr="00231ABC" w:rsidRDefault="006A1907">
            <w:pPr>
              <w:jc w:val="center"/>
              <w:rPr>
                <w:sz w:val="24"/>
              </w:rPr>
            </w:pPr>
            <w:r w:rsidRPr="00231ABC">
              <w:rPr>
                <w:sz w:val="24"/>
              </w:rPr>
              <w:t>Stará Bělá</w:t>
            </w:r>
          </w:p>
        </w:tc>
        <w:tc>
          <w:tcPr>
            <w:tcW w:w="2718" w:type="dxa"/>
            <w:tcBorders>
              <w:top w:val="single" w:sz="12" w:space="0" w:color="auto"/>
              <w:left w:val="single" w:sz="6" w:space="0" w:color="auto"/>
              <w:bottom w:val="single" w:sz="12" w:space="0" w:color="auto"/>
              <w:right w:val="single" w:sz="12" w:space="0" w:color="auto"/>
            </w:tcBorders>
          </w:tcPr>
          <w:p w14:paraId="77AD0B06" w14:textId="77777777" w:rsidR="006A1907" w:rsidRPr="00231ABC" w:rsidRDefault="006A1907">
            <w:pPr>
              <w:ind w:firstLine="127"/>
              <w:rPr>
                <w:sz w:val="24"/>
              </w:rPr>
            </w:pPr>
            <w:r w:rsidRPr="00231ABC">
              <w:rPr>
                <w:sz w:val="24"/>
              </w:rPr>
              <w:t>Stará Bělá</w:t>
            </w:r>
          </w:p>
        </w:tc>
      </w:tr>
      <w:tr w:rsidR="006A1907" w:rsidRPr="00231ABC" w14:paraId="5BE74E3A" w14:textId="77777777">
        <w:tc>
          <w:tcPr>
            <w:tcW w:w="500" w:type="dxa"/>
            <w:tcBorders>
              <w:top w:val="single" w:sz="12" w:space="0" w:color="auto"/>
              <w:left w:val="single" w:sz="12" w:space="0" w:color="auto"/>
              <w:bottom w:val="single" w:sz="12" w:space="0" w:color="auto"/>
              <w:right w:val="single" w:sz="6" w:space="0" w:color="auto"/>
            </w:tcBorders>
          </w:tcPr>
          <w:p w14:paraId="6B34BEC3" w14:textId="77777777" w:rsidR="006A1907" w:rsidRPr="00231ABC" w:rsidRDefault="006A1907">
            <w:pPr>
              <w:jc w:val="center"/>
              <w:rPr>
                <w:sz w:val="24"/>
              </w:rPr>
            </w:pPr>
            <w:r w:rsidRPr="00231ABC">
              <w:rPr>
                <w:sz w:val="24"/>
              </w:rPr>
              <w:t>8</w:t>
            </w:r>
          </w:p>
        </w:tc>
        <w:tc>
          <w:tcPr>
            <w:tcW w:w="2876" w:type="dxa"/>
            <w:tcBorders>
              <w:top w:val="single" w:sz="12" w:space="0" w:color="auto"/>
              <w:left w:val="single" w:sz="6" w:space="0" w:color="auto"/>
              <w:bottom w:val="single" w:sz="12" w:space="0" w:color="auto"/>
              <w:right w:val="single" w:sz="6" w:space="0" w:color="auto"/>
            </w:tcBorders>
          </w:tcPr>
          <w:p w14:paraId="61872B2F" w14:textId="77777777" w:rsidR="006A1907" w:rsidRPr="00231ABC" w:rsidRDefault="006A1907">
            <w:pPr>
              <w:jc w:val="center"/>
              <w:rPr>
                <w:sz w:val="24"/>
              </w:rPr>
            </w:pPr>
            <w:r w:rsidRPr="00231ABC">
              <w:rPr>
                <w:sz w:val="24"/>
              </w:rPr>
              <w:t>Pustkovec</w:t>
            </w:r>
          </w:p>
        </w:tc>
        <w:tc>
          <w:tcPr>
            <w:tcW w:w="2718" w:type="dxa"/>
            <w:tcBorders>
              <w:top w:val="single" w:sz="12" w:space="0" w:color="auto"/>
              <w:left w:val="single" w:sz="6" w:space="0" w:color="auto"/>
              <w:bottom w:val="single" w:sz="12" w:space="0" w:color="auto"/>
              <w:right w:val="single" w:sz="12" w:space="0" w:color="auto"/>
            </w:tcBorders>
          </w:tcPr>
          <w:p w14:paraId="19909D18" w14:textId="77777777" w:rsidR="006A1907" w:rsidRPr="00231ABC" w:rsidRDefault="006A1907">
            <w:pPr>
              <w:ind w:firstLine="127"/>
              <w:rPr>
                <w:sz w:val="24"/>
              </w:rPr>
            </w:pPr>
            <w:r w:rsidRPr="00231ABC">
              <w:rPr>
                <w:sz w:val="24"/>
              </w:rPr>
              <w:t>Pustkovec</w:t>
            </w:r>
          </w:p>
        </w:tc>
      </w:tr>
      <w:tr w:rsidR="006A1907" w:rsidRPr="00231ABC" w14:paraId="4249BD34" w14:textId="77777777">
        <w:trPr>
          <w:cantSplit/>
        </w:trPr>
        <w:tc>
          <w:tcPr>
            <w:tcW w:w="500" w:type="dxa"/>
            <w:tcBorders>
              <w:top w:val="single" w:sz="12" w:space="0" w:color="auto"/>
              <w:left w:val="single" w:sz="12" w:space="0" w:color="auto"/>
              <w:bottom w:val="single" w:sz="6" w:space="0" w:color="auto"/>
              <w:right w:val="single" w:sz="6" w:space="0" w:color="auto"/>
            </w:tcBorders>
          </w:tcPr>
          <w:p w14:paraId="53B0DCDD" w14:textId="77777777" w:rsidR="006A1907" w:rsidRPr="00231ABC" w:rsidRDefault="006A1907">
            <w:pPr>
              <w:jc w:val="center"/>
              <w:rPr>
                <w:sz w:val="24"/>
              </w:rPr>
            </w:pPr>
            <w:r w:rsidRPr="00231ABC">
              <w:rPr>
                <w:sz w:val="24"/>
              </w:rPr>
              <w:t>9</w:t>
            </w:r>
          </w:p>
        </w:tc>
        <w:tc>
          <w:tcPr>
            <w:tcW w:w="2876" w:type="dxa"/>
            <w:tcBorders>
              <w:top w:val="single" w:sz="12" w:space="0" w:color="auto"/>
              <w:left w:val="single" w:sz="6" w:space="0" w:color="auto"/>
              <w:bottom w:val="single" w:sz="6" w:space="0" w:color="auto"/>
              <w:right w:val="single" w:sz="6" w:space="0" w:color="auto"/>
            </w:tcBorders>
          </w:tcPr>
          <w:p w14:paraId="4315E34D" w14:textId="77777777" w:rsidR="006A1907" w:rsidRPr="00231ABC" w:rsidRDefault="006A1907">
            <w:pPr>
              <w:jc w:val="center"/>
              <w:rPr>
                <w:sz w:val="24"/>
              </w:rPr>
            </w:pPr>
            <w:r w:rsidRPr="00231ABC">
              <w:rPr>
                <w:sz w:val="24"/>
              </w:rPr>
              <w:t>Mariánské Hory a Hulváky</w:t>
            </w:r>
          </w:p>
        </w:tc>
        <w:tc>
          <w:tcPr>
            <w:tcW w:w="2718" w:type="dxa"/>
            <w:tcBorders>
              <w:top w:val="single" w:sz="12" w:space="0" w:color="auto"/>
              <w:left w:val="single" w:sz="6" w:space="0" w:color="auto"/>
              <w:bottom w:val="single" w:sz="6" w:space="0" w:color="auto"/>
              <w:right w:val="single" w:sz="12" w:space="0" w:color="auto"/>
            </w:tcBorders>
          </w:tcPr>
          <w:p w14:paraId="39BDD2B8" w14:textId="77777777" w:rsidR="006A1907" w:rsidRPr="00231ABC" w:rsidRDefault="00005779">
            <w:pPr>
              <w:rPr>
                <w:sz w:val="24"/>
              </w:rPr>
            </w:pPr>
            <w:r w:rsidRPr="00231ABC">
              <w:rPr>
                <w:sz w:val="24"/>
              </w:rPr>
              <w:t xml:space="preserve">  </w:t>
            </w:r>
            <w:r w:rsidR="006A1907" w:rsidRPr="00231ABC">
              <w:rPr>
                <w:sz w:val="24"/>
              </w:rPr>
              <w:t>Mariánské Hory</w:t>
            </w:r>
          </w:p>
        </w:tc>
      </w:tr>
      <w:tr w:rsidR="006A1907" w:rsidRPr="00231ABC" w14:paraId="3D0C0DBF" w14:textId="77777777">
        <w:trPr>
          <w:cantSplit/>
        </w:trPr>
        <w:tc>
          <w:tcPr>
            <w:tcW w:w="500" w:type="dxa"/>
            <w:tcBorders>
              <w:top w:val="single" w:sz="6" w:space="0" w:color="auto"/>
              <w:left w:val="single" w:sz="12" w:space="0" w:color="auto"/>
              <w:bottom w:val="single" w:sz="12" w:space="0" w:color="auto"/>
              <w:right w:val="single" w:sz="6" w:space="0" w:color="auto"/>
            </w:tcBorders>
          </w:tcPr>
          <w:p w14:paraId="21EC3DFF" w14:textId="77777777" w:rsidR="006A1907" w:rsidRPr="00231ABC" w:rsidRDefault="006A1907">
            <w:pPr>
              <w:jc w:val="center"/>
              <w:rPr>
                <w:sz w:val="24"/>
              </w:rPr>
            </w:pPr>
          </w:p>
        </w:tc>
        <w:tc>
          <w:tcPr>
            <w:tcW w:w="2876" w:type="dxa"/>
            <w:tcBorders>
              <w:top w:val="single" w:sz="6" w:space="0" w:color="auto"/>
              <w:left w:val="single" w:sz="6" w:space="0" w:color="auto"/>
              <w:bottom w:val="single" w:sz="12" w:space="0" w:color="auto"/>
              <w:right w:val="single" w:sz="6" w:space="0" w:color="auto"/>
            </w:tcBorders>
          </w:tcPr>
          <w:p w14:paraId="7F132BC3" w14:textId="77777777" w:rsidR="006A1907" w:rsidRPr="00231ABC" w:rsidRDefault="006A1907">
            <w:pPr>
              <w:jc w:val="center"/>
              <w:rPr>
                <w:sz w:val="24"/>
              </w:rPr>
            </w:pPr>
          </w:p>
        </w:tc>
        <w:tc>
          <w:tcPr>
            <w:tcW w:w="2718" w:type="dxa"/>
            <w:tcBorders>
              <w:top w:val="single" w:sz="6" w:space="0" w:color="auto"/>
              <w:left w:val="single" w:sz="6" w:space="0" w:color="auto"/>
              <w:bottom w:val="single" w:sz="12" w:space="0" w:color="auto"/>
              <w:right w:val="single" w:sz="12" w:space="0" w:color="auto"/>
            </w:tcBorders>
          </w:tcPr>
          <w:p w14:paraId="1D82C6A9" w14:textId="77777777" w:rsidR="006A1907" w:rsidRPr="00231ABC" w:rsidRDefault="00005779">
            <w:pPr>
              <w:rPr>
                <w:sz w:val="24"/>
              </w:rPr>
            </w:pPr>
            <w:r w:rsidRPr="00231ABC">
              <w:rPr>
                <w:sz w:val="24"/>
              </w:rPr>
              <w:t xml:space="preserve">  </w:t>
            </w:r>
            <w:r w:rsidR="006A1907" w:rsidRPr="00231ABC">
              <w:rPr>
                <w:sz w:val="24"/>
              </w:rPr>
              <w:t>Zábřeh</w:t>
            </w:r>
            <w:r w:rsidR="005863FC" w:rsidRPr="00231ABC">
              <w:rPr>
                <w:sz w:val="24"/>
              </w:rPr>
              <w:t>-</w:t>
            </w:r>
            <w:r w:rsidR="006A1907" w:rsidRPr="00231ABC">
              <w:rPr>
                <w:sz w:val="24"/>
              </w:rPr>
              <w:t>Hulváky</w:t>
            </w:r>
          </w:p>
        </w:tc>
      </w:tr>
      <w:tr w:rsidR="006A1907" w:rsidRPr="00231ABC" w14:paraId="52944043" w14:textId="77777777">
        <w:tc>
          <w:tcPr>
            <w:tcW w:w="500" w:type="dxa"/>
            <w:tcBorders>
              <w:top w:val="single" w:sz="12" w:space="0" w:color="auto"/>
              <w:left w:val="single" w:sz="12" w:space="0" w:color="auto"/>
              <w:bottom w:val="single" w:sz="12" w:space="0" w:color="auto"/>
              <w:right w:val="single" w:sz="6" w:space="0" w:color="auto"/>
            </w:tcBorders>
          </w:tcPr>
          <w:p w14:paraId="127835C0" w14:textId="77777777" w:rsidR="006A1907" w:rsidRPr="00231ABC" w:rsidRDefault="006A1907">
            <w:pPr>
              <w:jc w:val="center"/>
              <w:rPr>
                <w:sz w:val="24"/>
              </w:rPr>
            </w:pPr>
            <w:r w:rsidRPr="00231ABC">
              <w:rPr>
                <w:sz w:val="24"/>
              </w:rPr>
              <w:t>10</w:t>
            </w:r>
          </w:p>
        </w:tc>
        <w:tc>
          <w:tcPr>
            <w:tcW w:w="2876" w:type="dxa"/>
            <w:tcBorders>
              <w:top w:val="single" w:sz="12" w:space="0" w:color="auto"/>
              <w:left w:val="single" w:sz="6" w:space="0" w:color="auto"/>
              <w:bottom w:val="single" w:sz="12" w:space="0" w:color="auto"/>
              <w:right w:val="single" w:sz="6" w:space="0" w:color="auto"/>
            </w:tcBorders>
          </w:tcPr>
          <w:p w14:paraId="28B2C6AA" w14:textId="77777777" w:rsidR="006A1907" w:rsidRPr="00231ABC" w:rsidRDefault="006A1907">
            <w:pPr>
              <w:jc w:val="center"/>
              <w:rPr>
                <w:sz w:val="24"/>
              </w:rPr>
            </w:pPr>
            <w:r w:rsidRPr="00231ABC">
              <w:rPr>
                <w:sz w:val="24"/>
              </w:rPr>
              <w:t>Petřkovice</w:t>
            </w:r>
          </w:p>
        </w:tc>
        <w:tc>
          <w:tcPr>
            <w:tcW w:w="2718" w:type="dxa"/>
            <w:tcBorders>
              <w:top w:val="single" w:sz="12" w:space="0" w:color="auto"/>
              <w:left w:val="single" w:sz="6" w:space="0" w:color="auto"/>
              <w:bottom w:val="single" w:sz="12" w:space="0" w:color="auto"/>
              <w:right w:val="single" w:sz="12" w:space="0" w:color="auto"/>
            </w:tcBorders>
          </w:tcPr>
          <w:p w14:paraId="6D7C3F46" w14:textId="77777777" w:rsidR="006A1907" w:rsidRPr="00231ABC" w:rsidRDefault="006A1907">
            <w:pPr>
              <w:ind w:firstLine="127"/>
              <w:rPr>
                <w:sz w:val="24"/>
              </w:rPr>
            </w:pPr>
            <w:r w:rsidRPr="00231ABC">
              <w:rPr>
                <w:sz w:val="24"/>
              </w:rPr>
              <w:t>Petřkovice u Ostravy</w:t>
            </w:r>
          </w:p>
        </w:tc>
      </w:tr>
      <w:tr w:rsidR="006A1907" w:rsidRPr="00231ABC" w14:paraId="277941C1" w14:textId="77777777">
        <w:tc>
          <w:tcPr>
            <w:tcW w:w="500" w:type="dxa"/>
            <w:tcBorders>
              <w:top w:val="single" w:sz="12" w:space="0" w:color="auto"/>
              <w:left w:val="single" w:sz="12" w:space="0" w:color="auto"/>
              <w:bottom w:val="single" w:sz="12" w:space="0" w:color="auto"/>
              <w:right w:val="single" w:sz="6" w:space="0" w:color="auto"/>
            </w:tcBorders>
          </w:tcPr>
          <w:p w14:paraId="1C723078" w14:textId="77777777" w:rsidR="006A1907" w:rsidRPr="00231ABC" w:rsidRDefault="006A1907">
            <w:pPr>
              <w:jc w:val="center"/>
              <w:rPr>
                <w:sz w:val="24"/>
              </w:rPr>
            </w:pPr>
            <w:r w:rsidRPr="00231ABC">
              <w:rPr>
                <w:sz w:val="24"/>
              </w:rPr>
              <w:t>11</w:t>
            </w:r>
          </w:p>
        </w:tc>
        <w:tc>
          <w:tcPr>
            <w:tcW w:w="2876" w:type="dxa"/>
            <w:tcBorders>
              <w:top w:val="single" w:sz="12" w:space="0" w:color="auto"/>
              <w:left w:val="single" w:sz="6" w:space="0" w:color="auto"/>
              <w:bottom w:val="single" w:sz="12" w:space="0" w:color="auto"/>
              <w:right w:val="single" w:sz="6" w:space="0" w:color="auto"/>
            </w:tcBorders>
          </w:tcPr>
          <w:p w14:paraId="63BA352C" w14:textId="77777777" w:rsidR="006A1907" w:rsidRPr="00231ABC" w:rsidRDefault="006A1907">
            <w:pPr>
              <w:jc w:val="center"/>
              <w:rPr>
                <w:sz w:val="24"/>
              </w:rPr>
            </w:pPr>
            <w:r w:rsidRPr="00231ABC">
              <w:rPr>
                <w:sz w:val="24"/>
              </w:rPr>
              <w:t>Lhotka</w:t>
            </w:r>
          </w:p>
        </w:tc>
        <w:tc>
          <w:tcPr>
            <w:tcW w:w="2718" w:type="dxa"/>
            <w:tcBorders>
              <w:top w:val="single" w:sz="12" w:space="0" w:color="auto"/>
              <w:left w:val="single" w:sz="6" w:space="0" w:color="auto"/>
              <w:bottom w:val="single" w:sz="12" w:space="0" w:color="auto"/>
              <w:right w:val="single" w:sz="12" w:space="0" w:color="auto"/>
            </w:tcBorders>
          </w:tcPr>
          <w:p w14:paraId="7996C10E" w14:textId="77777777" w:rsidR="006A1907" w:rsidRPr="00231ABC" w:rsidRDefault="006A1907">
            <w:pPr>
              <w:ind w:firstLine="127"/>
              <w:rPr>
                <w:sz w:val="24"/>
              </w:rPr>
            </w:pPr>
            <w:r w:rsidRPr="00231ABC">
              <w:rPr>
                <w:sz w:val="24"/>
              </w:rPr>
              <w:t>Lhotka u Ostravy</w:t>
            </w:r>
          </w:p>
        </w:tc>
      </w:tr>
      <w:tr w:rsidR="006A1907" w:rsidRPr="00231ABC" w14:paraId="7387DE4F" w14:textId="77777777">
        <w:tc>
          <w:tcPr>
            <w:tcW w:w="500" w:type="dxa"/>
            <w:tcBorders>
              <w:top w:val="single" w:sz="12" w:space="0" w:color="auto"/>
              <w:left w:val="single" w:sz="12" w:space="0" w:color="auto"/>
              <w:bottom w:val="single" w:sz="12" w:space="0" w:color="auto"/>
              <w:right w:val="single" w:sz="6" w:space="0" w:color="auto"/>
            </w:tcBorders>
          </w:tcPr>
          <w:p w14:paraId="71DC52C4" w14:textId="77777777" w:rsidR="006A1907" w:rsidRPr="00231ABC" w:rsidRDefault="006A1907">
            <w:pPr>
              <w:jc w:val="center"/>
              <w:rPr>
                <w:sz w:val="24"/>
              </w:rPr>
            </w:pPr>
            <w:r w:rsidRPr="00231ABC">
              <w:rPr>
                <w:sz w:val="24"/>
              </w:rPr>
              <w:t>12</w:t>
            </w:r>
          </w:p>
        </w:tc>
        <w:tc>
          <w:tcPr>
            <w:tcW w:w="2876" w:type="dxa"/>
            <w:tcBorders>
              <w:top w:val="single" w:sz="12" w:space="0" w:color="auto"/>
              <w:left w:val="single" w:sz="6" w:space="0" w:color="auto"/>
              <w:bottom w:val="single" w:sz="12" w:space="0" w:color="auto"/>
              <w:right w:val="single" w:sz="6" w:space="0" w:color="auto"/>
            </w:tcBorders>
          </w:tcPr>
          <w:p w14:paraId="2C601840" w14:textId="77777777" w:rsidR="006A1907" w:rsidRPr="00231ABC" w:rsidRDefault="006A1907">
            <w:pPr>
              <w:jc w:val="center"/>
              <w:rPr>
                <w:sz w:val="24"/>
              </w:rPr>
            </w:pPr>
            <w:r w:rsidRPr="00231ABC">
              <w:rPr>
                <w:sz w:val="24"/>
              </w:rPr>
              <w:t>Hošťálkovice</w:t>
            </w:r>
          </w:p>
        </w:tc>
        <w:tc>
          <w:tcPr>
            <w:tcW w:w="2718" w:type="dxa"/>
            <w:tcBorders>
              <w:top w:val="single" w:sz="12" w:space="0" w:color="auto"/>
              <w:left w:val="single" w:sz="6" w:space="0" w:color="auto"/>
              <w:bottom w:val="single" w:sz="12" w:space="0" w:color="auto"/>
              <w:right w:val="single" w:sz="12" w:space="0" w:color="auto"/>
            </w:tcBorders>
          </w:tcPr>
          <w:p w14:paraId="7D8F0A37" w14:textId="77777777" w:rsidR="006A1907" w:rsidRPr="00231ABC" w:rsidRDefault="006A1907">
            <w:pPr>
              <w:ind w:firstLine="127"/>
              <w:rPr>
                <w:sz w:val="24"/>
              </w:rPr>
            </w:pPr>
            <w:r w:rsidRPr="00231ABC">
              <w:rPr>
                <w:sz w:val="24"/>
              </w:rPr>
              <w:t>Hošťálkovice</w:t>
            </w:r>
          </w:p>
        </w:tc>
      </w:tr>
      <w:tr w:rsidR="006A1907" w:rsidRPr="00231ABC" w14:paraId="71FF4023" w14:textId="77777777">
        <w:tc>
          <w:tcPr>
            <w:tcW w:w="500" w:type="dxa"/>
            <w:tcBorders>
              <w:top w:val="single" w:sz="12" w:space="0" w:color="auto"/>
              <w:left w:val="single" w:sz="12" w:space="0" w:color="auto"/>
              <w:bottom w:val="single" w:sz="12" w:space="0" w:color="auto"/>
              <w:right w:val="single" w:sz="6" w:space="0" w:color="auto"/>
            </w:tcBorders>
          </w:tcPr>
          <w:p w14:paraId="3E686021" w14:textId="77777777" w:rsidR="006A1907" w:rsidRPr="00231ABC" w:rsidRDefault="006A1907">
            <w:pPr>
              <w:jc w:val="center"/>
              <w:rPr>
                <w:sz w:val="24"/>
              </w:rPr>
            </w:pPr>
            <w:r w:rsidRPr="00231ABC">
              <w:rPr>
                <w:sz w:val="24"/>
              </w:rPr>
              <w:t>13</w:t>
            </w:r>
          </w:p>
        </w:tc>
        <w:tc>
          <w:tcPr>
            <w:tcW w:w="2876" w:type="dxa"/>
            <w:tcBorders>
              <w:top w:val="single" w:sz="12" w:space="0" w:color="auto"/>
              <w:left w:val="single" w:sz="6" w:space="0" w:color="auto"/>
              <w:bottom w:val="single" w:sz="12" w:space="0" w:color="auto"/>
              <w:right w:val="single" w:sz="6" w:space="0" w:color="auto"/>
            </w:tcBorders>
          </w:tcPr>
          <w:p w14:paraId="453CAD53" w14:textId="77777777" w:rsidR="006A1907" w:rsidRPr="00231ABC" w:rsidRDefault="006A1907">
            <w:pPr>
              <w:jc w:val="center"/>
              <w:rPr>
                <w:sz w:val="24"/>
              </w:rPr>
            </w:pPr>
            <w:r w:rsidRPr="00231ABC">
              <w:rPr>
                <w:sz w:val="24"/>
              </w:rPr>
              <w:t>Nová Ves</w:t>
            </w:r>
          </w:p>
        </w:tc>
        <w:tc>
          <w:tcPr>
            <w:tcW w:w="2718" w:type="dxa"/>
            <w:tcBorders>
              <w:top w:val="single" w:sz="12" w:space="0" w:color="auto"/>
              <w:left w:val="single" w:sz="6" w:space="0" w:color="auto"/>
              <w:bottom w:val="single" w:sz="12" w:space="0" w:color="auto"/>
              <w:right w:val="single" w:sz="12" w:space="0" w:color="auto"/>
            </w:tcBorders>
          </w:tcPr>
          <w:p w14:paraId="43D2331A" w14:textId="77777777" w:rsidR="006A1907" w:rsidRPr="00231ABC" w:rsidRDefault="006A1907">
            <w:pPr>
              <w:ind w:firstLine="127"/>
              <w:rPr>
                <w:sz w:val="24"/>
              </w:rPr>
            </w:pPr>
            <w:r w:rsidRPr="00231ABC">
              <w:rPr>
                <w:sz w:val="24"/>
              </w:rPr>
              <w:t>Nová Ves u Ostravy</w:t>
            </w:r>
          </w:p>
        </w:tc>
      </w:tr>
      <w:tr w:rsidR="006A1907" w:rsidRPr="00231ABC" w14:paraId="0D1F130B" w14:textId="77777777">
        <w:tc>
          <w:tcPr>
            <w:tcW w:w="500" w:type="dxa"/>
            <w:tcBorders>
              <w:top w:val="single" w:sz="12" w:space="0" w:color="auto"/>
              <w:left w:val="single" w:sz="12" w:space="0" w:color="auto"/>
              <w:bottom w:val="single" w:sz="12" w:space="0" w:color="auto"/>
              <w:right w:val="single" w:sz="6" w:space="0" w:color="auto"/>
            </w:tcBorders>
          </w:tcPr>
          <w:p w14:paraId="684C7ACB" w14:textId="77777777" w:rsidR="006A1907" w:rsidRPr="00231ABC" w:rsidRDefault="006A1907">
            <w:pPr>
              <w:jc w:val="center"/>
              <w:rPr>
                <w:sz w:val="24"/>
              </w:rPr>
            </w:pPr>
            <w:r w:rsidRPr="00231ABC">
              <w:rPr>
                <w:sz w:val="24"/>
              </w:rPr>
              <w:t>14</w:t>
            </w:r>
          </w:p>
        </w:tc>
        <w:tc>
          <w:tcPr>
            <w:tcW w:w="2876" w:type="dxa"/>
            <w:tcBorders>
              <w:top w:val="single" w:sz="12" w:space="0" w:color="auto"/>
              <w:left w:val="single" w:sz="6" w:space="0" w:color="auto"/>
              <w:bottom w:val="single" w:sz="12" w:space="0" w:color="auto"/>
              <w:right w:val="single" w:sz="6" w:space="0" w:color="auto"/>
            </w:tcBorders>
          </w:tcPr>
          <w:p w14:paraId="590FB628" w14:textId="77777777" w:rsidR="006A1907" w:rsidRPr="00231ABC" w:rsidRDefault="006A1907">
            <w:pPr>
              <w:jc w:val="center"/>
              <w:rPr>
                <w:sz w:val="24"/>
              </w:rPr>
            </w:pPr>
            <w:r w:rsidRPr="00231ABC">
              <w:rPr>
                <w:sz w:val="24"/>
              </w:rPr>
              <w:t>Proskovice</w:t>
            </w:r>
          </w:p>
        </w:tc>
        <w:tc>
          <w:tcPr>
            <w:tcW w:w="2718" w:type="dxa"/>
            <w:tcBorders>
              <w:top w:val="single" w:sz="12" w:space="0" w:color="auto"/>
              <w:left w:val="single" w:sz="6" w:space="0" w:color="auto"/>
              <w:bottom w:val="single" w:sz="12" w:space="0" w:color="auto"/>
              <w:right w:val="single" w:sz="12" w:space="0" w:color="auto"/>
            </w:tcBorders>
          </w:tcPr>
          <w:p w14:paraId="4ACBF266" w14:textId="77777777" w:rsidR="006A1907" w:rsidRPr="00231ABC" w:rsidRDefault="006A1907">
            <w:pPr>
              <w:ind w:firstLine="127"/>
              <w:rPr>
                <w:sz w:val="24"/>
              </w:rPr>
            </w:pPr>
            <w:r w:rsidRPr="00231ABC">
              <w:rPr>
                <w:sz w:val="24"/>
              </w:rPr>
              <w:t>Proskovice</w:t>
            </w:r>
          </w:p>
        </w:tc>
      </w:tr>
      <w:tr w:rsidR="006A1907" w:rsidRPr="00231ABC" w14:paraId="7B85D4DB" w14:textId="77777777">
        <w:tc>
          <w:tcPr>
            <w:tcW w:w="500" w:type="dxa"/>
            <w:tcBorders>
              <w:top w:val="single" w:sz="12" w:space="0" w:color="auto"/>
              <w:left w:val="single" w:sz="12" w:space="0" w:color="auto"/>
              <w:bottom w:val="single" w:sz="12" w:space="0" w:color="auto"/>
              <w:right w:val="single" w:sz="6" w:space="0" w:color="auto"/>
            </w:tcBorders>
          </w:tcPr>
          <w:p w14:paraId="7C2A3441" w14:textId="77777777" w:rsidR="006A1907" w:rsidRPr="00231ABC" w:rsidRDefault="006A1907">
            <w:pPr>
              <w:jc w:val="center"/>
              <w:rPr>
                <w:sz w:val="24"/>
              </w:rPr>
            </w:pPr>
            <w:r w:rsidRPr="00231ABC">
              <w:rPr>
                <w:sz w:val="24"/>
              </w:rPr>
              <w:t>15</w:t>
            </w:r>
          </w:p>
        </w:tc>
        <w:tc>
          <w:tcPr>
            <w:tcW w:w="2876" w:type="dxa"/>
            <w:tcBorders>
              <w:top w:val="single" w:sz="12" w:space="0" w:color="auto"/>
              <w:left w:val="single" w:sz="6" w:space="0" w:color="auto"/>
              <w:bottom w:val="single" w:sz="12" w:space="0" w:color="auto"/>
              <w:right w:val="single" w:sz="6" w:space="0" w:color="auto"/>
            </w:tcBorders>
          </w:tcPr>
          <w:p w14:paraId="7A23A8B5" w14:textId="77777777" w:rsidR="006A1907" w:rsidRPr="00231ABC" w:rsidRDefault="006A1907">
            <w:pPr>
              <w:jc w:val="center"/>
              <w:rPr>
                <w:sz w:val="24"/>
              </w:rPr>
            </w:pPr>
            <w:r w:rsidRPr="00231ABC">
              <w:rPr>
                <w:sz w:val="24"/>
              </w:rPr>
              <w:t>Michálkovice</w:t>
            </w:r>
          </w:p>
        </w:tc>
        <w:tc>
          <w:tcPr>
            <w:tcW w:w="2718" w:type="dxa"/>
            <w:tcBorders>
              <w:top w:val="single" w:sz="12" w:space="0" w:color="auto"/>
              <w:left w:val="single" w:sz="6" w:space="0" w:color="auto"/>
              <w:bottom w:val="single" w:sz="12" w:space="0" w:color="auto"/>
              <w:right w:val="single" w:sz="12" w:space="0" w:color="auto"/>
            </w:tcBorders>
          </w:tcPr>
          <w:p w14:paraId="450C14C6" w14:textId="77777777" w:rsidR="006A1907" w:rsidRPr="00231ABC" w:rsidRDefault="006A1907">
            <w:pPr>
              <w:ind w:firstLine="127"/>
              <w:rPr>
                <w:sz w:val="24"/>
              </w:rPr>
            </w:pPr>
            <w:r w:rsidRPr="00231ABC">
              <w:rPr>
                <w:sz w:val="24"/>
              </w:rPr>
              <w:t>Michálkovice</w:t>
            </w:r>
          </w:p>
        </w:tc>
      </w:tr>
      <w:tr w:rsidR="006A1907" w:rsidRPr="00231ABC" w14:paraId="1165A1ED" w14:textId="77777777">
        <w:trPr>
          <w:cantSplit/>
        </w:trPr>
        <w:tc>
          <w:tcPr>
            <w:tcW w:w="500" w:type="dxa"/>
            <w:tcBorders>
              <w:top w:val="single" w:sz="12" w:space="0" w:color="auto"/>
              <w:left w:val="single" w:sz="12" w:space="0" w:color="auto"/>
              <w:bottom w:val="single" w:sz="6" w:space="0" w:color="auto"/>
              <w:right w:val="single" w:sz="6" w:space="0" w:color="auto"/>
            </w:tcBorders>
          </w:tcPr>
          <w:p w14:paraId="5843C919" w14:textId="77777777" w:rsidR="006A1907" w:rsidRPr="00231ABC" w:rsidRDefault="006A1907">
            <w:pPr>
              <w:jc w:val="center"/>
              <w:rPr>
                <w:sz w:val="24"/>
              </w:rPr>
            </w:pPr>
            <w:r w:rsidRPr="00231ABC">
              <w:rPr>
                <w:sz w:val="24"/>
              </w:rPr>
              <w:t>16</w:t>
            </w:r>
          </w:p>
        </w:tc>
        <w:tc>
          <w:tcPr>
            <w:tcW w:w="2876" w:type="dxa"/>
            <w:tcBorders>
              <w:top w:val="single" w:sz="12" w:space="0" w:color="auto"/>
              <w:left w:val="single" w:sz="6" w:space="0" w:color="auto"/>
              <w:bottom w:val="single" w:sz="6" w:space="0" w:color="auto"/>
              <w:right w:val="single" w:sz="6" w:space="0" w:color="auto"/>
            </w:tcBorders>
          </w:tcPr>
          <w:p w14:paraId="3B86A185" w14:textId="77777777" w:rsidR="006A1907" w:rsidRPr="00231ABC" w:rsidRDefault="006A1907">
            <w:pPr>
              <w:jc w:val="center"/>
              <w:rPr>
                <w:sz w:val="24"/>
              </w:rPr>
            </w:pPr>
            <w:r w:rsidRPr="00231ABC">
              <w:rPr>
                <w:sz w:val="24"/>
              </w:rPr>
              <w:t>Radvanice a Bartovice</w:t>
            </w:r>
          </w:p>
        </w:tc>
        <w:tc>
          <w:tcPr>
            <w:tcW w:w="2718" w:type="dxa"/>
            <w:tcBorders>
              <w:top w:val="single" w:sz="12" w:space="0" w:color="auto"/>
              <w:left w:val="single" w:sz="6" w:space="0" w:color="auto"/>
              <w:bottom w:val="single" w:sz="6" w:space="0" w:color="auto"/>
              <w:right w:val="single" w:sz="12" w:space="0" w:color="auto"/>
            </w:tcBorders>
          </w:tcPr>
          <w:p w14:paraId="36EF3233" w14:textId="77777777" w:rsidR="006A1907" w:rsidRPr="00231ABC" w:rsidRDefault="006A1907">
            <w:pPr>
              <w:ind w:firstLine="127"/>
              <w:rPr>
                <w:sz w:val="24"/>
              </w:rPr>
            </w:pPr>
            <w:r w:rsidRPr="00231ABC">
              <w:rPr>
                <w:sz w:val="24"/>
              </w:rPr>
              <w:t>Radvanice</w:t>
            </w:r>
          </w:p>
        </w:tc>
      </w:tr>
      <w:tr w:rsidR="006A1907" w:rsidRPr="00231ABC" w14:paraId="0BC852CA" w14:textId="77777777">
        <w:trPr>
          <w:cantSplit/>
        </w:trPr>
        <w:tc>
          <w:tcPr>
            <w:tcW w:w="500" w:type="dxa"/>
            <w:tcBorders>
              <w:top w:val="single" w:sz="6" w:space="0" w:color="auto"/>
              <w:left w:val="single" w:sz="12" w:space="0" w:color="auto"/>
              <w:bottom w:val="single" w:sz="12" w:space="0" w:color="auto"/>
              <w:right w:val="single" w:sz="6" w:space="0" w:color="auto"/>
            </w:tcBorders>
          </w:tcPr>
          <w:p w14:paraId="0301BAF2" w14:textId="77777777" w:rsidR="006A1907" w:rsidRPr="00231ABC" w:rsidRDefault="006A1907">
            <w:pPr>
              <w:jc w:val="center"/>
              <w:rPr>
                <w:sz w:val="24"/>
              </w:rPr>
            </w:pPr>
          </w:p>
        </w:tc>
        <w:tc>
          <w:tcPr>
            <w:tcW w:w="2876" w:type="dxa"/>
            <w:tcBorders>
              <w:top w:val="single" w:sz="6" w:space="0" w:color="auto"/>
              <w:left w:val="single" w:sz="6" w:space="0" w:color="auto"/>
              <w:bottom w:val="single" w:sz="12" w:space="0" w:color="auto"/>
              <w:right w:val="single" w:sz="6" w:space="0" w:color="auto"/>
            </w:tcBorders>
          </w:tcPr>
          <w:p w14:paraId="746D9214" w14:textId="77777777" w:rsidR="006A1907" w:rsidRPr="00231ABC" w:rsidRDefault="006A1907">
            <w:pPr>
              <w:jc w:val="center"/>
              <w:rPr>
                <w:sz w:val="24"/>
              </w:rPr>
            </w:pPr>
          </w:p>
        </w:tc>
        <w:tc>
          <w:tcPr>
            <w:tcW w:w="2718" w:type="dxa"/>
            <w:tcBorders>
              <w:top w:val="single" w:sz="6" w:space="0" w:color="auto"/>
              <w:left w:val="single" w:sz="6" w:space="0" w:color="auto"/>
              <w:bottom w:val="single" w:sz="12" w:space="0" w:color="auto"/>
              <w:right w:val="single" w:sz="12" w:space="0" w:color="auto"/>
            </w:tcBorders>
          </w:tcPr>
          <w:p w14:paraId="2A8A0401" w14:textId="77777777" w:rsidR="006A1907" w:rsidRPr="00231ABC" w:rsidRDefault="006A1907">
            <w:pPr>
              <w:ind w:firstLine="127"/>
              <w:rPr>
                <w:sz w:val="24"/>
              </w:rPr>
            </w:pPr>
            <w:r w:rsidRPr="00231ABC">
              <w:rPr>
                <w:sz w:val="24"/>
              </w:rPr>
              <w:t>Bartovice</w:t>
            </w:r>
          </w:p>
        </w:tc>
      </w:tr>
      <w:tr w:rsidR="006A1907" w:rsidRPr="00231ABC" w14:paraId="5A04E294" w14:textId="77777777">
        <w:tc>
          <w:tcPr>
            <w:tcW w:w="500" w:type="dxa"/>
            <w:tcBorders>
              <w:top w:val="single" w:sz="12" w:space="0" w:color="auto"/>
              <w:left w:val="single" w:sz="12" w:space="0" w:color="auto"/>
              <w:bottom w:val="single" w:sz="12" w:space="0" w:color="auto"/>
              <w:right w:val="single" w:sz="6" w:space="0" w:color="auto"/>
            </w:tcBorders>
          </w:tcPr>
          <w:p w14:paraId="1F1CBA3E" w14:textId="77777777" w:rsidR="006A1907" w:rsidRPr="00231ABC" w:rsidRDefault="006A1907">
            <w:pPr>
              <w:jc w:val="center"/>
              <w:rPr>
                <w:sz w:val="24"/>
              </w:rPr>
            </w:pPr>
            <w:r w:rsidRPr="00231ABC">
              <w:rPr>
                <w:sz w:val="24"/>
              </w:rPr>
              <w:t>17</w:t>
            </w:r>
          </w:p>
        </w:tc>
        <w:tc>
          <w:tcPr>
            <w:tcW w:w="2876" w:type="dxa"/>
            <w:tcBorders>
              <w:top w:val="single" w:sz="12" w:space="0" w:color="auto"/>
              <w:left w:val="single" w:sz="6" w:space="0" w:color="auto"/>
              <w:bottom w:val="single" w:sz="12" w:space="0" w:color="auto"/>
              <w:right w:val="single" w:sz="6" w:space="0" w:color="auto"/>
            </w:tcBorders>
          </w:tcPr>
          <w:p w14:paraId="2C21B278" w14:textId="77777777" w:rsidR="006A1907" w:rsidRPr="00231ABC" w:rsidRDefault="006A1907">
            <w:pPr>
              <w:jc w:val="center"/>
              <w:rPr>
                <w:sz w:val="24"/>
              </w:rPr>
            </w:pPr>
            <w:r w:rsidRPr="00231ABC">
              <w:rPr>
                <w:sz w:val="24"/>
              </w:rPr>
              <w:t>Krásné Pole</w:t>
            </w:r>
          </w:p>
        </w:tc>
        <w:tc>
          <w:tcPr>
            <w:tcW w:w="2718" w:type="dxa"/>
            <w:tcBorders>
              <w:top w:val="single" w:sz="12" w:space="0" w:color="auto"/>
              <w:left w:val="single" w:sz="6" w:space="0" w:color="auto"/>
              <w:bottom w:val="single" w:sz="12" w:space="0" w:color="auto"/>
              <w:right w:val="single" w:sz="12" w:space="0" w:color="auto"/>
            </w:tcBorders>
          </w:tcPr>
          <w:p w14:paraId="23C8662F" w14:textId="77777777" w:rsidR="006A1907" w:rsidRPr="00231ABC" w:rsidRDefault="006A1907">
            <w:pPr>
              <w:ind w:firstLine="127"/>
              <w:rPr>
                <w:sz w:val="24"/>
              </w:rPr>
            </w:pPr>
            <w:r w:rsidRPr="00231ABC">
              <w:rPr>
                <w:sz w:val="24"/>
              </w:rPr>
              <w:t>Krásné Pole</w:t>
            </w:r>
          </w:p>
        </w:tc>
      </w:tr>
      <w:tr w:rsidR="006A1907" w:rsidRPr="00231ABC" w14:paraId="39635F4C" w14:textId="77777777">
        <w:tc>
          <w:tcPr>
            <w:tcW w:w="500" w:type="dxa"/>
            <w:tcBorders>
              <w:top w:val="single" w:sz="12" w:space="0" w:color="auto"/>
              <w:left w:val="single" w:sz="12" w:space="0" w:color="auto"/>
              <w:bottom w:val="single" w:sz="12" w:space="0" w:color="auto"/>
              <w:right w:val="single" w:sz="6" w:space="0" w:color="auto"/>
            </w:tcBorders>
          </w:tcPr>
          <w:p w14:paraId="087528E0" w14:textId="77777777" w:rsidR="006A1907" w:rsidRPr="00231ABC" w:rsidRDefault="006A1907">
            <w:pPr>
              <w:jc w:val="center"/>
              <w:rPr>
                <w:sz w:val="24"/>
              </w:rPr>
            </w:pPr>
            <w:r w:rsidRPr="00231ABC">
              <w:rPr>
                <w:sz w:val="24"/>
              </w:rPr>
              <w:t>18</w:t>
            </w:r>
          </w:p>
        </w:tc>
        <w:tc>
          <w:tcPr>
            <w:tcW w:w="2876" w:type="dxa"/>
            <w:tcBorders>
              <w:top w:val="single" w:sz="12" w:space="0" w:color="auto"/>
              <w:left w:val="single" w:sz="6" w:space="0" w:color="auto"/>
              <w:bottom w:val="single" w:sz="12" w:space="0" w:color="auto"/>
              <w:right w:val="single" w:sz="6" w:space="0" w:color="auto"/>
            </w:tcBorders>
          </w:tcPr>
          <w:p w14:paraId="11ADDC70" w14:textId="77777777" w:rsidR="006A1907" w:rsidRPr="00231ABC" w:rsidRDefault="006A1907">
            <w:pPr>
              <w:jc w:val="center"/>
              <w:rPr>
                <w:sz w:val="24"/>
              </w:rPr>
            </w:pPr>
            <w:r w:rsidRPr="00231ABC">
              <w:rPr>
                <w:sz w:val="24"/>
              </w:rPr>
              <w:t>Martinov</w:t>
            </w:r>
          </w:p>
        </w:tc>
        <w:tc>
          <w:tcPr>
            <w:tcW w:w="2718" w:type="dxa"/>
            <w:tcBorders>
              <w:top w:val="single" w:sz="12" w:space="0" w:color="auto"/>
              <w:left w:val="single" w:sz="6" w:space="0" w:color="auto"/>
              <w:bottom w:val="single" w:sz="12" w:space="0" w:color="auto"/>
              <w:right w:val="single" w:sz="12" w:space="0" w:color="auto"/>
            </w:tcBorders>
          </w:tcPr>
          <w:p w14:paraId="55EE7DF7" w14:textId="77777777" w:rsidR="006A1907" w:rsidRPr="00231ABC" w:rsidRDefault="006A1907">
            <w:pPr>
              <w:ind w:firstLine="127"/>
              <w:rPr>
                <w:sz w:val="24"/>
              </w:rPr>
            </w:pPr>
            <w:r w:rsidRPr="00231ABC">
              <w:rPr>
                <w:sz w:val="24"/>
              </w:rPr>
              <w:t>Martinov ve Slezsku</w:t>
            </w:r>
          </w:p>
        </w:tc>
      </w:tr>
      <w:tr w:rsidR="006A1907" w:rsidRPr="00231ABC" w14:paraId="425B49A9" w14:textId="77777777">
        <w:tc>
          <w:tcPr>
            <w:tcW w:w="500" w:type="dxa"/>
            <w:tcBorders>
              <w:top w:val="single" w:sz="12" w:space="0" w:color="auto"/>
              <w:left w:val="single" w:sz="12" w:space="0" w:color="auto"/>
              <w:bottom w:val="single" w:sz="12" w:space="0" w:color="auto"/>
              <w:right w:val="single" w:sz="6" w:space="0" w:color="auto"/>
            </w:tcBorders>
          </w:tcPr>
          <w:p w14:paraId="344BB609" w14:textId="77777777" w:rsidR="006A1907" w:rsidRPr="00231ABC" w:rsidRDefault="006A1907">
            <w:pPr>
              <w:jc w:val="center"/>
              <w:rPr>
                <w:sz w:val="24"/>
              </w:rPr>
            </w:pPr>
            <w:r w:rsidRPr="00231ABC">
              <w:rPr>
                <w:sz w:val="24"/>
              </w:rPr>
              <w:t>19</w:t>
            </w:r>
          </w:p>
        </w:tc>
        <w:tc>
          <w:tcPr>
            <w:tcW w:w="2876" w:type="dxa"/>
            <w:tcBorders>
              <w:top w:val="single" w:sz="12" w:space="0" w:color="auto"/>
              <w:left w:val="single" w:sz="6" w:space="0" w:color="auto"/>
              <w:bottom w:val="single" w:sz="12" w:space="0" w:color="auto"/>
              <w:right w:val="single" w:sz="6" w:space="0" w:color="auto"/>
            </w:tcBorders>
          </w:tcPr>
          <w:p w14:paraId="57933F6D" w14:textId="77777777" w:rsidR="006A1907" w:rsidRPr="00231ABC" w:rsidRDefault="006A1907">
            <w:pPr>
              <w:jc w:val="center"/>
              <w:rPr>
                <w:sz w:val="24"/>
              </w:rPr>
            </w:pPr>
            <w:r w:rsidRPr="00231ABC">
              <w:rPr>
                <w:sz w:val="24"/>
              </w:rPr>
              <w:t>Polanka nad Odrou</w:t>
            </w:r>
          </w:p>
        </w:tc>
        <w:tc>
          <w:tcPr>
            <w:tcW w:w="2718" w:type="dxa"/>
            <w:tcBorders>
              <w:top w:val="single" w:sz="12" w:space="0" w:color="auto"/>
              <w:left w:val="single" w:sz="6" w:space="0" w:color="auto"/>
              <w:bottom w:val="single" w:sz="12" w:space="0" w:color="auto"/>
              <w:right w:val="single" w:sz="12" w:space="0" w:color="auto"/>
            </w:tcBorders>
          </w:tcPr>
          <w:p w14:paraId="46F50F5D" w14:textId="77777777" w:rsidR="006A1907" w:rsidRPr="00231ABC" w:rsidRDefault="006A1907">
            <w:pPr>
              <w:ind w:firstLine="127"/>
              <w:rPr>
                <w:sz w:val="24"/>
              </w:rPr>
            </w:pPr>
            <w:r w:rsidRPr="00231ABC">
              <w:rPr>
                <w:sz w:val="24"/>
              </w:rPr>
              <w:t>Polanka nad Odrou</w:t>
            </w:r>
          </w:p>
        </w:tc>
      </w:tr>
      <w:tr w:rsidR="006A1907" w:rsidRPr="00231ABC" w14:paraId="67878F87" w14:textId="77777777">
        <w:tc>
          <w:tcPr>
            <w:tcW w:w="500" w:type="dxa"/>
            <w:tcBorders>
              <w:top w:val="single" w:sz="12" w:space="0" w:color="auto"/>
              <w:left w:val="single" w:sz="12" w:space="0" w:color="auto"/>
              <w:bottom w:val="single" w:sz="12" w:space="0" w:color="auto"/>
              <w:right w:val="single" w:sz="6" w:space="0" w:color="auto"/>
            </w:tcBorders>
          </w:tcPr>
          <w:p w14:paraId="4325C14B" w14:textId="77777777" w:rsidR="006A1907" w:rsidRPr="00231ABC" w:rsidRDefault="006A1907">
            <w:pPr>
              <w:jc w:val="center"/>
              <w:rPr>
                <w:sz w:val="24"/>
              </w:rPr>
            </w:pPr>
            <w:r w:rsidRPr="00231ABC">
              <w:rPr>
                <w:sz w:val="24"/>
              </w:rPr>
              <w:t>20</w:t>
            </w:r>
          </w:p>
        </w:tc>
        <w:tc>
          <w:tcPr>
            <w:tcW w:w="2876" w:type="dxa"/>
            <w:tcBorders>
              <w:top w:val="single" w:sz="12" w:space="0" w:color="auto"/>
              <w:left w:val="single" w:sz="6" w:space="0" w:color="auto"/>
              <w:bottom w:val="single" w:sz="12" w:space="0" w:color="auto"/>
              <w:right w:val="single" w:sz="6" w:space="0" w:color="auto"/>
            </w:tcBorders>
          </w:tcPr>
          <w:p w14:paraId="1A753F7A" w14:textId="77777777" w:rsidR="006A1907" w:rsidRPr="00231ABC" w:rsidRDefault="006A1907">
            <w:pPr>
              <w:jc w:val="center"/>
              <w:rPr>
                <w:sz w:val="24"/>
              </w:rPr>
            </w:pPr>
            <w:r w:rsidRPr="00231ABC">
              <w:rPr>
                <w:sz w:val="24"/>
              </w:rPr>
              <w:t>Hrabová</w:t>
            </w:r>
          </w:p>
        </w:tc>
        <w:tc>
          <w:tcPr>
            <w:tcW w:w="2718" w:type="dxa"/>
            <w:tcBorders>
              <w:top w:val="single" w:sz="12" w:space="0" w:color="auto"/>
              <w:left w:val="single" w:sz="6" w:space="0" w:color="auto"/>
              <w:bottom w:val="single" w:sz="12" w:space="0" w:color="auto"/>
              <w:right w:val="single" w:sz="12" w:space="0" w:color="auto"/>
            </w:tcBorders>
          </w:tcPr>
          <w:p w14:paraId="1F10EE02" w14:textId="77777777" w:rsidR="006A1907" w:rsidRPr="00231ABC" w:rsidRDefault="006A1907">
            <w:pPr>
              <w:ind w:firstLine="127"/>
              <w:rPr>
                <w:sz w:val="24"/>
              </w:rPr>
            </w:pPr>
            <w:r w:rsidRPr="00231ABC">
              <w:rPr>
                <w:sz w:val="24"/>
              </w:rPr>
              <w:t>Hrabová</w:t>
            </w:r>
          </w:p>
        </w:tc>
      </w:tr>
      <w:tr w:rsidR="006A1907" w:rsidRPr="00231ABC" w14:paraId="27571606" w14:textId="77777777">
        <w:tc>
          <w:tcPr>
            <w:tcW w:w="500" w:type="dxa"/>
            <w:tcBorders>
              <w:top w:val="single" w:sz="12" w:space="0" w:color="auto"/>
              <w:left w:val="single" w:sz="12" w:space="0" w:color="auto"/>
              <w:bottom w:val="single" w:sz="12" w:space="0" w:color="auto"/>
              <w:right w:val="single" w:sz="6" w:space="0" w:color="auto"/>
            </w:tcBorders>
          </w:tcPr>
          <w:p w14:paraId="569A0ED9" w14:textId="77777777" w:rsidR="006A1907" w:rsidRPr="00231ABC" w:rsidRDefault="006A1907">
            <w:pPr>
              <w:jc w:val="center"/>
              <w:rPr>
                <w:sz w:val="24"/>
              </w:rPr>
            </w:pPr>
            <w:r w:rsidRPr="00231ABC">
              <w:rPr>
                <w:sz w:val="24"/>
              </w:rPr>
              <w:t>21</w:t>
            </w:r>
          </w:p>
        </w:tc>
        <w:tc>
          <w:tcPr>
            <w:tcW w:w="2876" w:type="dxa"/>
            <w:tcBorders>
              <w:top w:val="single" w:sz="12" w:space="0" w:color="auto"/>
              <w:left w:val="single" w:sz="6" w:space="0" w:color="auto"/>
              <w:bottom w:val="single" w:sz="12" w:space="0" w:color="auto"/>
              <w:right w:val="single" w:sz="6" w:space="0" w:color="auto"/>
            </w:tcBorders>
          </w:tcPr>
          <w:p w14:paraId="6F388EBE" w14:textId="77777777" w:rsidR="006A1907" w:rsidRPr="00231ABC" w:rsidRDefault="006A1907">
            <w:pPr>
              <w:jc w:val="center"/>
              <w:rPr>
                <w:sz w:val="24"/>
              </w:rPr>
            </w:pPr>
            <w:r w:rsidRPr="00231ABC">
              <w:rPr>
                <w:sz w:val="24"/>
              </w:rPr>
              <w:t>Svinov</w:t>
            </w:r>
          </w:p>
        </w:tc>
        <w:tc>
          <w:tcPr>
            <w:tcW w:w="2718" w:type="dxa"/>
            <w:tcBorders>
              <w:top w:val="single" w:sz="12" w:space="0" w:color="auto"/>
              <w:left w:val="single" w:sz="6" w:space="0" w:color="auto"/>
              <w:bottom w:val="single" w:sz="12" w:space="0" w:color="auto"/>
              <w:right w:val="single" w:sz="12" w:space="0" w:color="auto"/>
            </w:tcBorders>
          </w:tcPr>
          <w:p w14:paraId="67C90F26" w14:textId="77777777" w:rsidR="006A1907" w:rsidRPr="00231ABC" w:rsidRDefault="006A1907">
            <w:pPr>
              <w:ind w:firstLine="127"/>
              <w:rPr>
                <w:sz w:val="24"/>
              </w:rPr>
            </w:pPr>
            <w:r w:rsidRPr="00231ABC">
              <w:rPr>
                <w:sz w:val="24"/>
              </w:rPr>
              <w:t>Svinov</w:t>
            </w:r>
          </w:p>
        </w:tc>
      </w:tr>
      <w:tr w:rsidR="006A1907" w:rsidRPr="00231ABC" w14:paraId="71F51187" w14:textId="77777777">
        <w:tc>
          <w:tcPr>
            <w:tcW w:w="500" w:type="dxa"/>
            <w:tcBorders>
              <w:top w:val="single" w:sz="12" w:space="0" w:color="auto"/>
              <w:left w:val="single" w:sz="12" w:space="0" w:color="auto"/>
              <w:bottom w:val="single" w:sz="12" w:space="0" w:color="auto"/>
              <w:right w:val="single" w:sz="6" w:space="0" w:color="auto"/>
            </w:tcBorders>
          </w:tcPr>
          <w:p w14:paraId="52F4A943" w14:textId="77777777" w:rsidR="006A1907" w:rsidRPr="00231ABC" w:rsidRDefault="006A1907">
            <w:pPr>
              <w:jc w:val="center"/>
              <w:rPr>
                <w:sz w:val="24"/>
              </w:rPr>
            </w:pPr>
            <w:r w:rsidRPr="00231ABC">
              <w:rPr>
                <w:sz w:val="24"/>
              </w:rPr>
              <w:t>22</w:t>
            </w:r>
          </w:p>
        </w:tc>
        <w:tc>
          <w:tcPr>
            <w:tcW w:w="2876" w:type="dxa"/>
            <w:tcBorders>
              <w:top w:val="single" w:sz="12" w:space="0" w:color="auto"/>
              <w:left w:val="single" w:sz="6" w:space="0" w:color="auto"/>
              <w:bottom w:val="single" w:sz="12" w:space="0" w:color="auto"/>
              <w:right w:val="single" w:sz="6" w:space="0" w:color="auto"/>
            </w:tcBorders>
          </w:tcPr>
          <w:p w14:paraId="0F0E5B51" w14:textId="77777777" w:rsidR="006A1907" w:rsidRPr="00231ABC" w:rsidRDefault="006A1907">
            <w:pPr>
              <w:jc w:val="center"/>
              <w:rPr>
                <w:sz w:val="24"/>
              </w:rPr>
            </w:pPr>
            <w:r w:rsidRPr="00231ABC">
              <w:rPr>
                <w:sz w:val="24"/>
              </w:rPr>
              <w:t>Třebovice</w:t>
            </w:r>
          </w:p>
        </w:tc>
        <w:tc>
          <w:tcPr>
            <w:tcW w:w="2718" w:type="dxa"/>
            <w:tcBorders>
              <w:top w:val="single" w:sz="12" w:space="0" w:color="auto"/>
              <w:left w:val="single" w:sz="6" w:space="0" w:color="auto"/>
              <w:bottom w:val="single" w:sz="12" w:space="0" w:color="auto"/>
              <w:right w:val="single" w:sz="12" w:space="0" w:color="auto"/>
            </w:tcBorders>
          </w:tcPr>
          <w:p w14:paraId="34D1DC16" w14:textId="77777777" w:rsidR="006A1907" w:rsidRPr="00231ABC" w:rsidRDefault="006A1907">
            <w:pPr>
              <w:ind w:firstLine="127"/>
              <w:rPr>
                <w:sz w:val="24"/>
              </w:rPr>
            </w:pPr>
            <w:r w:rsidRPr="00231ABC">
              <w:rPr>
                <w:sz w:val="24"/>
              </w:rPr>
              <w:t>Třebovice ve Slezsku</w:t>
            </w:r>
          </w:p>
        </w:tc>
      </w:tr>
      <w:tr w:rsidR="006A1907" w:rsidRPr="00231ABC" w14:paraId="22BE070D" w14:textId="77777777">
        <w:trPr>
          <w:cantSplit/>
        </w:trPr>
        <w:tc>
          <w:tcPr>
            <w:tcW w:w="500" w:type="dxa"/>
            <w:tcBorders>
              <w:top w:val="single" w:sz="12" w:space="0" w:color="auto"/>
              <w:left w:val="single" w:sz="12" w:space="0" w:color="auto"/>
              <w:bottom w:val="single" w:sz="6" w:space="0" w:color="auto"/>
              <w:right w:val="single" w:sz="6" w:space="0" w:color="auto"/>
            </w:tcBorders>
          </w:tcPr>
          <w:p w14:paraId="61AE6A91" w14:textId="77777777" w:rsidR="006A1907" w:rsidRPr="00231ABC" w:rsidRDefault="006A1907">
            <w:pPr>
              <w:jc w:val="center"/>
              <w:rPr>
                <w:sz w:val="24"/>
              </w:rPr>
            </w:pPr>
            <w:r w:rsidRPr="00231ABC">
              <w:rPr>
                <w:sz w:val="24"/>
              </w:rPr>
              <w:t>23</w:t>
            </w:r>
          </w:p>
        </w:tc>
        <w:tc>
          <w:tcPr>
            <w:tcW w:w="2876" w:type="dxa"/>
            <w:tcBorders>
              <w:top w:val="single" w:sz="12" w:space="0" w:color="auto"/>
              <w:left w:val="single" w:sz="6" w:space="0" w:color="auto"/>
              <w:bottom w:val="single" w:sz="6" w:space="0" w:color="auto"/>
              <w:right w:val="single" w:sz="6" w:space="0" w:color="auto"/>
            </w:tcBorders>
          </w:tcPr>
          <w:p w14:paraId="7B3B26B2" w14:textId="77777777" w:rsidR="006A1907" w:rsidRPr="00231ABC" w:rsidRDefault="006A1907">
            <w:pPr>
              <w:jc w:val="center"/>
              <w:rPr>
                <w:sz w:val="24"/>
              </w:rPr>
            </w:pPr>
            <w:r w:rsidRPr="00231ABC">
              <w:rPr>
                <w:sz w:val="24"/>
              </w:rPr>
              <w:t>Plesná</w:t>
            </w:r>
          </w:p>
        </w:tc>
        <w:tc>
          <w:tcPr>
            <w:tcW w:w="2718" w:type="dxa"/>
            <w:tcBorders>
              <w:top w:val="single" w:sz="12" w:space="0" w:color="auto"/>
              <w:left w:val="single" w:sz="6" w:space="0" w:color="auto"/>
              <w:bottom w:val="single" w:sz="6" w:space="0" w:color="auto"/>
              <w:right w:val="single" w:sz="12" w:space="0" w:color="auto"/>
            </w:tcBorders>
          </w:tcPr>
          <w:p w14:paraId="27487BB1" w14:textId="77777777" w:rsidR="006A1907" w:rsidRPr="00231ABC" w:rsidRDefault="006A1907">
            <w:pPr>
              <w:ind w:firstLine="127"/>
              <w:rPr>
                <w:sz w:val="24"/>
              </w:rPr>
            </w:pPr>
            <w:r w:rsidRPr="00231ABC">
              <w:rPr>
                <w:sz w:val="24"/>
              </w:rPr>
              <w:t>Nová Plesná</w:t>
            </w:r>
          </w:p>
        </w:tc>
      </w:tr>
      <w:tr w:rsidR="006A1907" w:rsidRPr="00231ABC" w14:paraId="003E2B1D" w14:textId="77777777">
        <w:trPr>
          <w:cantSplit/>
        </w:trPr>
        <w:tc>
          <w:tcPr>
            <w:tcW w:w="500" w:type="dxa"/>
            <w:tcBorders>
              <w:top w:val="single" w:sz="6" w:space="0" w:color="auto"/>
              <w:left w:val="single" w:sz="12" w:space="0" w:color="auto"/>
              <w:bottom w:val="single" w:sz="12" w:space="0" w:color="auto"/>
              <w:right w:val="single" w:sz="6" w:space="0" w:color="auto"/>
            </w:tcBorders>
          </w:tcPr>
          <w:p w14:paraId="6F2137B7" w14:textId="77777777" w:rsidR="006A1907" w:rsidRPr="00231ABC" w:rsidRDefault="006A1907">
            <w:pPr>
              <w:jc w:val="center"/>
              <w:rPr>
                <w:sz w:val="24"/>
              </w:rPr>
            </w:pPr>
          </w:p>
        </w:tc>
        <w:tc>
          <w:tcPr>
            <w:tcW w:w="2876" w:type="dxa"/>
            <w:tcBorders>
              <w:top w:val="single" w:sz="6" w:space="0" w:color="auto"/>
              <w:left w:val="single" w:sz="6" w:space="0" w:color="auto"/>
              <w:bottom w:val="single" w:sz="12" w:space="0" w:color="auto"/>
              <w:right w:val="single" w:sz="6" w:space="0" w:color="auto"/>
            </w:tcBorders>
          </w:tcPr>
          <w:p w14:paraId="686357F2" w14:textId="77777777" w:rsidR="006A1907" w:rsidRPr="00231ABC" w:rsidRDefault="006A1907">
            <w:pPr>
              <w:jc w:val="center"/>
              <w:rPr>
                <w:sz w:val="24"/>
              </w:rPr>
            </w:pPr>
          </w:p>
        </w:tc>
        <w:tc>
          <w:tcPr>
            <w:tcW w:w="2718" w:type="dxa"/>
            <w:tcBorders>
              <w:top w:val="single" w:sz="6" w:space="0" w:color="auto"/>
              <w:left w:val="single" w:sz="6" w:space="0" w:color="auto"/>
              <w:bottom w:val="single" w:sz="12" w:space="0" w:color="auto"/>
              <w:right w:val="single" w:sz="12" w:space="0" w:color="auto"/>
            </w:tcBorders>
          </w:tcPr>
          <w:p w14:paraId="4631D17B" w14:textId="77777777" w:rsidR="006A1907" w:rsidRPr="00231ABC" w:rsidRDefault="006A1907">
            <w:pPr>
              <w:ind w:firstLine="127"/>
              <w:rPr>
                <w:sz w:val="24"/>
              </w:rPr>
            </w:pPr>
            <w:r w:rsidRPr="00231ABC">
              <w:rPr>
                <w:sz w:val="24"/>
              </w:rPr>
              <w:t>Stará Plesná</w:t>
            </w:r>
          </w:p>
        </w:tc>
      </w:tr>
    </w:tbl>
    <w:p w14:paraId="6C089953" w14:textId="77777777" w:rsidR="006A1907" w:rsidRPr="00231ABC" w:rsidRDefault="006A1907">
      <w:pPr>
        <w:jc w:val="both"/>
      </w:pPr>
    </w:p>
    <w:sectPr w:rsidR="006A1907" w:rsidRPr="00231ABC" w:rsidSect="00CB09FB">
      <w:headerReference w:type="default" r:id="rId19"/>
      <w:footerReference w:type="default" r:id="rId20"/>
      <w:pgSz w:w="11906" w:h="16838"/>
      <w:pgMar w:top="1276" w:right="1134" w:bottom="1021" w:left="1701"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852F7C" w14:textId="77777777" w:rsidR="00CB2F62" w:rsidRDefault="00CB2F62">
      <w:r>
        <w:separator/>
      </w:r>
    </w:p>
  </w:endnote>
  <w:endnote w:type="continuationSeparator" w:id="0">
    <w:p w14:paraId="6955DFA0" w14:textId="77777777" w:rsidR="00CB2F62" w:rsidRDefault="00CB2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775326" w14:textId="77777777" w:rsidR="00CB2F62" w:rsidRDefault="00CB2F62">
    <w:pPr>
      <w:pStyle w:val="Zpat"/>
      <w:framePr w:wrap="auto" w:vAnchor="text" w:hAnchor="margin" w:xAlign="center" w:y="1"/>
      <w:rPr>
        <w:rStyle w:val="slostrnky"/>
      </w:rPr>
    </w:pPr>
  </w:p>
  <w:p w14:paraId="77BDB5CA" w14:textId="77777777" w:rsidR="00CB2F62" w:rsidRDefault="00CB2F62">
    <w:pPr>
      <w:pStyle w:val="Zpat"/>
      <w:framePr w:wrap="auto" w:vAnchor="text" w:hAnchor="margin" w:xAlign="center" w:y="1"/>
      <w:rPr>
        <w:rStyle w:val="slostrnky"/>
      </w:rPr>
    </w:pPr>
  </w:p>
  <w:p w14:paraId="43F3F02F" w14:textId="77777777" w:rsidR="00CB2F62" w:rsidRDefault="00CB2F62">
    <w:pPr>
      <w:pStyle w:val="Zpat"/>
      <w:framePr w:wrap="auto" w:vAnchor="text" w:hAnchor="margin" w:xAlign="center" w:y="1"/>
      <w:rPr>
        <w:rStyle w:val="slostrnky"/>
      </w:rPr>
    </w:pPr>
  </w:p>
  <w:p w14:paraId="005200D6" w14:textId="77777777" w:rsidR="00CB2F62" w:rsidRDefault="00CB2F62">
    <w:pPr>
      <w:pStyle w:val="Zpat"/>
      <w:ind w:right="360"/>
      <w:jc w:val="center"/>
    </w:pPr>
    <w:r>
      <w:t xml:space="preserve">- </w:t>
    </w:r>
    <w:r>
      <w:fldChar w:fldCharType="begin"/>
    </w:r>
    <w:r>
      <w:instrText xml:space="preserve"> PAGE </w:instrText>
    </w:r>
    <w:r>
      <w:fldChar w:fldCharType="separate"/>
    </w:r>
    <w:r w:rsidR="00961947">
      <w:rPr>
        <w:noProof/>
      </w:rPr>
      <w:t>2</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0517C2" w14:textId="77777777" w:rsidR="00CB2F62" w:rsidRDefault="00CB2F62">
      <w:r>
        <w:separator/>
      </w:r>
    </w:p>
  </w:footnote>
  <w:footnote w:type="continuationSeparator" w:id="0">
    <w:p w14:paraId="49BD3B71" w14:textId="77777777" w:rsidR="00CB2F62" w:rsidRDefault="00CB2F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39502" w14:textId="77777777" w:rsidR="00CB2F62" w:rsidRDefault="00CB2F62">
    <w:pPr>
      <w:pStyle w:val="Zhlav"/>
      <w:framePr w:wrap="auto" w:vAnchor="text" w:hAnchor="margin" w:xAlign="center" w:y="1"/>
      <w:rPr>
        <w:rStyle w:val="slostrnky"/>
      </w:rPr>
    </w:pPr>
  </w:p>
  <w:p w14:paraId="38683582" w14:textId="77777777" w:rsidR="00CB2F62" w:rsidRDefault="00CB2F62">
    <w:pPr>
      <w:pStyle w:val="Zhlav"/>
      <w:framePr w:wrap="auto" w:vAnchor="text" w:hAnchor="margin" w:xAlign="center" w:y="1"/>
      <w:ind w:right="360"/>
      <w:rPr>
        <w:rStyle w:val="slostrnky"/>
      </w:rPr>
    </w:pPr>
  </w:p>
  <w:p w14:paraId="10D99685" w14:textId="77777777" w:rsidR="00CB2F62" w:rsidRDefault="00CB2F62">
    <w:pPr>
      <w:pStyle w:val="Zhlav"/>
      <w:framePr w:wrap="auto" w:vAnchor="text" w:hAnchor="margin" w:xAlign="center" w:y="1"/>
      <w:ind w:right="360"/>
      <w:rPr>
        <w:rStyle w:val="slostrnky"/>
      </w:rPr>
    </w:pPr>
  </w:p>
  <w:p w14:paraId="06701B13" w14:textId="77777777" w:rsidR="00CB2F62" w:rsidRDefault="00CB2F62">
    <w:pPr>
      <w:pStyle w:val="Zhlav"/>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202EC510"/>
    <w:lvl w:ilvl="0">
      <w:numFmt w:val="none"/>
      <w:lvlText w:val=""/>
      <w:lvlJc w:val="left"/>
    </w:lvl>
    <w:lvl w:ilvl="1">
      <w:start w:val="1"/>
      <w:numFmt w:val="decimal"/>
      <w:pStyle w:val="Nadpis2"/>
      <w:lvlText w:val=".%2"/>
      <w:legacy w:legacy="1" w:legacySpace="120" w:legacyIndent="576"/>
      <w:lvlJc w:val="left"/>
      <w:pPr>
        <w:ind w:left="576" w:hanging="576"/>
      </w:pPr>
    </w:lvl>
    <w:lvl w:ilvl="2">
      <w:start w:val="1"/>
      <w:numFmt w:val="decimal"/>
      <w:pStyle w:val="Nadpis3"/>
      <w:lvlText w:val=".%2.%3"/>
      <w:legacy w:legacy="1" w:legacySpace="120" w:legacyIndent="720"/>
      <w:lvlJc w:val="left"/>
      <w:pPr>
        <w:ind w:left="720" w:hanging="720"/>
      </w:pPr>
    </w:lvl>
    <w:lvl w:ilvl="3">
      <w:start w:val="1"/>
      <w:numFmt w:val="decimal"/>
      <w:pStyle w:val="Nadpis4"/>
      <w:lvlText w:val=".%2.%3.%4"/>
      <w:legacy w:legacy="1" w:legacySpace="120" w:legacyIndent="864"/>
      <w:lvlJc w:val="left"/>
      <w:pPr>
        <w:ind w:left="864" w:hanging="864"/>
      </w:pPr>
    </w:lvl>
    <w:lvl w:ilvl="4">
      <w:start w:val="1"/>
      <w:numFmt w:val="decimal"/>
      <w:pStyle w:val="Nadpis5"/>
      <w:lvlText w:val=".%2.%3.%4.%5"/>
      <w:legacy w:legacy="1" w:legacySpace="120" w:legacyIndent="1008"/>
      <w:lvlJc w:val="left"/>
      <w:pPr>
        <w:ind w:left="1008" w:hanging="1008"/>
      </w:pPr>
    </w:lvl>
    <w:lvl w:ilvl="5">
      <w:start w:val="1"/>
      <w:numFmt w:val="decimal"/>
      <w:pStyle w:val="Nadpis6"/>
      <w:lvlText w:val=".%2.%3.%4.%5.%6"/>
      <w:legacy w:legacy="1" w:legacySpace="120" w:legacyIndent="1152"/>
      <w:lvlJc w:val="left"/>
      <w:pPr>
        <w:ind w:left="1152" w:hanging="1152"/>
      </w:pPr>
    </w:lvl>
    <w:lvl w:ilvl="6">
      <w:start w:val="1"/>
      <w:numFmt w:val="decimal"/>
      <w:pStyle w:val="Nadpis7"/>
      <w:lvlText w:val=".%2.%3.%4.%5.%6.%7"/>
      <w:legacy w:legacy="1" w:legacySpace="120" w:legacyIndent="1296"/>
      <w:lvlJc w:val="left"/>
      <w:pPr>
        <w:ind w:left="1296" w:hanging="1296"/>
      </w:pPr>
    </w:lvl>
    <w:lvl w:ilvl="7">
      <w:start w:val="1"/>
      <w:numFmt w:val="decimal"/>
      <w:pStyle w:val="Nadpis8"/>
      <w:lvlText w:val=".%2.%3.%4.%5.%6.%7.%8"/>
      <w:legacy w:legacy="1" w:legacySpace="120" w:legacyIndent="1440"/>
      <w:lvlJc w:val="left"/>
      <w:pPr>
        <w:ind w:left="1440" w:hanging="1440"/>
      </w:pPr>
    </w:lvl>
    <w:lvl w:ilvl="8">
      <w:start w:val="1"/>
      <w:numFmt w:val="decimal"/>
      <w:pStyle w:val="Nadpis9"/>
      <w:lvlText w:val=".%2.%3.%4.%5.%6.%7.%8.%9"/>
      <w:legacy w:legacy="1" w:legacySpace="120" w:legacyIndent="1584"/>
      <w:lvlJc w:val="left"/>
      <w:pPr>
        <w:ind w:left="1584" w:hanging="1584"/>
      </w:pPr>
    </w:lvl>
  </w:abstractNum>
  <w:abstractNum w:abstractNumId="1">
    <w:nsid w:val="05BF1250"/>
    <w:multiLevelType w:val="singleLevel"/>
    <w:tmpl w:val="50704EF4"/>
    <w:lvl w:ilvl="0">
      <w:start w:val="1"/>
      <w:numFmt w:val="decimal"/>
      <w:lvlText w:val="%1)"/>
      <w:legacy w:legacy="1" w:legacySpace="120" w:legacyIndent="360"/>
      <w:lvlJc w:val="left"/>
      <w:pPr>
        <w:ind w:left="360" w:hanging="360"/>
      </w:pPr>
    </w:lvl>
  </w:abstractNum>
  <w:abstractNum w:abstractNumId="2">
    <w:nsid w:val="07173CAA"/>
    <w:multiLevelType w:val="hybridMultilevel"/>
    <w:tmpl w:val="1E2A8B3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0C9F64D2"/>
    <w:multiLevelType w:val="singleLevel"/>
    <w:tmpl w:val="4D7AC0F6"/>
    <w:lvl w:ilvl="0">
      <w:start w:val="1"/>
      <w:numFmt w:val="decimal"/>
      <w:lvlText w:val="%1)"/>
      <w:legacy w:legacy="1" w:legacySpace="120" w:legacyIndent="360"/>
      <w:lvlJc w:val="left"/>
      <w:pPr>
        <w:ind w:left="360" w:hanging="360"/>
      </w:pPr>
      <w:rPr>
        <w:sz w:val="24"/>
      </w:rPr>
    </w:lvl>
  </w:abstractNum>
  <w:abstractNum w:abstractNumId="4">
    <w:nsid w:val="122F4810"/>
    <w:multiLevelType w:val="singleLevel"/>
    <w:tmpl w:val="8016524E"/>
    <w:lvl w:ilvl="0">
      <w:start w:val="3"/>
      <w:numFmt w:val="decimal"/>
      <w:lvlText w:val="%1)"/>
      <w:legacy w:legacy="1" w:legacySpace="120" w:legacyIndent="360"/>
      <w:lvlJc w:val="left"/>
      <w:pPr>
        <w:ind w:left="360" w:hanging="360"/>
      </w:pPr>
      <w:rPr>
        <w:sz w:val="24"/>
      </w:rPr>
    </w:lvl>
  </w:abstractNum>
  <w:abstractNum w:abstractNumId="5">
    <w:nsid w:val="131B2403"/>
    <w:multiLevelType w:val="singleLevel"/>
    <w:tmpl w:val="677EA57E"/>
    <w:lvl w:ilvl="0">
      <w:start w:val="8"/>
      <w:numFmt w:val="decimal"/>
      <w:lvlText w:val="%1."/>
      <w:legacy w:legacy="1" w:legacySpace="120" w:legacyIndent="360"/>
      <w:lvlJc w:val="left"/>
      <w:pPr>
        <w:ind w:left="360" w:hanging="360"/>
      </w:pPr>
    </w:lvl>
  </w:abstractNum>
  <w:abstractNum w:abstractNumId="6">
    <w:nsid w:val="18D43224"/>
    <w:multiLevelType w:val="hybridMultilevel"/>
    <w:tmpl w:val="BBFC3A98"/>
    <w:lvl w:ilvl="0" w:tplc="F97A6652">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1A6834EE"/>
    <w:multiLevelType w:val="singleLevel"/>
    <w:tmpl w:val="50704EF4"/>
    <w:lvl w:ilvl="0">
      <w:start w:val="1"/>
      <w:numFmt w:val="decimal"/>
      <w:lvlText w:val="%1)"/>
      <w:legacy w:legacy="1" w:legacySpace="120" w:legacyIndent="360"/>
      <w:lvlJc w:val="left"/>
      <w:pPr>
        <w:ind w:left="360" w:hanging="360"/>
      </w:pPr>
    </w:lvl>
  </w:abstractNum>
  <w:abstractNum w:abstractNumId="8">
    <w:nsid w:val="1D992419"/>
    <w:multiLevelType w:val="multilevel"/>
    <w:tmpl w:val="CD7A3BCE"/>
    <w:lvl w:ilvl="0">
      <w:start w:val="7"/>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9">
    <w:nsid w:val="1EBA7F28"/>
    <w:multiLevelType w:val="singleLevel"/>
    <w:tmpl w:val="D4EE49AE"/>
    <w:lvl w:ilvl="0">
      <w:start w:val="2"/>
      <w:numFmt w:val="decimal"/>
      <w:lvlText w:val="%1."/>
      <w:legacy w:legacy="1" w:legacySpace="120" w:legacyIndent="360"/>
      <w:lvlJc w:val="left"/>
      <w:pPr>
        <w:ind w:left="360" w:hanging="360"/>
      </w:pPr>
    </w:lvl>
  </w:abstractNum>
  <w:abstractNum w:abstractNumId="10">
    <w:nsid w:val="232E5CBF"/>
    <w:multiLevelType w:val="multilevel"/>
    <w:tmpl w:val="41E2EB3E"/>
    <w:lvl w:ilvl="0">
      <w:start w:val="1"/>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4.%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nsid w:val="296B1C42"/>
    <w:multiLevelType w:val="hybridMultilevel"/>
    <w:tmpl w:val="D958A8E6"/>
    <w:lvl w:ilvl="0" w:tplc="04050001">
      <w:start w:val="1"/>
      <w:numFmt w:val="bullet"/>
      <w:lvlText w:val=""/>
      <w:lvlJc w:val="left"/>
      <w:pPr>
        <w:tabs>
          <w:tab w:val="num" w:pos="1080"/>
        </w:tabs>
        <w:ind w:left="1080" w:hanging="360"/>
      </w:pPr>
      <w:rPr>
        <w:rFonts w:ascii="Symbol" w:hAnsi="Symbol" w:hint="default"/>
      </w:rPr>
    </w:lvl>
    <w:lvl w:ilvl="1" w:tplc="AA9A4B52">
      <w:start w:val="1"/>
      <w:numFmt w:val="bullet"/>
      <w:lvlText w:val="-"/>
      <w:lvlJc w:val="left"/>
      <w:pPr>
        <w:tabs>
          <w:tab w:val="num" w:pos="1800"/>
        </w:tabs>
        <w:ind w:left="1800" w:hanging="360"/>
      </w:pPr>
      <w:rPr>
        <w:rFonts w:ascii="Times New Roman" w:eastAsia="Times New Roman" w:hAnsi="Times New Roman" w:cs="Times New Roman" w:hint="default"/>
      </w:rPr>
    </w:lvl>
    <w:lvl w:ilvl="2" w:tplc="04050001">
      <w:start w:val="1"/>
      <w:numFmt w:val="bullet"/>
      <w:lvlText w:val=""/>
      <w:lvlJc w:val="left"/>
      <w:pPr>
        <w:tabs>
          <w:tab w:val="num" w:pos="2520"/>
        </w:tabs>
        <w:ind w:left="2520" w:hanging="360"/>
      </w:pPr>
      <w:rPr>
        <w:rFonts w:ascii="Symbol" w:hAnsi="Symbol"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2">
    <w:nsid w:val="29973C94"/>
    <w:multiLevelType w:val="singleLevel"/>
    <w:tmpl w:val="12968CDE"/>
    <w:lvl w:ilvl="0">
      <w:start w:val="1"/>
      <w:numFmt w:val="decimal"/>
      <w:lvlText w:val="%1."/>
      <w:lvlJc w:val="left"/>
      <w:pPr>
        <w:tabs>
          <w:tab w:val="num" w:pos="360"/>
        </w:tabs>
        <w:ind w:left="360" w:hanging="360"/>
      </w:pPr>
      <w:rPr>
        <w:rFonts w:hint="default"/>
      </w:rPr>
    </w:lvl>
  </w:abstractNum>
  <w:abstractNum w:abstractNumId="13">
    <w:nsid w:val="2DCB7B09"/>
    <w:multiLevelType w:val="singleLevel"/>
    <w:tmpl w:val="A1584942"/>
    <w:lvl w:ilvl="0">
      <w:start w:val="13"/>
      <w:numFmt w:val="decimal"/>
      <w:lvlText w:val="%1."/>
      <w:legacy w:legacy="1" w:legacySpace="120" w:legacyIndent="360"/>
      <w:lvlJc w:val="left"/>
      <w:pPr>
        <w:ind w:left="360" w:hanging="360"/>
      </w:pPr>
    </w:lvl>
  </w:abstractNum>
  <w:abstractNum w:abstractNumId="14">
    <w:nsid w:val="2F313613"/>
    <w:multiLevelType w:val="singleLevel"/>
    <w:tmpl w:val="DD1E4084"/>
    <w:lvl w:ilvl="0">
      <w:start w:val="1"/>
      <w:numFmt w:val="decimal"/>
      <w:lvlText w:val="%1."/>
      <w:legacy w:legacy="1" w:legacySpace="120" w:legacyIndent="360"/>
      <w:lvlJc w:val="left"/>
      <w:pPr>
        <w:ind w:left="360" w:hanging="360"/>
      </w:pPr>
    </w:lvl>
  </w:abstractNum>
  <w:abstractNum w:abstractNumId="15">
    <w:nsid w:val="307A032C"/>
    <w:multiLevelType w:val="singleLevel"/>
    <w:tmpl w:val="DD1E4084"/>
    <w:lvl w:ilvl="0">
      <w:start w:val="1"/>
      <w:numFmt w:val="decimal"/>
      <w:lvlText w:val="%1."/>
      <w:legacy w:legacy="1" w:legacySpace="120" w:legacyIndent="360"/>
      <w:lvlJc w:val="left"/>
      <w:pPr>
        <w:ind w:left="360" w:hanging="360"/>
      </w:pPr>
    </w:lvl>
  </w:abstractNum>
  <w:abstractNum w:abstractNumId="16">
    <w:nsid w:val="3E0C04CC"/>
    <w:multiLevelType w:val="singleLevel"/>
    <w:tmpl w:val="5E36CFE2"/>
    <w:lvl w:ilvl="0">
      <w:start w:val="4"/>
      <w:numFmt w:val="decimal"/>
      <w:lvlText w:val="%1."/>
      <w:legacy w:legacy="1" w:legacySpace="120" w:legacyIndent="360"/>
      <w:lvlJc w:val="left"/>
      <w:pPr>
        <w:ind w:left="360" w:hanging="360"/>
      </w:pPr>
    </w:lvl>
  </w:abstractNum>
  <w:abstractNum w:abstractNumId="17">
    <w:nsid w:val="4DEE62CE"/>
    <w:multiLevelType w:val="multilevel"/>
    <w:tmpl w:val="82E4F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E3A3A39"/>
    <w:multiLevelType w:val="singleLevel"/>
    <w:tmpl w:val="9CF87B5E"/>
    <w:lvl w:ilvl="0">
      <w:start w:val="5"/>
      <w:numFmt w:val="decimal"/>
      <w:lvlText w:val="%1."/>
      <w:legacy w:legacy="1" w:legacySpace="120" w:legacyIndent="360"/>
      <w:lvlJc w:val="left"/>
      <w:pPr>
        <w:ind w:left="360" w:hanging="360"/>
      </w:pPr>
    </w:lvl>
  </w:abstractNum>
  <w:abstractNum w:abstractNumId="19">
    <w:nsid w:val="4F9F5DCA"/>
    <w:multiLevelType w:val="singleLevel"/>
    <w:tmpl w:val="807A49C6"/>
    <w:lvl w:ilvl="0">
      <w:start w:val="1"/>
      <w:numFmt w:val="decimal"/>
      <w:lvlText w:val="%1."/>
      <w:legacy w:legacy="1" w:legacySpace="120" w:legacyIndent="360"/>
      <w:lvlJc w:val="left"/>
      <w:pPr>
        <w:ind w:left="360" w:hanging="360"/>
      </w:pPr>
    </w:lvl>
  </w:abstractNum>
  <w:abstractNum w:abstractNumId="20">
    <w:nsid w:val="522D496C"/>
    <w:multiLevelType w:val="multilevel"/>
    <w:tmpl w:val="CD7A3BCE"/>
    <w:lvl w:ilvl="0">
      <w:start w:val="7"/>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nsid w:val="54522068"/>
    <w:multiLevelType w:val="singleLevel"/>
    <w:tmpl w:val="DD1E4084"/>
    <w:lvl w:ilvl="0">
      <w:start w:val="1"/>
      <w:numFmt w:val="decimal"/>
      <w:lvlText w:val="%1."/>
      <w:legacy w:legacy="1" w:legacySpace="120" w:legacyIndent="360"/>
      <w:lvlJc w:val="left"/>
      <w:pPr>
        <w:ind w:left="360" w:hanging="360"/>
      </w:pPr>
    </w:lvl>
  </w:abstractNum>
  <w:abstractNum w:abstractNumId="22">
    <w:nsid w:val="566F1956"/>
    <w:multiLevelType w:val="multilevel"/>
    <w:tmpl w:val="00B80FCE"/>
    <w:lvl w:ilvl="0">
      <w:start w:val="1"/>
      <w:numFmt w:val="decimal"/>
      <w:lvlText w:val="5.%1"/>
      <w:lvlJc w:val="left"/>
      <w:pPr>
        <w:tabs>
          <w:tab w:val="num" w:pos="360"/>
        </w:tabs>
        <w:ind w:left="360" w:hanging="360"/>
      </w:pPr>
      <w:rPr>
        <w:rFonts w:hint="default"/>
      </w:rPr>
    </w:lvl>
    <w:lvl w:ilvl="1">
      <w:start w:val="1"/>
      <w:numFmt w:val="decimal"/>
      <w:lvlText w:val=".%2."/>
      <w:lvlJc w:val="left"/>
      <w:pPr>
        <w:tabs>
          <w:tab w:val="num" w:pos="0"/>
        </w:tabs>
        <w:ind w:left="792" w:hanging="432"/>
      </w:pPr>
      <w:rPr>
        <w:rFonts w:hint="default"/>
      </w:rPr>
    </w:lvl>
    <w:lvl w:ilvl="2">
      <w:start w:val="1"/>
      <w:numFmt w:val="decimal"/>
      <w:lvlText w:val=".%2.%3."/>
      <w:lvlJc w:val="left"/>
      <w:pPr>
        <w:tabs>
          <w:tab w:val="num" w:pos="0"/>
        </w:tabs>
        <w:ind w:left="1296" w:hanging="504"/>
      </w:pPr>
      <w:rPr>
        <w:rFonts w:hint="default"/>
      </w:rPr>
    </w:lvl>
    <w:lvl w:ilvl="3">
      <w:start w:val="1"/>
      <w:numFmt w:val="decimal"/>
      <w:lvlText w:val=".%2.%3.%4."/>
      <w:lvlJc w:val="left"/>
      <w:pPr>
        <w:tabs>
          <w:tab w:val="num" w:pos="0"/>
        </w:tabs>
        <w:ind w:left="1944" w:hanging="648"/>
      </w:pPr>
      <w:rPr>
        <w:rFonts w:hint="default"/>
      </w:rPr>
    </w:lvl>
    <w:lvl w:ilvl="4">
      <w:start w:val="1"/>
      <w:numFmt w:val="decimal"/>
      <w:lvlText w:val=".%2.%3.%4.%5."/>
      <w:lvlJc w:val="left"/>
      <w:pPr>
        <w:tabs>
          <w:tab w:val="num" w:pos="2736"/>
        </w:tabs>
        <w:ind w:left="2736" w:hanging="792"/>
      </w:pPr>
      <w:rPr>
        <w:rFonts w:hint="default"/>
      </w:rPr>
    </w:lvl>
    <w:lvl w:ilvl="5">
      <w:start w:val="1"/>
      <w:numFmt w:val="decimal"/>
      <w:lvlText w:val=".%2.%3.%4.%5.%6."/>
      <w:lvlJc w:val="left"/>
      <w:pPr>
        <w:tabs>
          <w:tab w:val="num" w:pos="0"/>
        </w:tabs>
        <w:ind w:left="3672" w:hanging="936"/>
      </w:pPr>
      <w:rPr>
        <w:rFonts w:hint="default"/>
      </w:rPr>
    </w:lvl>
    <w:lvl w:ilvl="6">
      <w:start w:val="1"/>
      <w:numFmt w:val="decimal"/>
      <w:lvlText w:val=".%2.%3.%4.%5.%6.%7."/>
      <w:lvlJc w:val="left"/>
      <w:pPr>
        <w:tabs>
          <w:tab w:val="num" w:pos="0"/>
        </w:tabs>
        <w:ind w:left="4752" w:hanging="1080"/>
      </w:pPr>
      <w:rPr>
        <w:rFonts w:hint="default"/>
      </w:rPr>
    </w:lvl>
    <w:lvl w:ilvl="7">
      <w:start w:val="1"/>
      <w:numFmt w:val="decimal"/>
      <w:lvlText w:val=".%2.%3.%4.%5.%6.%7.%8."/>
      <w:lvlJc w:val="left"/>
      <w:pPr>
        <w:tabs>
          <w:tab w:val="num" w:pos="0"/>
        </w:tabs>
        <w:ind w:left="5976" w:hanging="1224"/>
      </w:pPr>
      <w:rPr>
        <w:rFonts w:hint="default"/>
      </w:rPr>
    </w:lvl>
    <w:lvl w:ilvl="8">
      <w:start w:val="1"/>
      <w:numFmt w:val="decimal"/>
      <w:lvlText w:val=".%2.%3.%4.%5.%6.%7.%8.%9."/>
      <w:lvlJc w:val="left"/>
      <w:pPr>
        <w:tabs>
          <w:tab w:val="num" w:pos="0"/>
        </w:tabs>
        <w:ind w:left="7416" w:hanging="1440"/>
      </w:pPr>
      <w:rPr>
        <w:rFonts w:hint="default"/>
      </w:rPr>
    </w:lvl>
  </w:abstractNum>
  <w:abstractNum w:abstractNumId="23">
    <w:nsid w:val="569304CA"/>
    <w:multiLevelType w:val="singleLevel"/>
    <w:tmpl w:val="677EA57E"/>
    <w:lvl w:ilvl="0">
      <w:start w:val="8"/>
      <w:numFmt w:val="decimal"/>
      <w:lvlText w:val="%1."/>
      <w:legacy w:legacy="1" w:legacySpace="120" w:legacyIndent="360"/>
      <w:lvlJc w:val="left"/>
      <w:pPr>
        <w:ind w:left="360" w:hanging="360"/>
      </w:pPr>
    </w:lvl>
  </w:abstractNum>
  <w:abstractNum w:abstractNumId="24">
    <w:nsid w:val="575811F8"/>
    <w:multiLevelType w:val="singleLevel"/>
    <w:tmpl w:val="DD1E4084"/>
    <w:lvl w:ilvl="0">
      <w:start w:val="1"/>
      <w:numFmt w:val="decimal"/>
      <w:lvlText w:val="%1."/>
      <w:legacy w:legacy="1" w:legacySpace="120" w:legacyIndent="360"/>
      <w:lvlJc w:val="left"/>
      <w:pPr>
        <w:ind w:left="720" w:hanging="360"/>
      </w:pPr>
    </w:lvl>
  </w:abstractNum>
  <w:abstractNum w:abstractNumId="25">
    <w:nsid w:val="5AF10719"/>
    <w:multiLevelType w:val="singleLevel"/>
    <w:tmpl w:val="DD1E4084"/>
    <w:lvl w:ilvl="0">
      <w:start w:val="1"/>
      <w:numFmt w:val="decimal"/>
      <w:lvlText w:val="%1."/>
      <w:legacy w:legacy="1" w:legacySpace="120" w:legacyIndent="360"/>
      <w:lvlJc w:val="left"/>
      <w:pPr>
        <w:ind w:left="360" w:hanging="360"/>
      </w:pPr>
    </w:lvl>
  </w:abstractNum>
  <w:abstractNum w:abstractNumId="26">
    <w:nsid w:val="5B7730A8"/>
    <w:multiLevelType w:val="hybridMultilevel"/>
    <w:tmpl w:val="8FFC34DA"/>
    <w:lvl w:ilvl="0" w:tplc="807A49C6">
      <w:start w:val="6"/>
      <w:numFmt w:val="decimal"/>
      <w:lvlText w:val="%1."/>
      <w:legacy w:legacy="1" w:legacySpace="120" w:legacyIndent="360"/>
      <w:lvlJc w:val="left"/>
      <w:pPr>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5EB456DE"/>
    <w:multiLevelType w:val="singleLevel"/>
    <w:tmpl w:val="2FE60218"/>
    <w:lvl w:ilvl="0">
      <w:start w:val="4"/>
      <w:numFmt w:val="decimal"/>
      <w:lvlText w:val="%1)"/>
      <w:lvlJc w:val="left"/>
      <w:pPr>
        <w:tabs>
          <w:tab w:val="num" w:pos="0"/>
        </w:tabs>
        <w:ind w:left="360" w:hanging="360"/>
      </w:pPr>
      <w:rPr>
        <w:rFonts w:hint="default"/>
        <w:b w:val="0"/>
        <w:i w:val="0"/>
        <w:sz w:val="24"/>
      </w:rPr>
    </w:lvl>
  </w:abstractNum>
  <w:abstractNum w:abstractNumId="28">
    <w:nsid w:val="601E3773"/>
    <w:multiLevelType w:val="singleLevel"/>
    <w:tmpl w:val="807A49C6"/>
    <w:lvl w:ilvl="0">
      <w:start w:val="6"/>
      <w:numFmt w:val="decimal"/>
      <w:lvlText w:val="%1."/>
      <w:legacy w:legacy="1" w:legacySpace="120" w:legacyIndent="360"/>
      <w:lvlJc w:val="left"/>
      <w:pPr>
        <w:ind w:left="360" w:hanging="360"/>
      </w:pPr>
    </w:lvl>
  </w:abstractNum>
  <w:abstractNum w:abstractNumId="29">
    <w:nsid w:val="623673FD"/>
    <w:multiLevelType w:val="singleLevel"/>
    <w:tmpl w:val="12EE7BF6"/>
    <w:lvl w:ilvl="0">
      <w:start w:val="6"/>
      <w:numFmt w:val="decimal"/>
      <w:lvlText w:val="%1."/>
      <w:legacy w:legacy="1" w:legacySpace="120" w:legacyIndent="360"/>
      <w:lvlJc w:val="left"/>
      <w:pPr>
        <w:ind w:left="360" w:hanging="360"/>
      </w:pPr>
    </w:lvl>
  </w:abstractNum>
  <w:abstractNum w:abstractNumId="30">
    <w:nsid w:val="68251D36"/>
    <w:multiLevelType w:val="multilevel"/>
    <w:tmpl w:val="CD7A3BCE"/>
    <w:lvl w:ilvl="0">
      <w:start w:val="7"/>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nsid w:val="68526204"/>
    <w:multiLevelType w:val="multilevel"/>
    <w:tmpl w:val="CD7A3BCE"/>
    <w:lvl w:ilvl="0">
      <w:start w:val="7"/>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2">
    <w:nsid w:val="6C4616C0"/>
    <w:multiLevelType w:val="singleLevel"/>
    <w:tmpl w:val="807A49C6"/>
    <w:lvl w:ilvl="0">
      <w:start w:val="8"/>
      <w:numFmt w:val="decimal"/>
      <w:lvlText w:val="%1."/>
      <w:legacy w:legacy="1" w:legacySpace="120" w:legacyIndent="360"/>
      <w:lvlJc w:val="left"/>
      <w:pPr>
        <w:ind w:left="360" w:hanging="360"/>
      </w:pPr>
    </w:lvl>
  </w:abstractNum>
  <w:abstractNum w:abstractNumId="33">
    <w:nsid w:val="6CA41252"/>
    <w:multiLevelType w:val="singleLevel"/>
    <w:tmpl w:val="A1584942"/>
    <w:lvl w:ilvl="0">
      <w:start w:val="13"/>
      <w:numFmt w:val="decimal"/>
      <w:lvlText w:val="%1."/>
      <w:legacy w:legacy="1" w:legacySpace="120" w:legacyIndent="360"/>
      <w:lvlJc w:val="left"/>
      <w:pPr>
        <w:ind w:left="360" w:hanging="360"/>
      </w:pPr>
    </w:lvl>
  </w:abstractNum>
  <w:abstractNum w:abstractNumId="34">
    <w:nsid w:val="6F392192"/>
    <w:multiLevelType w:val="singleLevel"/>
    <w:tmpl w:val="A1584942"/>
    <w:lvl w:ilvl="0">
      <w:start w:val="13"/>
      <w:numFmt w:val="decimal"/>
      <w:lvlText w:val="%1."/>
      <w:legacy w:legacy="1" w:legacySpace="120" w:legacyIndent="360"/>
      <w:lvlJc w:val="left"/>
      <w:pPr>
        <w:ind w:left="360" w:hanging="360"/>
      </w:pPr>
    </w:lvl>
  </w:abstractNum>
  <w:abstractNum w:abstractNumId="35">
    <w:nsid w:val="704732EF"/>
    <w:multiLevelType w:val="singleLevel"/>
    <w:tmpl w:val="677EA57E"/>
    <w:lvl w:ilvl="0">
      <w:start w:val="8"/>
      <w:numFmt w:val="decimal"/>
      <w:lvlText w:val="%1."/>
      <w:legacy w:legacy="1" w:legacySpace="120" w:legacyIndent="360"/>
      <w:lvlJc w:val="left"/>
      <w:pPr>
        <w:ind w:left="360" w:hanging="360"/>
      </w:pPr>
    </w:lvl>
  </w:abstractNum>
  <w:abstractNum w:abstractNumId="36">
    <w:nsid w:val="727E0E19"/>
    <w:multiLevelType w:val="singleLevel"/>
    <w:tmpl w:val="DD1E4084"/>
    <w:lvl w:ilvl="0">
      <w:start w:val="1"/>
      <w:numFmt w:val="decimal"/>
      <w:lvlText w:val="%1."/>
      <w:legacy w:legacy="1" w:legacySpace="120" w:legacyIndent="360"/>
      <w:lvlJc w:val="left"/>
      <w:pPr>
        <w:ind w:left="360" w:hanging="360"/>
      </w:pPr>
    </w:lvl>
  </w:abstractNum>
  <w:abstractNum w:abstractNumId="37">
    <w:nsid w:val="76166B0E"/>
    <w:multiLevelType w:val="multilevel"/>
    <w:tmpl w:val="CD7A3BCE"/>
    <w:lvl w:ilvl="0">
      <w:start w:val="7"/>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0"/>
  </w:num>
  <w:num w:numId="2">
    <w:abstractNumId w:val="21"/>
  </w:num>
  <w:num w:numId="3">
    <w:abstractNumId w:val="10"/>
  </w:num>
  <w:num w:numId="4">
    <w:abstractNumId w:val="29"/>
  </w:num>
  <w:num w:numId="5">
    <w:abstractNumId w:val="5"/>
  </w:num>
  <w:num w:numId="6">
    <w:abstractNumId w:val="15"/>
  </w:num>
  <w:num w:numId="7">
    <w:abstractNumId w:val="9"/>
  </w:num>
  <w:num w:numId="8">
    <w:abstractNumId w:val="1"/>
  </w:num>
  <w:num w:numId="9">
    <w:abstractNumId w:val="7"/>
  </w:num>
  <w:num w:numId="10">
    <w:abstractNumId w:val="27"/>
  </w:num>
  <w:num w:numId="11">
    <w:abstractNumId w:val="27"/>
    <w:lvlOverride w:ilvl="0">
      <w:lvl w:ilvl="0">
        <w:start w:val="4"/>
        <w:numFmt w:val="decimal"/>
        <w:lvlText w:val="%1)"/>
        <w:legacy w:legacy="1" w:legacySpace="120" w:legacyIndent="360"/>
        <w:lvlJc w:val="left"/>
        <w:pPr>
          <w:ind w:left="360" w:hanging="360"/>
        </w:pPr>
        <w:rPr>
          <w:sz w:val="24"/>
        </w:rPr>
      </w:lvl>
    </w:lvlOverride>
  </w:num>
  <w:num w:numId="12">
    <w:abstractNumId w:val="16"/>
  </w:num>
  <w:num w:numId="13">
    <w:abstractNumId w:val="18"/>
  </w:num>
  <w:num w:numId="14">
    <w:abstractNumId w:val="12"/>
  </w:num>
  <w:num w:numId="15">
    <w:abstractNumId w:val="14"/>
  </w:num>
  <w:num w:numId="16">
    <w:abstractNumId w:val="25"/>
  </w:num>
  <w:num w:numId="17">
    <w:abstractNumId w:val="24"/>
  </w:num>
  <w:num w:numId="18">
    <w:abstractNumId w:val="37"/>
  </w:num>
  <w:num w:numId="19">
    <w:abstractNumId w:val="36"/>
  </w:num>
  <w:num w:numId="20">
    <w:abstractNumId w:val="8"/>
  </w:num>
  <w:num w:numId="21">
    <w:abstractNumId w:val="31"/>
  </w:num>
  <w:num w:numId="22">
    <w:abstractNumId w:val="20"/>
  </w:num>
  <w:num w:numId="23">
    <w:abstractNumId w:val="13"/>
  </w:num>
  <w:num w:numId="24">
    <w:abstractNumId w:val="33"/>
  </w:num>
  <w:num w:numId="25">
    <w:abstractNumId w:val="34"/>
  </w:num>
  <w:num w:numId="26">
    <w:abstractNumId w:val="35"/>
  </w:num>
  <w:num w:numId="27">
    <w:abstractNumId w:val="30"/>
  </w:num>
  <w:num w:numId="28">
    <w:abstractNumId w:val="19"/>
  </w:num>
  <w:num w:numId="29">
    <w:abstractNumId w:val="22"/>
  </w:num>
  <w:num w:numId="30">
    <w:abstractNumId w:val="28"/>
  </w:num>
  <w:num w:numId="31">
    <w:abstractNumId w:val="22"/>
    <w:lvlOverride w:ilvl="0">
      <w:lvl w:ilvl="0">
        <w:start w:val="1"/>
        <w:numFmt w:val="none"/>
        <w:lvlText w:val="7.1"/>
        <w:lvlJc w:val="left"/>
        <w:pPr>
          <w:tabs>
            <w:tab w:val="num" w:pos="360"/>
          </w:tabs>
          <w:ind w:left="360" w:hanging="360"/>
        </w:pPr>
        <w:rPr>
          <w:rFonts w:hint="default"/>
        </w:rPr>
      </w:lvl>
    </w:lvlOverride>
    <w:lvlOverride w:ilvl="1">
      <w:lvl w:ilvl="1">
        <w:start w:val="1"/>
        <w:numFmt w:val="decimal"/>
        <w:lvlText w:val=".%2."/>
        <w:lvlJc w:val="left"/>
        <w:pPr>
          <w:tabs>
            <w:tab w:val="num" w:pos="0"/>
          </w:tabs>
          <w:ind w:left="792" w:hanging="432"/>
        </w:pPr>
        <w:rPr>
          <w:rFonts w:hint="default"/>
        </w:rPr>
      </w:lvl>
    </w:lvlOverride>
    <w:lvlOverride w:ilvl="2">
      <w:lvl w:ilvl="2">
        <w:start w:val="1"/>
        <w:numFmt w:val="decimal"/>
        <w:lvlText w:val=".%2.%3."/>
        <w:lvlJc w:val="left"/>
        <w:pPr>
          <w:tabs>
            <w:tab w:val="num" w:pos="0"/>
          </w:tabs>
          <w:ind w:left="1296" w:hanging="504"/>
        </w:pPr>
        <w:rPr>
          <w:rFonts w:hint="default"/>
        </w:rPr>
      </w:lvl>
    </w:lvlOverride>
    <w:lvlOverride w:ilvl="3">
      <w:lvl w:ilvl="3">
        <w:start w:val="1"/>
        <w:numFmt w:val="decimal"/>
        <w:lvlText w:val=".%2.%3.%4."/>
        <w:lvlJc w:val="left"/>
        <w:pPr>
          <w:tabs>
            <w:tab w:val="num" w:pos="0"/>
          </w:tabs>
          <w:ind w:left="1944" w:hanging="648"/>
        </w:pPr>
        <w:rPr>
          <w:rFonts w:hint="default"/>
        </w:rPr>
      </w:lvl>
    </w:lvlOverride>
    <w:lvlOverride w:ilvl="4">
      <w:lvl w:ilvl="4">
        <w:start w:val="1"/>
        <w:numFmt w:val="decimal"/>
        <w:lvlText w:val=".%2.%3.%4.%5."/>
        <w:lvlJc w:val="left"/>
        <w:pPr>
          <w:tabs>
            <w:tab w:val="num" w:pos="2736"/>
          </w:tabs>
          <w:ind w:left="2736" w:hanging="792"/>
        </w:pPr>
        <w:rPr>
          <w:rFonts w:hint="default"/>
        </w:rPr>
      </w:lvl>
    </w:lvlOverride>
    <w:lvlOverride w:ilvl="5">
      <w:lvl w:ilvl="5">
        <w:start w:val="1"/>
        <w:numFmt w:val="decimal"/>
        <w:lvlText w:val=".%2.%3.%4.%5.%6."/>
        <w:lvlJc w:val="left"/>
        <w:pPr>
          <w:tabs>
            <w:tab w:val="num" w:pos="0"/>
          </w:tabs>
          <w:ind w:left="3672" w:hanging="936"/>
        </w:pPr>
        <w:rPr>
          <w:rFonts w:hint="default"/>
        </w:rPr>
      </w:lvl>
    </w:lvlOverride>
    <w:lvlOverride w:ilvl="6">
      <w:lvl w:ilvl="6">
        <w:start w:val="1"/>
        <w:numFmt w:val="decimal"/>
        <w:lvlText w:val=".%2.%3.%4.%5.%6.%7."/>
        <w:lvlJc w:val="left"/>
        <w:pPr>
          <w:tabs>
            <w:tab w:val="num" w:pos="0"/>
          </w:tabs>
          <w:ind w:left="4752" w:hanging="1080"/>
        </w:pPr>
        <w:rPr>
          <w:rFonts w:hint="default"/>
        </w:rPr>
      </w:lvl>
    </w:lvlOverride>
    <w:lvlOverride w:ilvl="7">
      <w:lvl w:ilvl="7">
        <w:start w:val="1"/>
        <w:numFmt w:val="decimal"/>
        <w:lvlText w:val=".%2.%3.%4.%5.%6.%7.%8."/>
        <w:lvlJc w:val="left"/>
        <w:pPr>
          <w:tabs>
            <w:tab w:val="num" w:pos="0"/>
          </w:tabs>
          <w:ind w:left="5976" w:hanging="1224"/>
        </w:pPr>
        <w:rPr>
          <w:rFonts w:hint="default"/>
        </w:rPr>
      </w:lvl>
    </w:lvlOverride>
    <w:lvlOverride w:ilvl="8">
      <w:lvl w:ilvl="8">
        <w:start w:val="1"/>
        <w:numFmt w:val="decimal"/>
        <w:lvlText w:val=".%2.%3.%4.%5.%6.%7.%8.%9."/>
        <w:lvlJc w:val="left"/>
        <w:pPr>
          <w:tabs>
            <w:tab w:val="num" w:pos="0"/>
          </w:tabs>
          <w:ind w:left="7416" w:hanging="1440"/>
        </w:pPr>
        <w:rPr>
          <w:rFonts w:hint="default"/>
        </w:rPr>
      </w:lvl>
    </w:lvlOverride>
  </w:num>
  <w:num w:numId="32">
    <w:abstractNumId w:val="22"/>
    <w:lvlOverride w:ilvl="0">
      <w:lvl w:ilvl="0">
        <w:start w:val="1"/>
        <w:numFmt w:val="none"/>
        <w:lvlText w:val="7.2"/>
        <w:lvlJc w:val="left"/>
        <w:pPr>
          <w:tabs>
            <w:tab w:val="num" w:pos="360"/>
          </w:tabs>
          <w:ind w:left="360" w:hanging="360"/>
        </w:pPr>
        <w:rPr>
          <w:rFonts w:hint="default"/>
        </w:rPr>
      </w:lvl>
    </w:lvlOverride>
    <w:lvlOverride w:ilvl="1">
      <w:lvl w:ilvl="1">
        <w:start w:val="1"/>
        <w:numFmt w:val="decimal"/>
        <w:lvlText w:val=".%2."/>
        <w:lvlJc w:val="left"/>
        <w:pPr>
          <w:tabs>
            <w:tab w:val="num" w:pos="0"/>
          </w:tabs>
          <w:ind w:left="792" w:hanging="432"/>
        </w:pPr>
        <w:rPr>
          <w:rFonts w:hint="default"/>
        </w:rPr>
      </w:lvl>
    </w:lvlOverride>
    <w:lvlOverride w:ilvl="2">
      <w:lvl w:ilvl="2">
        <w:start w:val="1"/>
        <w:numFmt w:val="decimal"/>
        <w:lvlText w:val=".%2.%3."/>
        <w:lvlJc w:val="left"/>
        <w:pPr>
          <w:tabs>
            <w:tab w:val="num" w:pos="0"/>
          </w:tabs>
          <w:ind w:left="1296" w:hanging="504"/>
        </w:pPr>
        <w:rPr>
          <w:rFonts w:hint="default"/>
        </w:rPr>
      </w:lvl>
    </w:lvlOverride>
    <w:lvlOverride w:ilvl="3">
      <w:lvl w:ilvl="3">
        <w:start w:val="1"/>
        <w:numFmt w:val="decimal"/>
        <w:lvlText w:val=".%2.%3.%4."/>
        <w:lvlJc w:val="left"/>
        <w:pPr>
          <w:tabs>
            <w:tab w:val="num" w:pos="0"/>
          </w:tabs>
          <w:ind w:left="1944" w:hanging="648"/>
        </w:pPr>
        <w:rPr>
          <w:rFonts w:hint="default"/>
        </w:rPr>
      </w:lvl>
    </w:lvlOverride>
    <w:lvlOverride w:ilvl="4">
      <w:lvl w:ilvl="4">
        <w:start w:val="1"/>
        <w:numFmt w:val="decimal"/>
        <w:lvlText w:val=".%2.%3.%4.%5."/>
        <w:lvlJc w:val="left"/>
        <w:pPr>
          <w:tabs>
            <w:tab w:val="num" w:pos="0"/>
          </w:tabs>
          <w:ind w:left="2736" w:hanging="792"/>
        </w:pPr>
        <w:rPr>
          <w:rFonts w:hint="default"/>
        </w:rPr>
      </w:lvl>
    </w:lvlOverride>
    <w:lvlOverride w:ilvl="5">
      <w:lvl w:ilvl="5">
        <w:start w:val="1"/>
        <w:numFmt w:val="decimal"/>
        <w:lvlText w:val=".%2.%3.%4.%5.%6."/>
        <w:lvlJc w:val="left"/>
        <w:pPr>
          <w:tabs>
            <w:tab w:val="num" w:pos="0"/>
          </w:tabs>
          <w:ind w:left="3672" w:hanging="936"/>
        </w:pPr>
        <w:rPr>
          <w:rFonts w:hint="default"/>
        </w:rPr>
      </w:lvl>
    </w:lvlOverride>
    <w:lvlOverride w:ilvl="6">
      <w:lvl w:ilvl="6">
        <w:start w:val="1"/>
        <w:numFmt w:val="decimal"/>
        <w:lvlText w:val=".%2.%3.%4.%5.%6.%7."/>
        <w:lvlJc w:val="left"/>
        <w:pPr>
          <w:tabs>
            <w:tab w:val="num" w:pos="0"/>
          </w:tabs>
          <w:ind w:left="4752" w:hanging="1080"/>
        </w:pPr>
        <w:rPr>
          <w:rFonts w:hint="default"/>
        </w:rPr>
      </w:lvl>
    </w:lvlOverride>
    <w:lvlOverride w:ilvl="7">
      <w:lvl w:ilvl="7">
        <w:start w:val="1"/>
        <w:numFmt w:val="decimal"/>
        <w:lvlText w:val=".%2.%3.%4.%5.%6.%7.%8."/>
        <w:lvlJc w:val="left"/>
        <w:pPr>
          <w:tabs>
            <w:tab w:val="num" w:pos="0"/>
          </w:tabs>
          <w:ind w:left="5976" w:hanging="1224"/>
        </w:pPr>
        <w:rPr>
          <w:rFonts w:hint="default"/>
        </w:rPr>
      </w:lvl>
    </w:lvlOverride>
    <w:lvlOverride w:ilvl="8">
      <w:lvl w:ilvl="8">
        <w:start w:val="1"/>
        <w:numFmt w:val="decimal"/>
        <w:lvlText w:val=".%2.%3.%4.%5.%6.%7.%8.%9."/>
        <w:lvlJc w:val="left"/>
        <w:pPr>
          <w:tabs>
            <w:tab w:val="num" w:pos="0"/>
          </w:tabs>
          <w:ind w:left="7416" w:hanging="1440"/>
        </w:pPr>
        <w:rPr>
          <w:rFonts w:hint="default"/>
        </w:rPr>
      </w:lvl>
    </w:lvlOverride>
  </w:num>
  <w:num w:numId="33">
    <w:abstractNumId w:val="32"/>
  </w:num>
  <w:num w:numId="34">
    <w:abstractNumId w:val="6"/>
  </w:num>
  <w:num w:numId="35">
    <w:abstractNumId w:val="11"/>
  </w:num>
  <w:num w:numId="36">
    <w:abstractNumId w:val="26"/>
  </w:num>
  <w:num w:numId="37">
    <w:abstractNumId w:val="0"/>
  </w:num>
  <w:num w:numId="38">
    <w:abstractNumId w:val="3"/>
  </w:num>
  <w:num w:numId="39">
    <w:abstractNumId w:val="0"/>
  </w:num>
  <w:num w:numId="40">
    <w:abstractNumId w:val="4"/>
  </w:num>
  <w:num w:numId="41">
    <w:abstractNumId w:val="17"/>
  </w:num>
  <w:num w:numId="42">
    <w:abstractNumId w:val="2"/>
  </w:num>
  <w:num w:numId="43">
    <w:abstractNumId w:val="0"/>
  </w:num>
  <w:num w:numId="44">
    <w:abstractNumId w:val="0"/>
  </w:num>
  <w:num w:numId="45">
    <w:abstractNumId w:val="0"/>
  </w:num>
  <w:num w:numId="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23F"/>
    <w:rsid w:val="00000604"/>
    <w:rsid w:val="0000097C"/>
    <w:rsid w:val="00001113"/>
    <w:rsid w:val="0000158A"/>
    <w:rsid w:val="00002430"/>
    <w:rsid w:val="000033D8"/>
    <w:rsid w:val="000049FC"/>
    <w:rsid w:val="00005587"/>
    <w:rsid w:val="000056BE"/>
    <w:rsid w:val="00005779"/>
    <w:rsid w:val="00005B85"/>
    <w:rsid w:val="00007CF8"/>
    <w:rsid w:val="0001007C"/>
    <w:rsid w:val="00011917"/>
    <w:rsid w:val="000129C6"/>
    <w:rsid w:val="0001364E"/>
    <w:rsid w:val="00013C26"/>
    <w:rsid w:val="000152DB"/>
    <w:rsid w:val="00016B81"/>
    <w:rsid w:val="000172A5"/>
    <w:rsid w:val="000179CA"/>
    <w:rsid w:val="00020246"/>
    <w:rsid w:val="00022F7F"/>
    <w:rsid w:val="00025867"/>
    <w:rsid w:val="00027C21"/>
    <w:rsid w:val="00030111"/>
    <w:rsid w:val="000302AC"/>
    <w:rsid w:val="0003154A"/>
    <w:rsid w:val="00031DF1"/>
    <w:rsid w:val="000322BE"/>
    <w:rsid w:val="00032C55"/>
    <w:rsid w:val="00033973"/>
    <w:rsid w:val="00033C88"/>
    <w:rsid w:val="0003401D"/>
    <w:rsid w:val="00034073"/>
    <w:rsid w:val="00035929"/>
    <w:rsid w:val="000364FC"/>
    <w:rsid w:val="000372FE"/>
    <w:rsid w:val="00037C18"/>
    <w:rsid w:val="0004057D"/>
    <w:rsid w:val="000425C9"/>
    <w:rsid w:val="00042B78"/>
    <w:rsid w:val="000443FC"/>
    <w:rsid w:val="00046761"/>
    <w:rsid w:val="00046D65"/>
    <w:rsid w:val="000501C4"/>
    <w:rsid w:val="00050FC9"/>
    <w:rsid w:val="00050FE1"/>
    <w:rsid w:val="000525C1"/>
    <w:rsid w:val="00055648"/>
    <w:rsid w:val="00055BE8"/>
    <w:rsid w:val="000579DF"/>
    <w:rsid w:val="00060023"/>
    <w:rsid w:val="00060B26"/>
    <w:rsid w:val="0006203F"/>
    <w:rsid w:val="0006249F"/>
    <w:rsid w:val="000633BF"/>
    <w:rsid w:val="00063F6C"/>
    <w:rsid w:val="0006478D"/>
    <w:rsid w:val="000649B1"/>
    <w:rsid w:val="00065E52"/>
    <w:rsid w:val="0006617D"/>
    <w:rsid w:val="00066ED4"/>
    <w:rsid w:val="000671C5"/>
    <w:rsid w:val="0007081F"/>
    <w:rsid w:val="00071CAF"/>
    <w:rsid w:val="0007627C"/>
    <w:rsid w:val="00076362"/>
    <w:rsid w:val="000777D3"/>
    <w:rsid w:val="000812AE"/>
    <w:rsid w:val="0008152D"/>
    <w:rsid w:val="00081ACE"/>
    <w:rsid w:val="0008381B"/>
    <w:rsid w:val="00083A8C"/>
    <w:rsid w:val="00083B01"/>
    <w:rsid w:val="00083CEE"/>
    <w:rsid w:val="00085671"/>
    <w:rsid w:val="0008571F"/>
    <w:rsid w:val="00085B19"/>
    <w:rsid w:val="00087D28"/>
    <w:rsid w:val="00090588"/>
    <w:rsid w:val="00090762"/>
    <w:rsid w:val="00090C7E"/>
    <w:rsid w:val="00091001"/>
    <w:rsid w:val="00091A22"/>
    <w:rsid w:val="00091DB3"/>
    <w:rsid w:val="00092F73"/>
    <w:rsid w:val="00093B41"/>
    <w:rsid w:val="00094E96"/>
    <w:rsid w:val="00095F3F"/>
    <w:rsid w:val="000965EE"/>
    <w:rsid w:val="00096E90"/>
    <w:rsid w:val="00096EBC"/>
    <w:rsid w:val="000A117F"/>
    <w:rsid w:val="000A119F"/>
    <w:rsid w:val="000A2C1E"/>
    <w:rsid w:val="000A388B"/>
    <w:rsid w:val="000A3B05"/>
    <w:rsid w:val="000A4105"/>
    <w:rsid w:val="000A4779"/>
    <w:rsid w:val="000A7A0D"/>
    <w:rsid w:val="000A7B2B"/>
    <w:rsid w:val="000B2A41"/>
    <w:rsid w:val="000B2DD0"/>
    <w:rsid w:val="000B34CC"/>
    <w:rsid w:val="000B4158"/>
    <w:rsid w:val="000B529E"/>
    <w:rsid w:val="000B5B08"/>
    <w:rsid w:val="000B743D"/>
    <w:rsid w:val="000B7E2D"/>
    <w:rsid w:val="000C0689"/>
    <w:rsid w:val="000C0712"/>
    <w:rsid w:val="000C10BE"/>
    <w:rsid w:val="000C1391"/>
    <w:rsid w:val="000C24C6"/>
    <w:rsid w:val="000C3215"/>
    <w:rsid w:val="000C470E"/>
    <w:rsid w:val="000C5189"/>
    <w:rsid w:val="000C52BE"/>
    <w:rsid w:val="000C52C2"/>
    <w:rsid w:val="000C6071"/>
    <w:rsid w:val="000C723A"/>
    <w:rsid w:val="000D1A84"/>
    <w:rsid w:val="000D1E0C"/>
    <w:rsid w:val="000D2FFB"/>
    <w:rsid w:val="000D31D4"/>
    <w:rsid w:val="000D3BC6"/>
    <w:rsid w:val="000D4921"/>
    <w:rsid w:val="000D5EC7"/>
    <w:rsid w:val="000D68D0"/>
    <w:rsid w:val="000D6E71"/>
    <w:rsid w:val="000D72C4"/>
    <w:rsid w:val="000D736E"/>
    <w:rsid w:val="000E11DB"/>
    <w:rsid w:val="000E1933"/>
    <w:rsid w:val="000E19F2"/>
    <w:rsid w:val="000E1EEB"/>
    <w:rsid w:val="000E24F6"/>
    <w:rsid w:val="000E2510"/>
    <w:rsid w:val="000E378D"/>
    <w:rsid w:val="000E3F68"/>
    <w:rsid w:val="000E3FAF"/>
    <w:rsid w:val="000E59B4"/>
    <w:rsid w:val="000E605C"/>
    <w:rsid w:val="000E60C1"/>
    <w:rsid w:val="000E66A8"/>
    <w:rsid w:val="000E7336"/>
    <w:rsid w:val="000E76B1"/>
    <w:rsid w:val="000E7DFF"/>
    <w:rsid w:val="000F12FD"/>
    <w:rsid w:val="000F3284"/>
    <w:rsid w:val="000F4719"/>
    <w:rsid w:val="000F472F"/>
    <w:rsid w:val="000F4CC4"/>
    <w:rsid w:val="000F4EEF"/>
    <w:rsid w:val="000F5E3D"/>
    <w:rsid w:val="000F6357"/>
    <w:rsid w:val="000F7164"/>
    <w:rsid w:val="0010031A"/>
    <w:rsid w:val="00100E56"/>
    <w:rsid w:val="001014AC"/>
    <w:rsid w:val="00102E1D"/>
    <w:rsid w:val="0010327D"/>
    <w:rsid w:val="001048D5"/>
    <w:rsid w:val="00104D33"/>
    <w:rsid w:val="00105880"/>
    <w:rsid w:val="00105B34"/>
    <w:rsid w:val="00107C6A"/>
    <w:rsid w:val="00110379"/>
    <w:rsid w:val="0011127D"/>
    <w:rsid w:val="0011170E"/>
    <w:rsid w:val="00112284"/>
    <w:rsid w:val="00117C81"/>
    <w:rsid w:val="00120812"/>
    <w:rsid w:val="00120E42"/>
    <w:rsid w:val="00120F3F"/>
    <w:rsid w:val="00121059"/>
    <w:rsid w:val="00121110"/>
    <w:rsid w:val="001236F5"/>
    <w:rsid w:val="00124DCA"/>
    <w:rsid w:val="00124EF9"/>
    <w:rsid w:val="00130F64"/>
    <w:rsid w:val="00131D5D"/>
    <w:rsid w:val="0013316C"/>
    <w:rsid w:val="001331C6"/>
    <w:rsid w:val="00133CD3"/>
    <w:rsid w:val="00134B9F"/>
    <w:rsid w:val="00137B9F"/>
    <w:rsid w:val="001401E4"/>
    <w:rsid w:val="001408BF"/>
    <w:rsid w:val="00140D06"/>
    <w:rsid w:val="001435A7"/>
    <w:rsid w:val="00143A7E"/>
    <w:rsid w:val="00144992"/>
    <w:rsid w:val="00144A14"/>
    <w:rsid w:val="00145412"/>
    <w:rsid w:val="00145D21"/>
    <w:rsid w:val="00145D78"/>
    <w:rsid w:val="0014608E"/>
    <w:rsid w:val="00146780"/>
    <w:rsid w:val="00150502"/>
    <w:rsid w:val="0015108F"/>
    <w:rsid w:val="001528C6"/>
    <w:rsid w:val="00152F2C"/>
    <w:rsid w:val="0015357A"/>
    <w:rsid w:val="001539F2"/>
    <w:rsid w:val="00155519"/>
    <w:rsid w:val="001556B1"/>
    <w:rsid w:val="00155B63"/>
    <w:rsid w:val="001560DF"/>
    <w:rsid w:val="00156250"/>
    <w:rsid w:val="00157C0F"/>
    <w:rsid w:val="00161607"/>
    <w:rsid w:val="0016163C"/>
    <w:rsid w:val="00161F01"/>
    <w:rsid w:val="0016298D"/>
    <w:rsid w:val="00163973"/>
    <w:rsid w:val="001642D1"/>
    <w:rsid w:val="00166455"/>
    <w:rsid w:val="00167369"/>
    <w:rsid w:val="0016791F"/>
    <w:rsid w:val="001679E9"/>
    <w:rsid w:val="0017152C"/>
    <w:rsid w:val="001737DF"/>
    <w:rsid w:val="00174D15"/>
    <w:rsid w:val="0017552E"/>
    <w:rsid w:val="00176090"/>
    <w:rsid w:val="001762CE"/>
    <w:rsid w:val="0017632B"/>
    <w:rsid w:val="001771A3"/>
    <w:rsid w:val="001816AF"/>
    <w:rsid w:val="00182AA1"/>
    <w:rsid w:val="001836E2"/>
    <w:rsid w:val="001852A1"/>
    <w:rsid w:val="00186BFC"/>
    <w:rsid w:val="00190110"/>
    <w:rsid w:val="001913CE"/>
    <w:rsid w:val="001921C2"/>
    <w:rsid w:val="001938C8"/>
    <w:rsid w:val="001940FE"/>
    <w:rsid w:val="00194992"/>
    <w:rsid w:val="00196BFB"/>
    <w:rsid w:val="001A08C4"/>
    <w:rsid w:val="001A11AA"/>
    <w:rsid w:val="001A1ABA"/>
    <w:rsid w:val="001A28BC"/>
    <w:rsid w:val="001A295D"/>
    <w:rsid w:val="001A3361"/>
    <w:rsid w:val="001A382B"/>
    <w:rsid w:val="001A4E67"/>
    <w:rsid w:val="001A6607"/>
    <w:rsid w:val="001A7C70"/>
    <w:rsid w:val="001A7E9A"/>
    <w:rsid w:val="001B0A7F"/>
    <w:rsid w:val="001B223E"/>
    <w:rsid w:val="001B2693"/>
    <w:rsid w:val="001B3173"/>
    <w:rsid w:val="001B3E6A"/>
    <w:rsid w:val="001B48DE"/>
    <w:rsid w:val="001B4BE0"/>
    <w:rsid w:val="001B4DEA"/>
    <w:rsid w:val="001B594F"/>
    <w:rsid w:val="001B6258"/>
    <w:rsid w:val="001B64CE"/>
    <w:rsid w:val="001B6B08"/>
    <w:rsid w:val="001B6D2C"/>
    <w:rsid w:val="001B7169"/>
    <w:rsid w:val="001B7395"/>
    <w:rsid w:val="001B73E5"/>
    <w:rsid w:val="001C0059"/>
    <w:rsid w:val="001C0E70"/>
    <w:rsid w:val="001C1234"/>
    <w:rsid w:val="001C1C73"/>
    <w:rsid w:val="001C2518"/>
    <w:rsid w:val="001C255E"/>
    <w:rsid w:val="001C26E3"/>
    <w:rsid w:val="001C284E"/>
    <w:rsid w:val="001C459B"/>
    <w:rsid w:val="001C7DAC"/>
    <w:rsid w:val="001D1A78"/>
    <w:rsid w:val="001D2D93"/>
    <w:rsid w:val="001D32A6"/>
    <w:rsid w:val="001D334E"/>
    <w:rsid w:val="001D52A2"/>
    <w:rsid w:val="001D7157"/>
    <w:rsid w:val="001D7F84"/>
    <w:rsid w:val="001E0DCA"/>
    <w:rsid w:val="001E26CA"/>
    <w:rsid w:val="001E4652"/>
    <w:rsid w:val="001E6DA9"/>
    <w:rsid w:val="001E7317"/>
    <w:rsid w:val="001F01DD"/>
    <w:rsid w:val="001F031F"/>
    <w:rsid w:val="001F0526"/>
    <w:rsid w:val="001F0BFE"/>
    <w:rsid w:val="001F1AA9"/>
    <w:rsid w:val="001F1F29"/>
    <w:rsid w:val="001F21BE"/>
    <w:rsid w:val="001F3655"/>
    <w:rsid w:val="001F4B82"/>
    <w:rsid w:val="001F6825"/>
    <w:rsid w:val="001F6FF2"/>
    <w:rsid w:val="001F764A"/>
    <w:rsid w:val="001F7A39"/>
    <w:rsid w:val="00200723"/>
    <w:rsid w:val="0020323C"/>
    <w:rsid w:val="002057DA"/>
    <w:rsid w:val="00206F72"/>
    <w:rsid w:val="00207157"/>
    <w:rsid w:val="002072FA"/>
    <w:rsid w:val="00207FBE"/>
    <w:rsid w:val="00210B25"/>
    <w:rsid w:val="002111C3"/>
    <w:rsid w:val="00212DF9"/>
    <w:rsid w:val="00213220"/>
    <w:rsid w:val="00213305"/>
    <w:rsid w:val="002136DE"/>
    <w:rsid w:val="0021385B"/>
    <w:rsid w:val="0021513B"/>
    <w:rsid w:val="00216773"/>
    <w:rsid w:val="00221323"/>
    <w:rsid w:val="002214F7"/>
    <w:rsid w:val="0022230B"/>
    <w:rsid w:val="002233E1"/>
    <w:rsid w:val="00223D5C"/>
    <w:rsid w:val="00223FCA"/>
    <w:rsid w:val="002247F9"/>
    <w:rsid w:val="0022509A"/>
    <w:rsid w:val="002254EE"/>
    <w:rsid w:val="00225CC9"/>
    <w:rsid w:val="00230E97"/>
    <w:rsid w:val="00231000"/>
    <w:rsid w:val="00231ABC"/>
    <w:rsid w:val="00232628"/>
    <w:rsid w:val="00232D3E"/>
    <w:rsid w:val="0023313D"/>
    <w:rsid w:val="0023326D"/>
    <w:rsid w:val="0023407F"/>
    <w:rsid w:val="00234199"/>
    <w:rsid w:val="002357C0"/>
    <w:rsid w:val="00237082"/>
    <w:rsid w:val="00237C7F"/>
    <w:rsid w:val="002414AD"/>
    <w:rsid w:val="00241519"/>
    <w:rsid w:val="00242B71"/>
    <w:rsid w:val="002439BC"/>
    <w:rsid w:val="00243E02"/>
    <w:rsid w:val="0024624E"/>
    <w:rsid w:val="0024669E"/>
    <w:rsid w:val="0025042F"/>
    <w:rsid w:val="00252221"/>
    <w:rsid w:val="00252718"/>
    <w:rsid w:val="00253257"/>
    <w:rsid w:val="002532D8"/>
    <w:rsid w:val="00254E23"/>
    <w:rsid w:val="00255D13"/>
    <w:rsid w:val="00255EF2"/>
    <w:rsid w:val="00261786"/>
    <w:rsid w:val="00262A85"/>
    <w:rsid w:val="00262D27"/>
    <w:rsid w:val="00263152"/>
    <w:rsid w:val="00263353"/>
    <w:rsid w:val="002642BF"/>
    <w:rsid w:val="00264A95"/>
    <w:rsid w:val="00267415"/>
    <w:rsid w:val="00270300"/>
    <w:rsid w:val="0027253D"/>
    <w:rsid w:val="00272A24"/>
    <w:rsid w:val="00274817"/>
    <w:rsid w:val="00274AE7"/>
    <w:rsid w:val="00275304"/>
    <w:rsid w:val="002755C0"/>
    <w:rsid w:val="00275C39"/>
    <w:rsid w:val="00277512"/>
    <w:rsid w:val="0027786C"/>
    <w:rsid w:val="00277D10"/>
    <w:rsid w:val="00280B34"/>
    <w:rsid w:val="00280D9A"/>
    <w:rsid w:val="00281F74"/>
    <w:rsid w:val="002821FB"/>
    <w:rsid w:val="00282D5C"/>
    <w:rsid w:val="00283065"/>
    <w:rsid w:val="002848E0"/>
    <w:rsid w:val="00285300"/>
    <w:rsid w:val="002855C4"/>
    <w:rsid w:val="00285ADE"/>
    <w:rsid w:val="002874F5"/>
    <w:rsid w:val="00291445"/>
    <w:rsid w:val="00291BDA"/>
    <w:rsid w:val="002929C9"/>
    <w:rsid w:val="002929E9"/>
    <w:rsid w:val="00295396"/>
    <w:rsid w:val="00297E35"/>
    <w:rsid w:val="002A07DF"/>
    <w:rsid w:val="002A4114"/>
    <w:rsid w:val="002A5A0F"/>
    <w:rsid w:val="002A5CC2"/>
    <w:rsid w:val="002A60F7"/>
    <w:rsid w:val="002A722F"/>
    <w:rsid w:val="002A7242"/>
    <w:rsid w:val="002A7EB7"/>
    <w:rsid w:val="002B004D"/>
    <w:rsid w:val="002B0571"/>
    <w:rsid w:val="002B2767"/>
    <w:rsid w:val="002B2999"/>
    <w:rsid w:val="002B3988"/>
    <w:rsid w:val="002B3CBE"/>
    <w:rsid w:val="002B430E"/>
    <w:rsid w:val="002B44AD"/>
    <w:rsid w:val="002B5725"/>
    <w:rsid w:val="002B65A6"/>
    <w:rsid w:val="002B7CDC"/>
    <w:rsid w:val="002B7DFD"/>
    <w:rsid w:val="002C01B6"/>
    <w:rsid w:val="002C257B"/>
    <w:rsid w:val="002C3169"/>
    <w:rsid w:val="002C4CB9"/>
    <w:rsid w:val="002C54A6"/>
    <w:rsid w:val="002C66CD"/>
    <w:rsid w:val="002C6AE9"/>
    <w:rsid w:val="002C7113"/>
    <w:rsid w:val="002D04F4"/>
    <w:rsid w:val="002D2CAE"/>
    <w:rsid w:val="002D413F"/>
    <w:rsid w:val="002D4154"/>
    <w:rsid w:val="002D472B"/>
    <w:rsid w:val="002D5DC3"/>
    <w:rsid w:val="002E141A"/>
    <w:rsid w:val="002E2D89"/>
    <w:rsid w:val="002E34B4"/>
    <w:rsid w:val="002E36F4"/>
    <w:rsid w:val="002E3B91"/>
    <w:rsid w:val="002E51EB"/>
    <w:rsid w:val="002E64EC"/>
    <w:rsid w:val="002E6889"/>
    <w:rsid w:val="002E74D7"/>
    <w:rsid w:val="002E7862"/>
    <w:rsid w:val="002F0562"/>
    <w:rsid w:val="002F0B60"/>
    <w:rsid w:val="002F2F75"/>
    <w:rsid w:val="002F5253"/>
    <w:rsid w:val="002F623C"/>
    <w:rsid w:val="00300B2E"/>
    <w:rsid w:val="00300E8D"/>
    <w:rsid w:val="00300EA2"/>
    <w:rsid w:val="0030121C"/>
    <w:rsid w:val="00301FAD"/>
    <w:rsid w:val="00303AB4"/>
    <w:rsid w:val="00303AE4"/>
    <w:rsid w:val="00304660"/>
    <w:rsid w:val="003101BC"/>
    <w:rsid w:val="003102D7"/>
    <w:rsid w:val="003105E5"/>
    <w:rsid w:val="00310C5C"/>
    <w:rsid w:val="003110A6"/>
    <w:rsid w:val="0031269B"/>
    <w:rsid w:val="003130CC"/>
    <w:rsid w:val="0031455A"/>
    <w:rsid w:val="00315B15"/>
    <w:rsid w:val="00315E58"/>
    <w:rsid w:val="00316047"/>
    <w:rsid w:val="00316E7C"/>
    <w:rsid w:val="00320FBE"/>
    <w:rsid w:val="00321204"/>
    <w:rsid w:val="003212E4"/>
    <w:rsid w:val="003213AC"/>
    <w:rsid w:val="00322D6D"/>
    <w:rsid w:val="00322E36"/>
    <w:rsid w:val="0032362F"/>
    <w:rsid w:val="00324E33"/>
    <w:rsid w:val="003264B7"/>
    <w:rsid w:val="00326B0E"/>
    <w:rsid w:val="00327E83"/>
    <w:rsid w:val="003301AC"/>
    <w:rsid w:val="00330787"/>
    <w:rsid w:val="00330CE3"/>
    <w:rsid w:val="00331594"/>
    <w:rsid w:val="003324B1"/>
    <w:rsid w:val="00332FAF"/>
    <w:rsid w:val="00333A62"/>
    <w:rsid w:val="003353DD"/>
    <w:rsid w:val="003363C0"/>
    <w:rsid w:val="00337E52"/>
    <w:rsid w:val="003400E0"/>
    <w:rsid w:val="003403AF"/>
    <w:rsid w:val="0034189E"/>
    <w:rsid w:val="00343C07"/>
    <w:rsid w:val="00344957"/>
    <w:rsid w:val="00346288"/>
    <w:rsid w:val="00347892"/>
    <w:rsid w:val="00350A5E"/>
    <w:rsid w:val="0035253B"/>
    <w:rsid w:val="003548AD"/>
    <w:rsid w:val="00357A16"/>
    <w:rsid w:val="00357A26"/>
    <w:rsid w:val="00360526"/>
    <w:rsid w:val="00361D08"/>
    <w:rsid w:val="003623CC"/>
    <w:rsid w:val="00362E47"/>
    <w:rsid w:val="00363E3C"/>
    <w:rsid w:val="00365447"/>
    <w:rsid w:val="00367A0F"/>
    <w:rsid w:val="003702EE"/>
    <w:rsid w:val="0037160C"/>
    <w:rsid w:val="00372D1B"/>
    <w:rsid w:val="003744B2"/>
    <w:rsid w:val="00374A55"/>
    <w:rsid w:val="003764A4"/>
    <w:rsid w:val="00376800"/>
    <w:rsid w:val="003811A2"/>
    <w:rsid w:val="00381DA6"/>
    <w:rsid w:val="00382E12"/>
    <w:rsid w:val="003850F8"/>
    <w:rsid w:val="00385B61"/>
    <w:rsid w:val="00386418"/>
    <w:rsid w:val="0038718C"/>
    <w:rsid w:val="003874AF"/>
    <w:rsid w:val="00387657"/>
    <w:rsid w:val="00390C92"/>
    <w:rsid w:val="00392657"/>
    <w:rsid w:val="00392ACA"/>
    <w:rsid w:val="003933C3"/>
    <w:rsid w:val="00394C1C"/>
    <w:rsid w:val="00394D68"/>
    <w:rsid w:val="00395251"/>
    <w:rsid w:val="0039560E"/>
    <w:rsid w:val="00396AF3"/>
    <w:rsid w:val="003A4412"/>
    <w:rsid w:val="003A459C"/>
    <w:rsid w:val="003A4891"/>
    <w:rsid w:val="003B0B43"/>
    <w:rsid w:val="003B17A5"/>
    <w:rsid w:val="003B5252"/>
    <w:rsid w:val="003B55C6"/>
    <w:rsid w:val="003B590C"/>
    <w:rsid w:val="003B7455"/>
    <w:rsid w:val="003B77DB"/>
    <w:rsid w:val="003B794E"/>
    <w:rsid w:val="003C059D"/>
    <w:rsid w:val="003C2314"/>
    <w:rsid w:val="003C2681"/>
    <w:rsid w:val="003C5117"/>
    <w:rsid w:val="003C51C2"/>
    <w:rsid w:val="003C723F"/>
    <w:rsid w:val="003C79F4"/>
    <w:rsid w:val="003D02EF"/>
    <w:rsid w:val="003D160C"/>
    <w:rsid w:val="003D329F"/>
    <w:rsid w:val="003D3D8B"/>
    <w:rsid w:val="003D4B14"/>
    <w:rsid w:val="003D4C4F"/>
    <w:rsid w:val="003D605C"/>
    <w:rsid w:val="003D6943"/>
    <w:rsid w:val="003D7309"/>
    <w:rsid w:val="003E0261"/>
    <w:rsid w:val="003E0413"/>
    <w:rsid w:val="003E14CC"/>
    <w:rsid w:val="003E1FA0"/>
    <w:rsid w:val="003E2A82"/>
    <w:rsid w:val="003E39AE"/>
    <w:rsid w:val="003E4D0E"/>
    <w:rsid w:val="003E4EBF"/>
    <w:rsid w:val="003E647F"/>
    <w:rsid w:val="003E7B80"/>
    <w:rsid w:val="003F0608"/>
    <w:rsid w:val="003F2623"/>
    <w:rsid w:val="003F2806"/>
    <w:rsid w:val="003F2DA3"/>
    <w:rsid w:val="003F3560"/>
    <w:rsid w:val="003F35CD"/>
    <w:rsid w:val="003F42A0"/>
    <w:rsid w:val="003F4AB8"/>
    <w:rsid w:val="003F5576"/>
    <w:rsid w:val="0040053F"/>
    <w:rsid w:val="00400718"/>
    <w:rsid w:val="0040135C"/>
    <w:rsid w:val="00402957"/>
    <w:rsid w:val="00403E35"/>
    <w:rsid w:val="00405949"/>
    <w:rsid w:val="004067C5"/>
    <w:rsid w:val="00407CBF"/>
    <w:rsid w:val="00410A90"/>
    <w:rsid w:val="004114CD"/>
    <w:rsid w:val="00412734"/>
    <w:rsid w:val="00413E4C"/>
    <w:rsid w:val="004142BE"/>
    <w:rsid w:val="00415CE5"/>
    <w:rsid w:val="00416373"/>
    <w:rsid w:val="004167BD"/>
    <w:rsid w:val="00416A91"/>
    <w:rsid w:val="00417D30"/>
    <w:rsid w:val="0042075B"/>
    <w:rsid w:val="00421026"/>
    <w:rsid w:val="00421308"/>
    <w:rsid w:val="00421E56"/>
    <w:rsid w:val="00422CF2"/>
    <w:rsid w:val="00423763"/>
    <w:rsid w:val="00424512"/>
    <w:rsid w:val="004253EE"/>
    <w:rsid w:val="00425526"/>
    <w:rsid w:val="00427684"/>
    <w:rsid w:val="00427BC7"/>
    <w:rsid w:val="004339E6"/>
    <w:rsid w:val="00434582"/>
    <w:rsid w:val="00434F41"/>
    <w:rsid w:val="00436511"/>
    <w:rsid w:val="00436E35"/>
    <w:rsid w:val="0043748B"/>
    <w:rsid w:val="00437D5C"/>
    <w:rsid w:val="00441286"/>
    <w:rsid w:val="00443C30"/>
    <w:rsid w:val="0044504D"/>
    <w:rsid w:val="004451FF"/>
    <w:rsid w:val="00445643"/>
    <w:rsid w:val="00445837"/>
    <w:rsid w:val="004472A3"/>
    <w:rsid w:val="004472D3"/>
    <w:rsid w:val="00447396"/>
    <w:rsid w:val="00447B69"/>
    <w:rsid w:val="00447C0C"/>
    <w:rsid w:val="0045016D"/>
    <w:rsid w:val="00450273"/>
    <w:rsid w:val="0045114B"/>
    <w:rsid w:val="004526E5"/>
    <w:rsid w:val="00453F09"/>
    <w:rsid w:val="00455031"/>
    <w:rsid w:val="004558FE"/>
    <w:rsid w:val="00455B39"/>
    <w:rsid w:val="00457118"/>
    <w:rsid w:val="004572BC"/>
    <w:rsid w:val="00457351"/>
    <w:rsid w:val="00457DB4"/>
    <w:rsid w:val="004610B8"/>
    <w:rsid w:val="004619EC"/>
    <w:rsid w:val="00462086"/>
    <w:rsid w:val="004622F9"/>
    <w:rsid w:val="00462376"/>
    <w:rsid w:val="00462F52"/>
    <w:rsid w:val="0046308D"/>
    <w:rsid w:val="0046443C"/>
    <w:rsid w:val="004646FE"/>
    <w:rsid w:val="00464D2D"/>
    <w:rsid w:val="0046689C"/>
    <w:rsid w:val="00466B13"/>
    <w:rsid w:val="00467F20"/>
    <w:rsid w:val="00471702"/>
    <w:rsid w:val="00472457"/>
    <w:rsid w:val="004729B3"/>
    <w:rsid w:val="00472FCC"/>
    <w:rsid w:val="0047372D"/>
    <w:rsid w:val="00474594"/>
    <w:rsid w:val="00474EC1"/>
    <w:rsid w:val="004759E5"/>
    <w:rsid w:val="004773A1"/>
    <w:rsid w:val="004773A8"/>
    <w:rsid w:val="00480430"/>
    <w:rsid w:val="00483433"/>
    <w:rsid w:val="00483C03"/>
    <w:rsid w:val="00484314"/>
    <w:rsid w:val="00486007"/>
    <w:rsid w:val="004860E5"/>
    <w:rsid w:val="00486122"/>
    <w:rsid w:val="00486BC2"/>
    <w:rsid w:val="00487810"/>
    <w:rsid w:val="00487DA6"/>
    <w:rsid w:val="004936CF"/>
    <w:rsid w:val="004975AB"/>
    <w:rsid w:val="00497CB7"/>
    <w:rsid w:val="00497DE0"/>
    <w:rsid w:val="004A097C"/>
    <w:rsid w:val="004A1B18"/>
    <w:rsid w:val="004A2C63"/>
    <w:rsid w:val="004A4691"/>
    <w:rsid w:val="004A4D3D"/>
    <w:rsid w:val="004A5184"/>
    <w:rsid w:val="004A67DD"/>
    <w:rsid w:val="004A6F93"/>
    <w:rsid w:val="004A73CF"/>
    <w:rsid w:val="004A7D28"/>
    <w:rsid w:val="004A7E19"/>
    <w:rsid w:val="004B07D2"/>
    <w:rsid w:val="004B0D87"/>
    <w:rsid w:val="004B0F33"/>
    <w:rsid w:val="004B224A"/>
    <w:rsid w:val="004B2E18"/>
    <w:rsid w:val="004B4803"/>
    <w:rsid w:val="004B4EFE"/>
    <w:rsid w:val="004B57CA"/>
    <w:rsid w:val="004B69D2"/>
    <w:rsid w:val="004B718B"/>
    <w:rsid w:val="004C04A6"/>
    <w:rsid w:val="004C0BA7"/>
    <w:rsid w:val="004C0DE1"/>
    <w:rsid w:val="004C1D8F"/>
    <w:rsid w:val="004C2AD8"/>
    <w:rsid w:val="004C5E48"/>
    <w:rsid w:val="004C74CB"/>
    <w:rsid w:val="004C7E92"/>
    <w:rsid w:val="004D101B"/>
    <w:rsid w:val="004D1206"/>
    <w:rsid w:val="004D22CA"/>
    <w:rsid w:val="004D2472"/>
    <w:rsid w:val="004D28E8"/>
    <w:rsid w:val="004D3040"/>
    <w:rsid w:val="004D6267"/>
    <w:rsid w:val="004D6701"/>
    <w:rsid w:val="004D763B"/>
    <w:rsid w:val="004D7BE8"/>
    <w:rsid w:val="004E020B"/>
    <w:rsid w:val="004E1D8F"/>
    <w:rsid w:val="004E2671"/>
    <w:rsid w:val="004E3F8C"/>
    <w:rsid w:val="004E48C8"/>
    <w:rsid w:val="004E5D81"/>
    <w:rsid w:val="004E68E6"/>
    <w:rsid w:val="004F180D"/>
    <w:rsid w:val="004F1B15"/>
    <w:rsid w:val="004F293B"/>
    <w:rsid w:val="004F326D"/>
    <w:rsid w:val="004F43B8"/>
    <w:rsid w:val="004F4732"/>
    <w:rsid w:val="004F48BC"/>
    <w:rsid w:val="004F59FE"/>
    <w:rsid w:val="004F5D03"/>
    <w:rsid w:val="004F6119"/>
    <w:rsid w:val="004F6248"/>
    <w:rsid w:val="004F69B7"/>
    <w:rsid w:val="004F6A90"/>
    <w:rsid w:val="004F6C37"/>
    <w:rsid w:val="004F7089"/>
    <w:rsid w:val="004F7CA9"/>
    <w:rsid w:val="005028AF"/>
    <w:rsid w:val="00502BA2"/>
    <w:rsid w:val="00503BDE"/>
    <w:rsid w:val="00503CFD"/>
    <w:rsid w:val="00503E1F"/>
    <w:rsid w:val="005041D2"/>
    <w:rsid w:val="00504919"/>
    <w:rsid w:val="00504DD0"/>
    <w:rsid w:val="00505104"/>
    <w:rsid w:val="00505A21"/>
    <w:rsid w:val="00506C0D"/>
    <w:rsid w:val="005079D4"/>
    <w:rsid w:val="005105B2"/>
    <w:rsid w:val="005107A4"/>
    <w:rsid w:val="005107E8"/>
    <w:rsid w:val="0051172C"/>
    <w:rsid w:val="00512180"/>
    <w:rsid w:val="00512F22"/>
    <w:rsid w:val="005140BF"/>
    <w:rsid w:val="005155AA"/>
    <w:rsid w:val="00516761"/>
    <w:rsid w:val="00516FA1"/>
    <w:rsid w:val="00517228"/>
    <w:rsid w:val="00517B7A"/>
    <w:rsid w:val="00521093"/>
    <w:rsid w:val="0052155F"/>
    <w:rsid w:val="00522238"/>
    <w:rsid w:val="00522765"/>
    <w:rsid w:val="00524388"/>
    <w:rsid w:val="00525570"/>
    <w:rsid w:val="0052561A"/>
    <w:rsid w:val="00525F69"/>
    <w:rsid w:val="00531369"/>
    <w:rsid w:val="00532196"/>
    <w:rsid w:val="0053320D"/>
    <w:rsid w:val="005335A1"/>
    <w:rsid w:val="005339BB"/>
    <w:rsid w:val="00533D3A"/>
    <w:rsid w:val="00535BFE"/>
    <w:rsid w:val="00536374"/>
    <w:rsid w:val="005368A5"/>
    <w:rsid w:val="00536F73"/>
    <w:rsid w:val="005401BA"/>
    <w:rsid w:val="005401FF"/>
    <w:rsid w:val="00540C6D"/>
    <w:rsid w:val="00540D5B"/>
    <w:rsid w:val="005418DF"/>
    <w:rsid w:val="00542952"/>
    <w:rsid w:val="00543313"/>
    <w:rsid w:val="00543356"/>
    <w:rsid w:val="0054341F"/>
    <w:rsid w:val="005434CF"/>
    <w:rsid w:val="00543812"/>
    <w:rsid w:val="005452F8"/>
    <w:rsid w:val="00545B39"/>
    <w:rsid w:val="00546CFE"/>
    <w:rsid w:val="005472AC"/>
    <w:rsid w:val="00550749"/>
    <w:rsid w:val="00550E23"/>
    <w:rsid w:val="005526EC"/>
    <w:rsid w:val="005529FC"/>
    <w:rsid w:val="00553F60"/>
    <w:rsid w:val="00554D05"/>
    <w:rsid w:val="00555F5C"/>
    <w:rsid w:val="00557210"/>
    <w:rsid w:val="00561724"/>
    <w:rsid w:val="00563587"/>
    <w:rsid w:val="00564A5C"/>
    <w:rsid w:val="00565A83"/>
    <w:rsid w:val="00566520"/>
    <w:rsid w:val="00570932"/>
    <w:rsid w:val="00570A21"/>
    <w:rsid w:val="00571F1C"/>
    <w:rsid w:val="00572A3F"/>
    <w:rsid w:val="00572D98"/>
    <w:rsid w:val="00572F88"/>
    <w:rsid w:val="00573307"/>
    <w:rsid w:val="00573FAA"/>
    <w:rsid w:val="00576308"/>
    <w:rsid w:val="00576896"/>
    <w:rsid w:val="0058172D"/>
    <w:rsid w:val="0058179E"/>
    <w:rsid w:val="00582B5C"/>
    <w:rsid w:val="00582E4B"/>
    <w:rsid w:val="00583235"/>
    <w:rsid w:val="00583A34"/>
    <w:rsid w:val="005847FF"/>
    <w:rsid w:val="005863FC"/>
    <w:rsid w:val="0058781E"/>
    <w:rsid w:val="00587A36"/>
    <w:rsid w:val="00593814"/>
    <w:rsid w:val="005947EE"/>
    <w:rsid w:val="00594CE3"/>
    <w:rsid w:val="00594D1F"/>
    <w:rsid w:val="00595733"/>
    <w:rsid w:val="00595A5D"/>
    <w:rsid w:val="00596124"/>
    <w:rsid w:val="005975BF"/>
    <w:rsid w:val="005A0132"/>
    <w:rsid w:val="005A114A"/>
    <w:rsid w:val="005A1601"/>
    <w:rsid w:val="005A2781"/>
    <w:rsid w:val="005A2BA9"/>
    <w:rsid w:val="005A5775"/>
    <w:rsid w:val="005A5F37"/>
    <w:rsid w:val="005A6F17"/>
    <w:rsid w:val="005B0421"/>
    <w:rsid w:val="005B075A"/>
    <w:rsid w:val="005B0ACE"/>
    <w:rsid w:val="005B1021"/>
    <w:rsid w:val="005B16D1"/>
    <w:rsid w:val="005B1937"/>
    <w:rsid w:val="005B264E"/>
    <w:rsid w:val="005B2871"/>
    <w:rsid w:val="005B305A"/>
    <w:rsid w:val="005B31C1"/>
    <w:rsid w:val="005B3A8E"/>
    <w:rsid w:val="005B520C"/>
    <w:rsid w:val="005B7383"/>
    <w:rsid w:val="005B7500"/>
    <w:rsid w:val="005C0C1C"/>
    <w:rsid w:val="005C0E3C"/>
    <w:rsid w:val="005C254E"/>
    <w:rsid w:val="005C32B9"/>
    <w:rsid w:val="005C6A2F"/>
    <w:rsid w:val="005D094B"/>
    <w:rsid w:val="005D2D8B"/>
    <w:rsid w:val="005D3485"/>
    <w:rsid w:val="005D66FC"/>
    <w:rsid w:val="005D6B91"/>
    <w:rsid w:val="005D7187"/>
    <w:rsid w:val="005D7ADF"/>
    <w:rsid w:val="005D7C0C"/>
    <w:rsid w:val="005E01E8"/>
    <w:rsid w:val="005E12F0"/>
    <w:rsid w:val="005E3AA8"/>
    <w:rsid w:val="005E3AE3"/>
    <w:rsid w:val="005F01BC"/>
    <w:rsid w:val="005F02C6"/>
    <w:rsid w:val="005F1381"/>
    <w:rsid w:val="005F2F11"/>
    <w:rsid w:val="005F3422"/>
    <w:rsid w:val="005F4854"/>
    <w:rsid w:val="005F5141"/>
    <w:rsid w:val="005F7463"/>
    <w:rsid w:val="005F7CA5"/>
    <w:rsid w:val="005F7DCF"/>
    <w:rsid w:val="006001FA"/>
    <w:rsid w:val="00601980"/>
    <w:rsid w:val="00602E18"/>
    <w:rsid w:val="00602F6D"/>
    <w:rsid w:val="00603090"/>
    <w:rsid w:val="00603F3C"/>
    <w:rsid w:val="00606377"/>
    <w:rsid w:val="006066B1"/>
    <w:rsid w:val="00606A8F"/>
    <w:rsid w:val="006113B7"/>
    <w:rsid w:val="006117E3"/>
    <w:rsid w:val="00612180"/>
    <w:rsid w:val="006122FA"/>
    <w:rsid w:val="006125A1"/>
    <w:rsid w:val="00613A59"/>
    <w:rsid w:val="00613F3D"/>
    <w:rsid w:val="006145C5"/>
    <w:rsid w:val="006146C7"/>
    <w:rsid w:val="00615152"/>
    <w:rsid w:val="00615452"/>
    <w:rsid w:val="00617550"/>
    <w:rsid w:val="00620EDC"/>
    <w:rsid w:val="00622B52"/>
    <w:rsid w:val="0062375D"/>
    <w:rsid w:val="00624500"/>
    <w:rsid w:val="00624F34"/>
    <w:rsid w:val="0062507A"/>
    <w:rsid w:val="006250CE"/>
    <w:rsid w:val="006251AE"/>
    <w:rsid w:val="006260A2"/>
    <w:rsid w:val="00626C9E"/>
    <w:rsid w:val="00630137"/>
    <w:rsid w:val="006305E3"/>
    <w:rsid w:val="00630F3F"/>
    <w:rsid w:val="00633368"/>
    <w:rsid w:val="00633E78"/>
    <w:rsid w:val="0063564D"/>
    <w:rsid w:val="00635E20"/>
    <w:rsid w:val="006376F6"/>
    <w:rsid w:val="0064195A"/>
    <w:rsid w:val="006428FD"/>
    <w:rsid w:val="00644243"/>
    <w:rsid w:val="006452EB"/>
    <w:rsid w:val="006462E7"/>
    <w:rsid w:val="0064661D"/>
    <w:rsid w:val="00646B16"/>
    <w:rsid w:val="00650A6A"/>
    <w:rsid w:val="0065127E"/>
    <w:rsid w:val="00653495"/>
    <w:rsid w:val="00654D35"/>
    <w:rsid w:val="00656C0A"/>
    <w:rsid w:val="006606F7"/>
    <w:rsid w:val="006612B4"/>
    <w:rsid w:val="00661A21"/>
    <w:rsid w:val="006627B2"/>
    <w:rsid w:val="00663BDF"/>
    <w:rsid w:val="00665818"/>
    <w:rsid w:val="00671DDB"/>
    <w:rsid w:val="00672A41"/>
    <w:rsid w:val="00672A8B"/>
    <w:rsid w:val="00673350"/>
    <w:rsid w:val="006742EF"/>
    <w:rsid w:val="00674E73"/>
    <w:rsid w:val="00676A9F"/>
    <w:rsid w:val="00680B4C"/>
    <w:rsid w:val="00682093"/>
    <w:rsid w:val="00684924"/>
    <w:rsid w:val="00684D1F"/>
    <w:rsid w:val="006859B1"/>
    <w:rsid w:val="00686F9E"/>
    <w:rsid w:val="0069124C"/>
    <w:rsid w:val="00691C82"/>
    <w:rsid w:val="0069425F"/>
    <w:rsid w:val="006942ED"/>
    <w:rsid w:val="00695242"/>
    <w:rsid w:val="00695C6C"/>
    <w:rsid w:val="00695D6A"/>
    <w:rsid w:val="00696930"/>
    <w:rsid w:val="006973E2"/>
    <w:rsid w:val="00697408"/>
    <w:rsid w:val="006A167C"/>
    <w:rsid w:val="006A1907"/>
    <w:rsid w:val="006A1E13"/>
    <w:rsid w:val="006A2C6B"/>
    <w:rsid w:val="006A2D6A"/>
    <w:rsid w:val="006A41AA"/>
    <w:rsid w:val="006A5CCB"/>
    <w:rsid w:val="006A6378"/>
    <w:rsid w:val="006A7197"/>
    <w:rsid w:val="006A7447"/>
    <w:rsid w:val="006A7E69"/>
    <w:rsid w:val="006B10D1"/>
    <w:rsid w:val="006B26D8"/>
    <w:rsid w:val="006B3448"/>
    <w:rsid w:val="006B35C0"/>
    <w:rsid w:val="006B402A"/>
    <w:rsid w:val="006B559D"/>
    <w:rsid w:val="006B61C4"/>
    <w:rsid w:val="006B6B88"/>
    <w:rsid w:val="006B6C22"/>
    <w:rsid w:val="006C1B32"/>
    <w:rsid w:val="006C21F3"/>
    <w:rsid w:val="006C309B"/>
    <w:rsid w:val="006C3CF4"/>
    <w:rsid w:val="006C496E"/>
    <w:rsid w:val="006C594B"/>
    <w:rsid w:val="006C5D04"/>
    <w:rsid w:val="006C64BE"/>
    <w:rsid w:val="006C753E"/>
    <w:rsid w:val="006C77D7"/>
    <w:rsid w:val="006C7F9E"/>
    <w:rsid w:val="006D02B3"/>
    <w:rsid w:val="006D16E6"/>
    <w:rsid w:val="006D42DF"/>
    <w:rsid w:val="006D4BC7"/>
    <w:rsid w:val="006D703C"/>
    <w:rsid w:val="006E02F7"/>
    <w:rsid w:val="006E14C6"/>
    <w:rsid w:val="006E33A3"/>
    <w:rsid w:val="006E5D43"/>
    <w:rsid w:val="006E651F"/>
    <w:rsid w:val="006E75BE"/>
    <w:rsid w:val="006F027D"/>
    <w:rsid w:val="006F1330"/>
    <w:rsid w:val="006F2C7C"/>
    <w:rsid w:val="006F5DC5"/>
    <w:rsid w:val="006F6193"/>
    <w:rsid w:val="006F623E"/>
    <w:rsid w:val="006F6CEB"/>
    <w:rsid w:val="006F761D"/>
    <w:rsid w:val="006F7FEA"/>
    <w:rsid w:val="00700BD2"/>
    <w:rsid w:val="007019D0"/>
    <w:rsid w:val="00701E1C"/>
    <w:rsid w:val="00702134"/>
    <w:rsid w:val="00703849"/>
    <w:rsid w:val="00703E57"/>
    <w:rsid w:val="0070445C"/>
    <w:rsid w:val="007052AC"/>
    <w:rsid w:val="0070668C"/>
    <w:rsid w:val="00706A57"/>
    <w:rsid w:val="00707B11"/>
    <w:rsid w:val="007101F2"/>
    <w:rsid w:val="00710233"/>
    <w:rsid w:val="007102D3"/>
    <w:rsid w:val="00711091"/>
    <w:rsid w:val="00711894"/>
    <w:rsid w:val="00712934"/>
    <w:rsid w:val="00713465"/>
    <w:rsid w:val="00713E60"/>
    <w:rsid w:val="007140B2"/>
    <w:rsid w:val="00714365"/>
    <w:rsid w:val="007143AE"/>
    <w:rsid w:val="00714A7A"/>
    <w:rsid w:val="00715AC0"/>
    <w:rsid w:val="007167BC"/>
    <w:rsid w:val="0071702F"/>
    <w:rsid w:val="007179C7"/>
    <w:rsid w:val="007212CD"/>
    <w:rsid w:val="00722127"/>
    <w:rsid w:val="00724713"/>
    <w:rsid w:val="0072566F"/>
    <w:rsid w:val="00726550"/>
    <w:rsid w:val="007278F7"/>
    <w:rsid w:val="0073072C"/>
    <w:rsid w:val="0073102F"/>
    <w:rsid w:val="00732151"/>
    <w:rsid w:val="0073349A"/>
    <w:rsid w:val="0073429A"/>
    <w:rsid w:val="00734F48"/>
    <w:rsid w:val="007355B2"/>
    <w:rsid w:val="00736475"/>
    <w:rsid w:val="00736FB5"/>
    <w:rsid w:val="00740792"/>
    <w:rsid w:val="00741A97"/>
    <w:rsid w:val="00743E62"/>
    <w:rsid w:val="007445F5"/>
    <w:rsid w:val="007450CD"/>
    <w:rsid w:val="007456C0"/>
    <w:rsid w:val="00750630"/>
    <w:rsid w:val="0075233F"/>
    <w:rsid w:val="00752669"/>
    <w:rsid w:val="007528E4"/>
    <w:rsid w:val="0075303F"/>
    <w:rsid w:val="007540C4"/>
    <w:rsid w:val="007563E6"/>
    <w:rsid w:val="00757E57"/>
    <w:rsid w:val="0076044C"/>
    <w:rsid w:val="00760886"/>
    <w:rsid w:val="00762399"/>
    <w:rsid w:val="00762B26"/>
    <w:rsid w:val="0076766E"/>
    <w:rsid w:val="0077005E"/>
    <w:rsid w:val="007702C1"/>
    <w:rsid w:val="007738C4"/>
    <w:rsid w:val="007739FF"/>
    <w:rsid w:val="00774F1B"/>
    <w:rsid w:val="0077668A"/>
    <w:rsid w:val="0077789C"/>
    <w:rsid w:val="00780ED3"/>
    <w:rsid w:val="007825F1"/>
    <w:rsid w:val="00782C67"/>
    <w:rsid w:val="007861BD"/>
    <w:rsid w:val="0078621E"/>
    <w:rsid w:val="00786A84"/>
    <w:rsid w:val="00786F35"/>
    <w:rsid w:val="007902B7"/>
    <w:rsid w:val="007917DB"/>
    <w:rsid w:val="00792344"/>
    <w:rsid w:val="007938D3"/>
    <w:rsid w:val="00793CA8"/>
    <w:rsid w:val="00795399"/>
    <w:rsid w:val="007956A0"/>
    <w:rsid w:val="00795793"/>
    <w:rsid w:val="007964FF"/>
    <w:rsid w:val="007968D6"/>
    <w:rsid w:val="00797450"/>
    <w:rsid w:val="007A0164"/>
    <w:rsid w:val="007A127E"/>
    <w:rsid w:val="007A2F7F"/>
    <w:rsid w:val="007A5230"/>
    <w:rsid w:val="007A6679"/>
    <w:rsid w:val="007A70E7"/>
    <w:rsid w:val="007A798C"/>
    <w:rsid w:val="007B2091"/>
    <w:rsid w:val="007B2259"/>
    <w:rsid w:val="007B2A85"/>
    <w:rsid w:val="007B2BE0"/>
    <w:rsid w:val="007B6E71"/>
    <w:rsid w:val="007C13C5"/>
    <w:rsid w:val="007C2386"/>
    <w:rsid w:val="007C3A8D"/>
    <w:rsid w:val="007C3E6C"/>
    <w:rsid w:val="007C6E22"/>
    <w:rsid w:val="007C7F20"/>
    <w:rsid w:val="007D049B"/>
    <w:rsid w:val="007D0EA9"/>
    <w:rsid w:val="007D27EE"/>
    <w:rsid w:val="007D33A3"/>
    <w:rsid w:val="007D4367"/>
    <w:rsid w:val="007D588E"/>
    <w:rsid w:val="007D6999"/>
    <w:rsid w:val="007D6D56"/>
    <w:rsid w:val="007E0049"/>
    <w:rsid w:val="007E0429"/>
    <w:rsid w:val="007E10D7"/>
    <w:rsid w:val="007E189E"/>
    <w:rsid w:val="007E3AEB"/>
    <w:rsid w:val="007E5B3C"/>
    <w:rsid w:val="007E7BA8"/>
    <w:rsid w:val="007F0176"/>
    <w:rsid w:val="007F1973"/>
    <w:rsid w:val="007F1B18"/>
    <w:rsid w:val="007F2220"/>
    <w:rsid w:val="007F3B4C"/>
    <w:rsid w:val="007F3D84"/>
    <w:rsid w:val="007F4230"/>
    <w:rsid w:val="007F517B"/>
    <w:rsid w:val="007F5B59"/>
    <w:rsid w:val="0080057B"/>
    <w:rsid w:val="008011CA"/>
    <w:rsid w:val="00803276"/>
    <w:rsid w:val="008047F6"/>
    <w:rsid w:val="00804B5D"/>
    <w:rsid w:val="00805093"/>
    <w:rsid w:val="00805466"/>
    <w:rsid w:val="0080570E"/>
    <w:rsid w:val="00805D49"/>
    <w:rsid w:val="0080663B"/>
    <w:rsid w:val="00806FD7"/>
    <w:rsid w:val="00807AB3"/>
    <w:rsid w:val="00810193"/>
    <w:rsid w:val="00810343"/>
    <w:rsid w:val="008115B0"/>
    <w:rsid w:val="00811E32"/>
    <w:rsid w:val="00811E5B"/>
    <w:rsid w:val="00812A86"/>
    <w:rsid w:val="008131EC"/>
    <w:rsid w:val="00814330"/>
    <w:rsid w:val="00814491"/>
    <w:rsid w:val="00816203"/>
    <w:rsid w:val="00816D89"/>
    <w:rsid w:val="008170A5"/>
    <w:rsid w:val="00817DB8"/>
    <w:rsid w:val="00820404"/>
    <w:rsid w:val="00820442"/>
    <w:rsid w:val="00820E78"/>
    <w:rsid w:val="00822027"/>
    <w:rsid w:val="00822279"/>
    <w:rsid w:val="00822EAB"/>
    <w:rsid w:val="00823921"/>
    <w:rsid w:val="00823DFF"/>
    <w:rsid w:val="00824FD6"/>
    <w:rsid w:val="00825B84"/>
    <w:rsid w:val="008262BA"/>
    <w:rsid w:val="00826A9B"/>
    <w:rsid w:val="00827855"/>
    <w:rsid w:val="00827CD0"/>
    <w:rsid w:val="0083095F"/>
    <w:rsid w:val="0083318B"/>
    <w:rsid w:val="0083377B"/>
    <w:rsid w:val="00834835"/>
    <w:rsid w:val="008348D4"/>
    <w:rsid w:val="008349C4"/>
    <w:rsid w:val="008356CA"/>
    <w:rsid w:val="00835AD3"/>
    <w:rsid w:val="0083673D"/>
    <w:rsid w:val="008375CE"/>
    <w:rsid w:val="00840EDA"/>
    <w:rsid w:val="00841CE6"/>
    <w:rsid w:val="0084206F"/>
    <w:rsid w:val="00842412"/>
    <w:rsid w:val="008438C3"/>
    <w:rsid w:val="00844308"/>
    <w:rsid w:val="008443AD"/>
    <w:rsid w:val="0084449E"/>
    <w:rsid w:val="00846431"/>
    <w:rsid w:val="0084687B"/>
    <w:rsid w:val="0084693A"/>
    <w:rsid w:val="00846B82"/>
    <w:rsid w:val="00846CDC"/>
    <w:rsid w:val="00846F6E"/>
    <w:rsid w:val="00850687"/>
    <w:rsid w:val="008521FA"/>
    <w:rsid w:val="008527B3"/>
    <w:rsid w:val="00853A07"/>
    <w:rsid w:val="00854064"/>
    <w:rsid w:val="0085488B"/>
    <w:rsid w:val="008548B5"/>
    <w:rsid w:val="00855A3F"/>
    <w:rsid w:val="00860237"/>
    <w:rsid w:val="0086078E"/>
    <w:rsid w:val="00860906"/>
    <w:rsid w:val="00860AF1"/>
    <w:rsid w:val="00860B21"/>
    <w:rsid w:val="00861404"/>
    <w:rsid w:val="00861B26"/>
    <w:rsid w:val="00861C8D"/>
    <w:rsid w:val="008625F0"/>
    <w:rsid w:val="008626BC"/>
    <w:rsid w:val="00862EAA"/>
    <w:rsid w:val="00862FDD"/>
    <w:rsid w:val="0086302F"/>
    <w:rsid w:val="0086316C"/>
    <w:rsid w:val="008642F3"/>
    <w:rsid w:val="0086537A"/>
    <w:rsid w:val="00866311"/>
    <w:rsid w:val="0086659E"/>
    <w:rsid w:val="00866DF5"/>
    <w:rsid w:val="008705B1"/>
    <w:rsid w:val="008713C8"/>
    <w:rsid w:val="00871705"/>
    <w:rsid w:val="00871CD7"/>
    <w:rsid w:val="0087306E"/>
    <w:rsid w:val="008733C8"/>
    <w:rsid w:val="00873BF8"/>
    <w:rsid w:val="00874585"/>
    <w:rsid w:val="00874843"/>
    <w:rsid w:val="00874CC6"/>
    <w:rsid w:val="00875ECB"/>
    <w:rsid w:val="00876B7C"/>
    <w:rsid w:val="0088179C"/>
    <w:rsid w:val="008818F2"/>
    <w:rsid w:val="00881C47"/>
    <w:rsid w:val="0088279C"/>
    <w:rsid w:val="00882FD0"/>
    <w:rsid w:val="00883721"/>
    <w:rsid w:val="00884335"/>
    <w:rsid w:val="00884B0E"/>
    <w:rsid w:val="008852BF"/>
    <w:rsid w:val="008856B2"/>
    <w:rsid w:val="00885705"/>
    <w:rsid w:val="008857F1"/>
    <w:rsid w:val="00885FDC"/>
    <w:rsid w:val="00886556"/>
    <w:rsid w:val="008875CF"/>
    <w:rsid w:val="00887885"/>
    <w:rsid w:val="00891098"/>
    <w:rsid w:val="00892333"/>
    <w:rsid w:val="0089236A"/>
    <w:rsid w:val="00893375"/>
    <w:rsid w:val="00894A0D"/>
    <w:rsid w:val="00894A7C"/>
    <w:rsid w:val="00895393"/>
    <w:rsid w:val="00895615"/>
    <w:rsid w:val="00895CB0"/>
    <w:rsid w:val="0089745C"/>
    <w:rsid w:val="008A241F"/>
    <w:rsid w:val="008A2860"/>
    <w:rsid w:val="008A4B16"/>
    <w:rsid w:val="008A4C29"/>
    <w:rsid w:val="008A52AE"/>
    <w:rsid w:val="008A5B6E"/>
    <w:rsid w:val="008A615E"/>
    <w:rsid w:val="008A6535"/>
    <w:rsid w:val="008A6B3A"/>
    <w:rsid w:val="008A7369"/>
    <w:rsid w:val="008A786D"/>
    <w:rsid w:val="008A7B9F"/>
    <w:rsid w:val="008B21FB"/>
    <w:rsid w:val="008B26AB"/>
    <w:rsid w:val="008B345D"/>
    <w:rsid w:val="008B3BCF"/>
    <w:rsid w:val="008B401E"/>
    <w:rsid w:val="008B44A8"/>
    <w:rsid w:val="008B48CA"/>
    <w:rsid w:val="008B4D91"/>
    <w:rsid w:val="008B5566"/>
    <w:rsid w:val="008B67E7"/>
    <w:rsid w:val="008B7923"/>
    <w:rsid w:val="008C02A3"/>
    <w:rsid w:val="008C030B"/>
    <w:rsid w:val="008C087C"/>
    <w:rsid w:val="008C1333"/>
    <w:rsid w:val="008C1968"/>
    <w:rsid w:val="008C1EB2"/>
    <w:rsid w:val="008C2540"/>
    <w:rsid w:val="008C2ABF"/>
    <w:rsid w:val="008C47D0"/>
    <w:rsid w:val="008C636B"/>
    <w:rsid w:val="008C63E0"/>
    <w:rsid w:val="008C68A1"/>
    <w:rsid w:val="008D10AB"/>
    <w:rsid w:val="008D10E0"/>
    <w:rsid w:val="008D16D9"/>
    <w:rsid w:val="008D1D19"/>
    <w:rsid w:val="008D1FD7"/>
    <w:rsid w:val="008D46E9"/>
    <w:rsid w:val="008D6233"/>
    <w:rsid w:val="008D7593"/>
    <w:rsid w:val="008D7623"/>
    <w:rsid w:val="008E0140"/>
    <w:rsid w:val="008E353C"/>
    <w:rsid w:val="008E55CD"/>
    <w:rsid w:val="008E5929"/>
    <w:rsid w:val="008E5FC4"/>
    <w:rsid w:val="008E601C"/>
    <w:rsid w:val="008F020B"/>
    <w:rsid w:val="008F10C0"/>
    <w:rsid w:val="008F1E99"/>
    <w:rsid w:val="008F219A"/>
    <w:rsid w:val="008F27D2"/>
    <w:rsid w:val="008F2BD0"/>
    <w:rsid w:val="008F321A"/>
    <w:rsid w:val="008F3695"/>
    <w:rsid w:val="008F61CA"/>
    <w:rsid w:val="008F6311"/>
    <w:rsid w:val="008F749E"/>
    <w:rsid w:val="008F782B"/>
    <w:rsid w:val="008F79EE"/>
    <w:rsid w:val="00900ACB"/>
    <w:rsid w:val="00900C63"/>
    <w:rsid w:val="009011F4"/>
    <w:rsid w:val="009017C0"/>
    <w:rsid w:val="0090274B"/>
    <w:rsid w:val="00902AEE"/>
    <w:rsid w:val="00903180"/>
    <w:rsid w:val="00903C70"/>
    <w:rsid w:val="009041FD"/>
    <w:rsid w:val="00904F08"/>
    <w:rsid w:val="00905475"/>
    <w:rsid w:val="009056EB"/>
    <w:rsid w:val="00910731"/>
    <w:rsid w:val="00910E46"/>
    <w:rsid w:val="009116E6"/>
    <w:rsid w:val="00911C00"/>
    <w:rsid w:val="00912581"/>
    <w:rsid w:val="00912EF7"/>
    <w:rsid w:val="009133D6"/>
    <w:rsid w:val="0091455B"/>
    <w:rsid w:val="0091496D"/>
    <w:rsid w:val="0091668C"/>
    <w:rsid w:val="00920669"/>
    <w:rsid w:val="0092072C"/>
    <w:rsid w:val="00921CDE"/>
    <w:rsid w:val="009225C8"/>
    <w:rsid w:val="00924B93"/>
    <w:rsid w:val="009251B3"/>
    <w:rsid w:val="0092530E"/>
    <w:rsid w:val="00927B16"/>
    <w:rsid w:val="00931869"/>
    <w:rsid w:val="00931B78"/>
    <w:rsid w:val="00932208"/>
    <w:rsid w:val="009337E7"/>
    <w:rsid w:val="0093423E"/>
    <w:rsid w:val="00934341"/>
    <w:rsid w:val="0094465D"/>
    <w:rsid w:val="00945314"/>
    <w:rsid w:val="00945CE0"/>
    <w:rsid w:val="009473B9"/>
    <w:rsid w:val="00947CA3"/>
    <w:rsid w:val="00950582"/>
    <w:rsid w:val="00950CB1"/>
    <w:rsid w:val="00951405"/>
    <w:rsid w:val="00952BF0"/>
    <w:rsid w:val="00953831"/>
    <w:rsid w:val="00953D04"/>
    <w:rsid w:val="00956AB5"/>
    <w:rsid w:val="0095733F"/>
    <w:rsid w:val="00957428"/>
    <w:rsid w:val="009611A8"/>
    <w:rsid w:val="00961947"/>
    <w:rsid w:val="0096288F"/>
    <w:rsid w:val="0096378A"/>
    <w:rsid w:val="00967638"/>
    <w:rsid w:val="00970FFD"/>
    <w:rsid w:val="00971962"/>
    <w:rsid w:val="00971C8D"/>
    <w:rsid w:val="00972145"/>
    <w:rsid w:val="00972400"/>
    <w:rsid w:val="009728A0"/>
    <w:rsid w:val="0097338C"/>
    <w:rsid w:val="009751BE"/>
    <w:rsid w:val="0097523D"/>
    <w:rsid w:val="00976E69"/>
    <w:rsid w:val="00976F50"/>
    <w:rsid w:val="00977949"/>
    <w:rsid w:val="0098029C"/>
    <w:rsid w:val="00981143"/>
    <w:rsid w:val="009813C2"/>
    <w:rsid w:val="009816B3"/>
    <w:rsid w:val="00982ACA"/>
    <w:rsid w:val="009851AF"/>
    <w:rsid w:val="009860D0"/>
    <w:rsid w:val="009869BC"/>
    <w:rsid w:val="00987472"/>
    <w:rsid w:val="00987B14"/>
    <w:rsid w:val="00987E85"/>
    <w:rsid w:val="00990133"/>
    <w:rsid w:val="00991647"/>
    <w:rsid w:val="0099255F"/>
    <w:rsid w:val="00992AF2"/>
    <w:rsid w:val="00993124"/>
    <w:rsid w:val="00993F23"/>
    <w:rsid w:val="00994E45"/>
    <w:rsid w:val="009951EE"/>
    <w:rsid w:val="009961FF"/>
    <w:rsid w:val="009A08E9"/>
    <w:rsid w:val="009A1A89"/>
    <w:rsid w:val="009A4881"/>
    <w:rsid w:val="009A5A6C"/>
    <w:rsid w:val="009A650A"/>
    <w:rsid w:val="009A6949"/>
    <w:rsid w:val="009A731D"/>
    <w:rsid w:val="009A7A1C"/>
    <w:rsid w:val="009B0477"/>
    <w:rsid w:val="009B04BB"/>
    <w:rsid w:val="009B0788"/>
    <w:rsid w:val="009B1183"/>
    <w:rsid w:val="009B1A26"/>
    <w:rsid w:val="009B1A71"/>
    <w:rsid w:val="009B1C46"/>
    <w:rsid w:val="009B3853"/>
    <w:rsid w:val="009B4351"/>
    <w:rsid w:val="009B43AC"/>
    <w:rsid w:val="009B4836"/>
    <w:rsid w:val="009B5FB6"/>
    <w:rsid w:val="009B6441"/>
    <w:rsid w:val="009B706E"/>
    <w:rsid w:val="009C0667"/>
    <w:rsid w:val="009C0D7A"/>
    <w:rsid w:val="009C1583"/>
    <w:rsid w:val="009C1C0A"/>
    <w:rsid w:val="009C1F46"/>
    <w:rsid w:val="009C2134"/>
    <w:rsid w:val="009C240A"/>
    <w:rsid w:val="009C2AA2"/>
    <w:rsid w:val="009C60C0"/>
    <w:rsid w:val="009C6273"/>
    <w:rsid w:val="009C7E6B"/>
    <w:rsid w:val="009D15F6"/>
    <w:rsid w:val="009D6967"/>
    <w:rsid w:val="009D7223"/>
    <w:rsid w:val="009E0861"/>
    <w:rsid w:val="009E176D"/>
    <w:rsid w:val="009E3384"/>
    <w:rsid w:val="009E4CC7"/>
    <w:rsid w:val="009E567D"/>
    <w:rsid w:val="009E7488"/>
    <w:rsid w:val="009F0DE9"/>
    <w:rsid w:val="009F0F57"/>
    <w:rsid w:val="009F2E16"/>
    <w:rsid w:val="009F3806"/>
    <w:rsid w:val="009F4705"/>
    <w:rsid w:val="009F4C32"/>
    <w:rsid w:val="009F67CC"/>
    <w:rsid w:val="009F7156"/>
    <w:rsid w:val="00A0024B"/>
    <w:rsid w:val="00A00EBD"/>
    <w:rsid w:val="00A012FC"/>
    <w:rsid w:val="00A03A6F"/>
    <w:rsid w:val="00A041A4"/>
    <w:rsid w:val="00A044F9"/>
    <w:rsid w:val="00A05D7E"/>
    <w:rsid w:val="00A05F45"/>
    <w:rsid w:val="00A06A80"/>
    <w:rsid w:val="00A06F4E"/>
    <w:rsid w:val="00A073F9"/>
    <w:rsid w:val="00A07FC1"/>
    <w:rsid w:val="00A11A33"/>
    <w:rsid w:val="00A13B27"/>
    <w:rsid w:val="00A142C2"/>
    <w:rsid w:val="00A14C19"/>
    <w:rsid w:val="00A15073"/>
    <w:rsid w:val="00A15909"/>
    <w:rsid w:val="00A16B23"/>
    <w:rsid w:val="00A255D9"/>
    <w:rsid w:val="00A25909"/>
    <w:rsid w:val="00A25AC1"/>
    <w:rsid w:val="00A2600E"/>
    <w:rsid w:val="00A26436"/>
    <w:rsid w:val="00A269A3"/>
    <w:rsid w:val="00A27A98"/>
    <w:rsid w:val="00A30307"/>
    <w:rsid w:val="00A30A0B"/>
    <w:rsid w:val="00A30D15"/>
    <w:rsid w:val="00A3114D"/>
    <w:rsid w:val="00A31A53"/>
    <w:rsid w:val="00A31D96"/>
    <w:rsid w:val="00A3209E"/>
    <w:rsid w:val="00A32527"/>
    <w:rsid w:val="00A32C92"/>
    <w:rsid w:val="00A33C66"/>
    <w:rsid w:val="00A34F0C"/>
    <w:rsid w:val="00A3569F"/>
    <w:rsid w:val="00A37460"/>
    <w:rsid w:val="00A37DDF"/>
    <w:rsid w:val="00A37E6B"/>
    <w:rsid w:val="00A404C2"/>
    <w:rsid w:val="00A40630"/>
    <w:rsid w:val="00A422D1"/>
    <w:rsid w:val="00A433BA"/>
    <w:rsid w:val="00A439BC"/>
    <w:rsid w:val="00A44023"/>
    <w:rsid w:val="00A44171"/>
    <w:rsid w:val="00A44DEB"/>
    <w:rsid w:val="00A45014"/>
    <w:rsid w:val="00A4601F"/>
    <w:rsid w:val="00A46152"/>
    <w:rsid w:val="00A4645C"/>
    <w:rsid w:val="00A50CBB"/>
    <w:rsid w:val="00A51739"/>
    <w:rsid w:val="00A5326C"/>
    <w:rsid w:val="00A533CC"/>
    <w:rsid w:val="00A54C0F"/>
    <w:rsid w:val="00A5624F"/>
    <w:rsid w:val="00A56590"/>
    <w:rsid w:val="00A5705C"/>
    <w:rsid w:val="00A57797"/>
    <w:rsid w:val="00A57B44"/>
    <w:rsid w:val="00A6064B"/>
    <w:rsid w:val="00A60664"/>
    <w:rsid w:val="00A60D22"/>
    <w:rsid w:val="00A612C6"/>
    <w:rsid w:val="00A61E71"/>
    <w:rsid w:val="00A63910"/>
    <w:rsid w:val="00A63A72"/>
    <w:rsid w:val="00A63C29"/>
    <w:rsid w:val="00A64341"/>
    <w:rsid w:val="00A65022"/>
    <w:rsid w:val="00A65879"/>
    <w:rsid w:val="00A65888"/>
    <w:rsid w:val="00A666E9"/>
    <w:rsid w:val="00A66F3A"/>
    <w:rsid w:val="00A6733B"/>
    <w:rsid w:val="00A7005E"/>
    <w:rsid w:val="00A7010E"/>
    <w:rsid w:val="00A70574"/>
    <w:rsid w:val="00A715CA"/>
    <w:rsid w:val="00A72000"/>
    <w:rsid w:val="00A72158"/>
    <w:rsid w:val="00A73270"/>
    <w:rsid w:val="00A73547"/>
    <w:rsid w:val="00A74FDB"/>
    <w:rsid w:val="00A76EFA"/>
    <w:rsid w:val="00A77CDC"/>
    <w:rsid w:val="00A80284"/>
    <w:rsid w:val="00A8103F"/>
    <w:rsid w:val="00A81165"/>
    <w:rsid w:val="00A81279"/>
    <w:rsid w:val="00A81B04"/>
    <w:rsid w:val="00A8623A"/>
    <w:rsid w:val="00A8643B"/>
    <w:rsid w:val="00A86496"/>
    <w:rsid w:val="00A86DF6"/>
    <w:rsid w:val="00A87230"/>
    <w:rsid w:val="00A91B2A"/>
    <w:rsid w:val="00A92FCA"/>
    <w:rsid w:val="00A93E2C"/>
    <w:rsid w:val="00A940B0"/>
    <w:rsid w:val="00A9456A"/>
    <w:rsid w:val="00A95630"/>
    <w:rsid w:val="00A96D6E"/>
    <w:rsid w:val="00A97122"/>
    <w:rsid w:val="00A975CE"/>
    <w:rsid w:val="00AA0150"/>
    <w:rsid w:val="00AA0A0D"/>
    <w:rsid w:val="00AA0F00"/>
    <w:rsid w:val="00AA396F"/>
    <w:rsid w:val="00AA3DA2"/>
    <w:rsid w:val="00AA4EC8"/>
    <w:rsid w:val="00AA529B"/>
    <w:rsid w:val="00AA5E64"/>
    <w:rsid w:val="00AA791D"/>
    <w:rsid w:val="00AA7E9B"/>
    <w:rsid w:val="00AB0D6F"/>
    <w:rsid w:val="00AB18ED"/>
    <w:rsid w:val="00AB19E4"/>
    <w:rsid w:val="00AB2CAD"/>
    <w:rsid w:val="00AB2F0E"/>
    <w:rsid w:val="00AB3C18"/>
    <w:rsid w:val="00AB7E7A"/>
    <w:rsid w:val="00AC0E93"/>
    <w:rsid w:val="00AC42C9"/>
    <w:rsid w:val="00AC49F0"/>
    <w:rsid w:val="00AC6087"/>
    <w:rsid w:val="00AC7053"/>
    <w:rsid w:val="00AC73BB"/>
    <w:rsid w:val="00AD123C"/>
    <w:rsid w:val="00AD1663"/>
    <w:rsid w:val="00AD20C3"/>
    <w:rsid w:val="00AD20DE"/>
    <w:rsid w:val="00AD2E3A"/>
    <w:rsid w:val="00AD322F"/>
    <w:rsid w:val="00AD352D"/>
    <w:rsid w:val="00AD3DDD"/>
    <w:rsid w:val="00AD4018"/>
    <w:rsid w:val="00AD4320"/>
    <w:rsid w:val="00AD4358"/>
    <w:rsid w:val="00AD45B2"/>
    <w:rsid w:val="00AD6163"/>
    <w:rsid w:val="00AE040E"/>
    <w:rsid w:val="00AE0B2E"/>
    <w:rsid w:val="00AE0EBB"/>
    <w:rsid w:val="00AE1D5E"/>
    <w:rsid w:val="00AE2168"/>
    <w:rsid w:val="00AE2BE5"/>
    <w:rsid w:val="00AE2E7E"/>
    <w:rsid w:val="00AE3B14"/>
    <w:rsid w:val="00AE50FA"/>
    <w:rsid w:val="00AE6571"/>
    <w:rsid w:val="00AE72E3"/>
    <w:rsid w:val="00AE79CE"/>
    <w:rsid w:val="00AE7DFC"/>
    <w:rsid w:val="00AF0D8E"/>
    <w:rsid w:val="00AF0FCD"/>
    <w:rsid w:val="00AF20B1"/>
    <w:rsid w:val="00AF2FAF"/>
    <w:rsid w:val="00AF428C"/>
    <w:rsid w:val="00AF5810"/>
    <w:rsid w:val="00AF6E5B"/>
    <w:rsid w:val="00AF77A8"/>
    <w:rsid w:val="00B013E1"/>
    <w:rsid w:val="00B02604"/>
    <w:rsid w:val="00B04FA2"/>
    <w:rsid w:val="00B0537B"/>
    <w:rsid w:val="00B0553E"/>
    <w:rsid w:val="00B06339"/>
    <w:rsid w:val="00B06D70"/>
    <w:rsid w:val="00B073E0"/>
    <w:rsid w:val="00B079DC"/>
    <w:rsid w:val="00B124F4"/>
    <w:rsid w:val="00B127C5"/>
    <w:rsid w:val="00B13778"/>
    <w:rsid w:val="00B141B9"/>
    <w:rsid w:val="00B1759C"/>
    <w:rsid w:val="00B17F9B"/>
    <w:rsid w:val="00B20796"/>
    <w:rsid w:val="00B21627"/>
    <w:rsid w:val="00B22274"/>
    <w:rsid w:val="00B22352"/>
    <w:rsid w:val="00B22DE1"/>
    <w:rsid w:val="00B252E6"/>
    <w:rsid w:val="00B25AAE"/>
    <w:rsid w:val="00B2622A"/>
    <w:rsid w:val="00B27DA6"/>
    <w:rsid w:val="00B314B2"/>
    <w:rsid w:val="00B321DE"/>
    <w:rsid w:val="00B32DEF"/>
    <w:rsid w:val="00B34694"/>
    <w:rsid w:val="00B35824"/>
    <w:rsid w:val="00B35936"/>
    <w:rsid w:val="00B35A3E"/>
    <w:rsid w:val="00B35BE3"/>
    <w:rsid w:val="00B36244"/>
    <w:rsid w:val="00B378D8"/>
    <w:rsid w:val="00B37E59"/>
    <w:rsid w:val="00B40892"/>
    <w:rsid w:val="00B41E0C"/>
    <w:rsid w:val="00B42617"/>
    <w:rsid w:val="00B44F2E"/>
    <w:rsid w:val="00B45AFF"/>
    <w:rsid w:val="00B47362"/>
    <w:rsid w:val="00B475AC"/>
    <w:rsid w:val="00B506C5"/>
    <w:rsid w:val="00B512A2"/>
    <w:rsid w:val="00B516BB"/>
    <w:rsid w:val="00B528AC"/>
    <w:rsid w:val="00B52AF7"/>
    <w:rsid w:val="00B5378B"/>
    <w:rsid w:val="00B5487B"/>
    <w:rsid w:val="00B54940"/>
    <w:rsid w:val="00B54C46"/>
    <w:rsid w:val="00B54FB4"/>
    <w:rsid w:val="00B5572A"/>
    <w:rsid w:val="00B56D30"/>
    <w:rsid w:val="00B618F5"/>
    <w:rsid w:val="00B62148"/>
    <w:rsid w:val="00B6295F"/>
    <w:rsid w:val="00B62B8A"/>
    <w:rsid w:val="00B63106"/>
    <w:rsid w:val="00B63425"/>
    <w:rsid w:val="00B63AD1"/>
    <w:rsid w:val="00B649D8"/>
    <w:rsid w:val="00B65657"/>
    <w:rsid w:val="00B65709"/>
    <w:rsid w:val="00B6717D"/>
    <w:rsid w:val="00B7061E"/>
    <w:rsid w:val="00B70813"/>
    <w:rsid w:val="00B70BDC"/>
    <w:rsid w:val="00B72929"/>
    <w:rsid w:val="00B76061"/>
    <w:rsid w:val="00B76515"/>
    <w:rsid w:val="00B7739F"/>
    <w:rsid w:val="00B77C29"/>
    <w:rsid w:val="00B77CF8"/>
    <w:rsid w:val="00B80078"/>
    <w:rsid w:val="00B805B5"/>
    <w:rsid w:val="00B80901"/>
    <w:rsid w:val="00B8297C"/>
    <w:rsid w:val="00B82ECD"/>
    <w:rsid w:val="00B83E86"/>
    <w:rsid w:val="00B84905"/>
    <w:rsid w:val="00B867CD"/>
    <w:rsid w:val="00B86940"/>
    <w:rsid w:val="00B87F74"/>
    <w:rsid w:val="00B9097C"/>
    <w:rsid w:val="00B911EB"/>
    <w:rsid w:val="00B92449"/>
    <w:rsid w:val="00B92EEF"/>
    <w:rsid w:val="00B92F75"/>
    <w:rsid w:val="00B93307"/>
    <w:rsid w:val="00B943EC"/>
    <w:rsid w:val="00B96A51"/>
    <w:rsid w:val="00B97AFA"/>
    <w:rsid w:val="00BA02CF"/>
    <w:rsid w:val="00BA17CE"/>
    <w:rsid w:val="00BA2BB5"/>
    <w:rsid w:val="00BA2CB5"/>
    <w:rsid w:val="00BA3474"/>
    <w:rsid w:val="00BA35E6"/>
    <w:rsid w:val="00BA3EAA"/>
    <w:rsid w:val="00BA410D"/>
    <w:rsid w:val="00BA41F8"/>
    <w:rsid w:val="00BA5358"/>
    <w:rsid w:val="00BA7BA3"/>
    <w:rsid w:val="00BB060F"/>
    <w:rsid w:val="00BB16A2"/>
    <w:rsid w:val="00BB22C3"/>
    <w:rsid w:val="00BB3106"/>
    <w:rsid w:val="00BB3F18"/>
    <w:rsid w:val="00BB452E"/>
    <w:rsid w:val="00BB4B1E"/>
    <w:rsid w:val="00BB5800"/>
    <w:rsid w:val="00BB5B26"/>
    <w:rsid w:val="00BB5DAE"/>
    <w:rsid w:val="00BB7790"/>
    <w:rsid w:val="00BB79C9"/>
    <w:rsid w:val="00BC081F"/>
    <w:rsid w:val="00BC0B5B"/>
    <w:rsid w:val="00BC1280"/>
    <w:rsid w:val="00BC17A0"/>
    <w:rsid w:val="00BC5E0E"/>
    <w:rsid w:val="00BC6150"/>
    <w:rsid w:val="00BC6437"/>
    <w:rsid w:val="00BC70D3"/>
    <w:rsid w:val="00BC7C0C"/>
    <w:rsid w:val="00BC7EB0"/>
    <w:rsid w:val="00BD022A"/>
    <w:rsid w:val="00BD10E9"/>
    <w:rsid w:val="00BD1814"/>
    <w:rsid w:val="00BD1FD5"/>
    <w:rsid w:val="00BD215D"/>
    <w:rsid w:val="00BD25EC"/>
    <w:rsid w:val="00BD3B18"/>
    <w:rsid w:val="00BD3C61"/>
    <w:rsid w:val="00BD41C3"/>
    <w:rsid w:val="00BD4BA8"/>
    <w:rsid w:val="00BD5CD6"/>
    <w:rsid w:val="00BD5F38"/>
    <w:rsid w:val="00BD6FBD"/>
    <w:rsid w:val="00BD7861"/>
    <w:rsid w:val="00BD7CFE"/>
    <w:rsid w:val="00BE081E"/>
    <w:rsid w:val="00BE1556"/>
    <w:rsid w:val="00BE19ED"/>
    <w:rsid w:val="00BE222C"/>
    <w:rsid w:val="00BE29E8"/>
    <w:rsid w:val="00BE2DA6"/>
    <w:rsid w:val="00BE3427"/>
    <w:rsid w:val="00BE40BF"/>
    <w:rsid w:val="00BE5656"/>
    <w:rsid w:val="00BE5F6A"/>
    <w:rsid w:val="00BE6ADF"/>
    <w:rsid w:val="00BE7069"/>
    <w:rsid w:val="00BF167A"/>
    <w:rsid w:val="00BF1CB0"/>
    <w:rsid w:val="00BF2AC8"/>
    <w:rsid w:val="00BF359D"/>
    <w:rsid w:val="00BF4F4B"/>
    <w:rsid w:val="00BF5F76"/>
    <w:rsid w:val="00BF7968"/>
    <w:rsid w:val="00BF7BC8"/>
    <w:rsid w:val="00C0002E"/>
    <w:rsid w:val="00C01E44"/>
    <w:rsid w:val="00C02F87"/>
    <w:rsid w:val="00C0364F"/>
    <w:rsid w:val="00C0407A"/>
    <w:rsid w:val="00C045F3"/>
    <w:rsid w:val="00C04776"/>
    <w:rsid w:val="00C04F4B"/>
    <w:rsid w:val="00C07819"/>
    <w:rsid w:val="00C10AA5"/>
    <w:rsid w:val="00C11B59"/>
    <w:rsid w:val="00C12151"/>
    <w:rsid w:val="00C12578"/>
    <w:rsid w:val="00C12907"/>
    <w:rsid w:val="00C12BF5"/>
    <w:rsid w:val="00C12DFC"/>
    <w:rsid w:val="00C130D9"/>
    <w:rsid w:val="00C1364F"/>
    <w:rsid w:val="00C13816"/>
    <w:rsid w:val="00C14947"/>
    <w:rsid w:val="00C179B8"/>
    <w:rsid w:val="00C17E74"/>
    <w:rsid w:val="00C2188C"/>
    <w:rsid w:val="00C21FA2"/>
    <w:rsid w:val="00C223FA"/>
    <w:rsid w:val="00C22C57"/>
    <w:rsid w:val="00C22FA2"/>
    <w:rsid w:val="00C236A9"/>
    <w:rsid w:val="00C2413C"/>
    <w:rsid w:val="00C242FA"/>
    <w:rsid w:val="00C25620"/>
    <w:rsid w:val="00C25EB6"/>
    <w:rsid w:val="00C2679B"/>
    <w:rsid w:val="00C27850"/>
    <w:rsid w:val="00C315C5"/>
    <w:rsid w:val="00C32F77"/>
    <w:rsid w:val="00C4071E"/>
    <w:rsid w:val="00C41072"/>
    <w:rsid w:val="00C413EC"/>
    <w:rsid w:val="00C436DA"/>
    <w:rsid w:val="00C44FE2"/>
    <w:rsid w:val="00C465A1"/>
    <w:rsid w:val="00C466C0"/>
    <w:rsid w:val="00C46901"/>
    <w:rsid w:val="00C477DF"/>
    <w:rsid w:val="00C47C91"/>
    <w:rsid w:val="00C47D40"/>
    <w:rsid w:val="00C5035F"/>
    <w:rsid w:val="00C51127"/>
    <w:rsid w:val="00C51371"/>
    <w:rsid w:val="00C51F04"/>
    <w:rsid w:val="00C52846"/>
    <w:rsid w:val="00C53F95"/>
    <w:rsid w:val="00C566A4"/>
    <w:rsid w:val="00C57093"/>
    <w:rsid w:val="00C578B6"/>
    <w:rsid w:val="00C60125"/>
    <w:rsid w:val="00C609DB"/>
    <w:rsid w:val="00C6176B"/>
    <w:rsid w:val="00C61C1B"/>
    <w:rsid w:val="00C62AAD"/>
    <w:rsid w:val="00C6394D"/>
    <w:rsid w:val="00C64CBB"/>
    <w:rsid w:val="00C6517E"/>
    <w:rsid w:val="00C65BF8"/>
    <w:rsid w:val="00C660C2"/>
    <w:rsid w:val="00C6659E"/>
    <w:rsid w:val="00C67AFF"/>
    <w:rsid w:val="00C70F4C"/>
    <w:rsid w:val="00C70F53"/>
    <w:rsid w:val="00C71FDF"/>
    <w:rsid w:val="00C749F1"/>
    <w:rsid w:val="00C80649"/>
    <w:rsid w:val="00C80DFA"/>
    <w:rsid w:val="00C81413"/>
    <w:rsid w:val="00C8252B"/>
    <w:rsid w:val="00C83694"/>
    <w:rsid w:val="00C836B2"/>
    <w:rsid w:val="00C84B04"/>
    <w:rsid w:val="00C87193"/>
    <w:rsid w:val="00C87394"/>
    <w:rsid w:val="00C90483"/>
    <w:rsid w:val="00C90F68"/>
    <w:rsid w:val="00C91562"/>
    <w:rsid w:val="00C9201B"/>
    <w:rsid w:val="00C92C1F"/>
    <w:rsid w:val="00C92DF8"/>
    <w:rsid w:val="00C9380E"/>
    <w:rsid w:val="00C9763E"/>
    <w:rsid w:val="00C97F30"/>
    <w:rsid w:val="00CA1F38"/>
    <w:rsid w:val="00CA2617"/>
    <w:rsid w:val="00CA26BC"/>
    <w:rsid w:val="00CA3064"/>
    <w:rsid w:val="00CA3D8E"/>
    <w:rsid w:val="00CA49FE"/>
    <w:rsid w:val="00CA4EFA"/>
    <w:rsid w:val="00CA592E"/>
    <w:rsid w:val="00CA7177"/>
    <w:rsid w:val="00CA7B6D"/>
    <w:rsid w:val="00CA7B84"/>
    <w:rsid w:val="00CA7B89"/>
    <w:rsid w:val="00CB01D5"/>
    <w:rsid w:val="00CB0796"/>
    <w:rsid w:val="00CB09FB"/>
    <w:rsid w:val="00CB0B1B"/>
    <w:rsid w:val="00CB0BAC"/>
    <w:rsid w:val="00CB19C4"/>
    <w:rsid w:val="00CB2128"/>
    <w:rsid w:val="00CB2305"/>
    <w:rsid w:val="00CB2F62"/>
    <w:rsid w:val="00CB343F"/>
    <w:rsid w:val="00CB38BE"/>
    <w:rsid w:val="00CB3FB4"/>
    <w:rsid w:val="00CB4BBE"/>
    <w:rsid w:val="00CB4C22"/>
    <w:rsid w:val="00CB52A1"/>
    <w:rsid w:val="00CB699B"/>
    <w:rsid w:val="00CC00C4"/>
    <w:rsid w:val="00CC087E"/>
    <w:rsid w:val="00CC0ADB"/>
    <w:rsid w:val="00CC0DB7"/>
    <w:rsid w:val="00CC210F"/>
    <w:rsid w:val="00CC238C"/>
    <w:rsid w:val="00CC3A1A"/>
    <w:rsid w:val="00CC3AD0"/>
    <w:rsid w:val="00CC3E8F"/>
    <w:rsid w:val="00CD1155"/>
    <w:rsid w:val="00CD1F48"/>
    <w:rsid w:val="00CD30AE"/>
    <w:rsid w:val="00CD3DA1"/>
    <w:rsid w:val="00CD3E65"/>
    <w:rsid w:val="00CD518B"/>
    <w:rsid w:val="00CD5D9C"/>
    <w:rsid w:val="00CE06D0"/>
    <w:rsid w:val="00CE1609"/>
    <w:rsid w:val="00CE180C"/>
    <w:rsid w:val="00CE2758"/>
    <w:rsid w:val="00CE2FA1"/>
    <w:rsid w:val="00CE5305"/>
    <w:rsid w:val="00CF166F"/>
    <w:rsid w:val="00CF17A6"/>
    <w:rsid w:val="00CF3449"/>
    <w:rsid w:val="00CF3C3C"/>
    <w:rsid w:val="00CF41A9"/>
    <w:rsid w:val="00CF573A"/>
    <w:rsid w:val="00CF6328"/>
    <w:rsid w:val="00D00951"/>
    <w:rsid w:val="00D015D7"/>
    <w:rsid w:val="00D04CC9"/>
    <w:rsid w:val="00D04FED"/>
    <w:rsid w:val="00D06A38"/>
    <w:rsid w:val="00D07CB8"/>
    <w:rsid w:val="00D11867"/>
    <w:rsid w:val="00D11C60"/>
    <w:rsid w:val="00D12198"/>
    <w:rsid w:val="00D127EC"/>
    <w:rsid w:val="00D14CF9"/>
    <w:rsid w:val="00D157BD"/>
    <w:rsid w:val="00D15E07"/>
    <w:rsid w:val="00D160D3"/>
    <w:rsid w:val="00D16D38"/>
    <w:rsid w:val="00D1719A"/>
    <w:rsid w:val="00D21F53"/>
    <w:rsid w:val="00D220DE"/>
    <w:rsid w:val="00D23013"/>
    <w:rsid w:val="00D230B0"/>
    <w:rsid w:val="00D23E76"/>
    <w:rsid w:val="00D2408C"/>
    <w:rsid w:val="00D248A8"/>
    <w:rsid w:val="00D27353"/>
    <w:rsid w:val="00D279B5"/>
    <w:rsid w:val="00D27AB2"/>
    <w:rsid w:val="00D30417"/>
    <w:rsid w:val="00D30643"/>
    <w:rsid w:val="00D30BE2"/>
    <w:rsid w:val="00D32182"/>
    <w:rsid w:val="00D32512"/>
    <w:rsid w:val="00D32876"/>
    <w:rsid w:val="00D33231"/>
    <w:rsid w:val="00D34870"/>
    <w:rsid w:val="00D3579F"/>
    <w:rsid w:val="00D35B8E"/>
    <w:rsid w:val="00D35FE1"/>
    <w:rsid w:val="00D400BF"/>
    <w:rsid w:val="00D40B15"/>
    <w:rsid w:val="00D41B8B"/>
    <w:rsid w:val="00D42140"/>
    <w:rsid w:val="00D42329"/>
    <w:rsid w:val="00D42468"/>
    <w:rsid w:val="00D42F33"/>
    <w:rsid w:val="00D45107"/>
    <w:rsid w:val="00D466A6"/>
    <w:rsid w:val="00D5032D"/>
    <w:rsid w:val="00D50737"/>
    <w:rsid w:val="00D50D3B"/>
    <w:rsid w:val="00D513D1"/>
    <w:rsid w:val="00D529CA"/>
    <w:rsid w:val="00D52E86"/>
    <w:rsid w:val="00D54317"/>
    <w:rsid w:val="00D54375"/>
    <w:rsid w:val="00D5526F"/>
    <w:rsid w:val="00D571E0"/>
    <w:rsid w:val="00D601DE"/>
    <w:rsid w:val="00D62429"/>
    <w:rsid w:val="00D6284A"/>
    <w:rsid w:val="00D63B4F"/>
    <w:rsid w:val="00D63C78"/>
    <w:rsid w:val="00D653B4"/>
    <w:rsid w:val="00D654BB"/>
    <w:rsid w:val="00D67A41"/>
    <w:rsid w:val="00D70F74"/>
    <w:rsid w:val="00D71AD1"/>
    <w:rsid w:val="00D73466"/>
    <w:rsid w:val="00D7376E"/>
    <w:rsid w:val="00D7426F"/>
    <w:rsid w:val="00D74766"/>
    <w:rsid w:val="00D75E85"/>
    <w:rsid w:val="00D77CE2"/>
    <w:rsid w:val="00D817D0"/>
    <w:rsid w:val="00D81A33"/>
    <w:rsid w:val="00D81AE2"/>
    <w:rsid w:val="00D843F0"/>
    <w:rsid w:val="00D851A3"/>
    <w:rsid w:val="00D85B93"/>
    <w:rsid w:val="00D85EEA"/>
    <w:rsid w:val="00D867D6"/>
    <w:rsid w:val="00D87326"/>
    <w:rsid w:val="00D87A7B"/>
    <w:rsid w:val="00D87CA4"/>
    <w:rsid w:val="00D91BB5"/>
    <w:rsid w:val="00D92EF3"/>
    <w:rsid w:val="00D93483"/>
    <w:rsid w:val="00D93B1E"/>
    <w:rsid w:val="00D93ED3"/>
    <w:rsid w:val="00D9400C"/>
    <w:rsid w:val="00D979F9"/>
    <w:rsid w:val="00DA0674"/>
    <w:rsid w:val="00DA0EF9"/>
    <w:rsid w:val="00DA1A7A"/>
    <w:rsid w:val="00DA1BF5"/>
    <w:rsid w:val="00DA4221"/>
    <w:rsid w:val="00DA496D"/>
    <w:rsid w:val="00DA52CE"/>
    <w:rsid w:val="00DA63BD"/>
    <w:rsid w:val="00DA698B"/>
    <w:rsid w:val="00DA7FDB"/>
    <w:rsid w:val="00DB0929"/>
    <w:rsid w:val="00DB1093"/>
    <w:rsid w:val="00DB13BE"/>
    <w:rsid w:val="00DB14F9"/>
    <w:rsid w:val="00DB1530"/>
    <w:rsid w:val="00DB1548"/>
    <w:rsid w:val="00DB4255"/>
    <w:rsid w:val="00DB585F"/>
    <w:rsid w:val="00DB58EA"/>
    <w:rsid w:val="00DB6020"/>
    <w:rsid w:val="00DB6277"/>
    <w:rsid w:val="00DB7746"/>
    <w:rsid w:val="00DC2BF7"/>
    <w:rsid w:val="00DC38E6"/>
    <w:rsid w:val="00DC3A5E"/>
    <w:rsid w:val="00DC4B19"/>
    <w:rsid w:val="00DC4B66"/>
    <w:rsid w:val="00DC5D2E"/>
    <w:rsid w:val="00DC6006"/>
    <w:rsid w:val="00DC6520"/>
    <w:rsid w:val="00DC68C2"/>
    <w:rsid w:val="00DC7473"/>
    <w:rsid w:val="00DD05E9"/>
    <w:rsid w:val="00DD0A37"/>
    <w:rsid w:val="00DD0DD6"/>
    <w:rsid w:val="00DD15BB"/>
    <w:rsid w:val="00DD1B7C"/>
    <w:rsid w:val="00DD268B"/>
    <w:rsid w:val="00DD26CC"/>
    <w:rsid w:val="00DD2860"/>
    <w:rsid w:val="00DD29F7"/>
    <w:rsid w:val="00DD3836"/>
    <w:rsid w:val="00DD3EC4"/>
    <w:rsid w:val="00DD7483"/>
    <w:rsid w:val="00DD77E0"/>
    <w:rsid w:val="00DD7B7A"/>
    <w:rsid w:val="00DE0259"/>
    <w:rsid w:val="00DE16DD"/>
    <w:rsid w:val="00DE176D"/>
    <w:rsid w:val="00DE1E47"/>
    <w:rsid w:val="00DE4A7D"/>
    <w:rsid w:val="00DE525C"/>
    <w:rsid w:val="00DE55AD"/>
    <w:rsid w:val="00DE6DAB"/>
    <w:rsid w:val="00DF0313"/>
    <w:rsid w:val="00DF06FD"/>
    <w:rsid w:val="00DF182F"/>
    <w:rsid w:val="00DF18BC"/>
    <w:rsid w:val="00DF2A91"/>
    <w:rsid w:val="00DF35F2"/>
    <w:rsid w:val="00DF37F5"/>
    <w:rsid w:val="00DF40DD"/>
    <w:rsid w:val="00DF5CDB"/>
    <w:rsid w:val="00DF61FC"/>
    <w:rsid w:val="00DF6A85"/>
    <w:rsid w:val="00DF6C0F"/>
    <w:rsid w:val="00DF7B34"/>
    <w:rsid w:val="00E009AC"/>
    <w:rsid w:val="00E017C4"/>
    <w:rsid w:val="00E03291"/>
    <w:rsid w:val="00E0374E"/>
    <w:rsid w:val="00E03E4B"/>
    <w:rsid w:val="00E05735"/>
    <w:rsid w:val="00E057D3"/>
    <w:rsid w:val="00E05E94"/>
    <w:rsid w:val="00E06FD8"/>
    <w:rsid w:val="00E10CF1"/>
    <w:rsid w:val="00E10F05"/>
    <w:rsid w:val="00E114A0"/>
    <w:rsid w:val="00E15658"/>
    <w:rsid w:val="00E16CDF"/>
    <w:rsid w:val="00E17F0E"/>
    <w:rsid w:val="00E202B1"/>
    <w:rsid w:val="00E22046"/>
    <w:rsid w:val="00E2295D"/>
    <w:rsid w:val="00E2349A"/>
    <w:rsid w:val="00E2352C"/>
    <w:rsid w:val="00E23897"/>
    <w:rsid w:val="00E24222"/>
    <w:rsid w:val="00E2580D"/>
    <w:rsid w:val="00E26316"/>
    <w:rsid w:val="00E2759B"/>
    <w:rsid w:val="00E30A5D"/>
    <w:rsid w:val="00E30D91"/>
    <w:rsid w:val="00E31257"/>
    <w:rsid w:val="00E325A5"/>
    <w:rsid w:val="00E33348"/>
    <w:rsid w:val="00E33A0A"/>
    <w:rsid w:val="00E34006"/>
    <w:rsid w:val="00E342C9"/>
    <w:rsid w:val="00E34763"/>
    <w:rsid w:val="00E350F9"/>
    <w:rsid w:val="00E351F6"/>
    <w:rsid w:val="00E35DDF"/>
    <w:rsid w:val="00E377E8"/>
    <w:rsid w:val="00E40DB7"/>
    <w:rsid w:val="00E433A9"/>
    <w:rsid w:val="00E43B67"/>
    <w:rsid w:val="00E45019"/>
    <w:rsid w:val="00E45D72"/>
    <w:rsid w:val="00E4679C"/>
    <w:rsid w:val="00E46C0E"/>
    <w:rsid w:val="00E50305"/>
    <w:rsid w:val="00E50733"/>
    <w:rsid w:val="00E50F75"/>
    <w:rsid w:val="00E518D7"/>
    <w:rsid w:val="00E51C65"/>
    <w:rsid w:val="00E529AC"/>
    <w:rsid w:val="00E529E0"/>
    <w:rsid w:val="00E539BB"/>
    <w:rsid w:val="00E53B52"/>
    <w:rsid w:val="00E5587B"/>
    <w:rsid w:val="00E55957"/>
    <w:rsid w:val="00E56FB2"/>
    <w:rsid w:val="00E62D71"/>
    <w:rsid w:val="00E63571"/>
    <w:rsid w:val="00E65626"/>
    <w:rsid w:val="00E66256"/>
    <w:rsid w:val="00E6776F"/>
    <w:rsid w:val="00E71291"/>
    <w:rsid w:val="00E71919"/>
    <w:rsid w:val="00E730BB"/>
    <w:rsid w:val="00E73146"/>
    <w:rsid w:val="00E741A7"/>
    <w:rsid w:val="00E74E13"/>
    <w:rsid w:val="00E7593F"/>
    <w:rsid w:val="00E77AC3"/>
    <w:rsid w:val="00E80BB6"/>
    <w:rsid w:val="00E81A16"/>
    <w:rsid w:val="00E81AF2"/>
    <w:rsid w:val="00E83AA8"/>
    <w:rsid w:val="00E90861"/>
    <w:rsid w:val="00E91258"/>
    <w:rsid w:val="00E932B9"/>
    <w:rsid w:val="00E96A03"/>
    <w:rsid w:val="00E974DD"/>
    <w:rsid w:val="00E977C8"/>
    <w:rsid w:val="00EA18C8"/>
    <w:rsid w:val="00EA1BFB"/>
    <w:rsid w:val="00EA1C8C"/>
    <w:rsid w:val="00EA20D1"/>
    <w:rsid w:val="00EA28C1"/>
    <w:rsid w:val="00EA34C9"/>
    <w:rsid w:val="00EA3DB1"/>
    <w:rsid w:val="00EA4E81"/>
    <w:rsid w:val="00EA5B2B"/>
    <w:rsid w:val="00EA61C9"/>
    <w:rsid w:val="00EA72E2"/>
    <w:rsid w:val="00EA74C9"/>
    <w:rsid w:val="00EA77CA"/>
    <w:rsid w:val="00EA7CD1"/>
    <w:rsid w:val="00EB24D9"/>
    <w:rsid w:val="00EB3715"/>
    <w:rsid w:val="00EB4235"/>
    <w:rsid w:val="00EB4D1F"/>
    <w:rsid w:val="00EB4FFE"/>
    <w:rsid w:val="00EB5B73"/>
    <w:rsid w:val="00EB6533"/>
    <w:rsid w:val="00EB6E48"/>
    <w:rsid w:val="00EB6F48"/>
    <w:rsid w:val="00EC126E"/>
    <w:rsid w:val="00EC1CAD"/>
    <w:rsid w:val="00EC4121"/>
    <w:rsid w:val="00EC4CA7"/>
    <w:rsid w:val="00EC6815"/>
    <w:rsid w:val="00EC7340"/>
    <w:rsid w:val="00EC7A0B"/>
    <w:rsid w:val="00ED0754"/>
    <w:rsid w:val="00ED100C"/>
    <w:rsid w:val="00ED10C9"/>
    <w:rsid w:val="00ED15B5"/>
    <w:rsid w:val="00ED15CC"/>
    <w:rsid w:val="00ED2536"/>
    <w:rsid w:val="00ED347F"/>
    <w:rsid w:val="00ED3B58"/>
    <w:rsid w:val="00ED3F5A"/>
    <w:rsid w:val="00ED44A6"/>
    <w:rsid w:val="00ED489B"/>
    <w:rsid w:val="00ED559D"/>
    <w:rsid w:val="00ED5DA8"/>
    <w:rsid w:val="00ED6DCB"/>
    <w:rsid w:val="00ED7F82"/>
    <w:rsid w:val="00EE003A"/>
    <w:rsid w:val="00EE1AF9"/>
    <w:rsid w:val="00EE1C65"/>
    <w:rsid w:val="00EE34F5"/>
    <w:rsid w:val="00EE363F"/>
    <w:rsid w:val="00EE403E"/>
    <w:rsid w:val="00EE44BE"/>
    <w:rsid w:val="00EE471D"/>
    <w:rsid w:val="00EE52E4"/>
    <w:rsid w:val="00EE664C"/>
    <w:rsid w:val="00EE6C29"/>
    <w:rsid w:val="00EF01BB"/>
    <w:rsid w:val="00EF0C10"/>
    <w:rsid w:val="00EF184D"/>
    <w:rsid w:val="00EF2336"/>
    <w:rsid w:val="00EF2640"/>
    <w:rsid w:val="00EF36EB"/>
    <w:rsid w:val="00EF3C13"/>
    <w:rsid w:val="00EF40F3"/>
    <w:rsid w:val="00EF5C65"/>
    <w:rsid w:val="00EF5EC8"/>
    <w:rsid w:val="00EF67DC"/>
    <w:rsid w:val="00EF7B21"/>
    <w:rsid w:val="00EF7FB7"/>
    <w:rsid w:val="00F023A5"/>
    <w:rsid w:val="00F02C97"/>
    <w:rsid w:val="00F0375D"/>
    <w:rsid w:val="00F03EA8"/>
    <w:rsid w:val="00F04B87"/>
    <w:rsid w:val="00F05772"/>
    <w:rsid w:val="00F05F21"/>
    <w:rsid w:val="00F102B2"/>
    <w:rsid w:val="00F1067C"/>
    <w:rsid w:val="00F13331"/>
    <w:rsid w:val="00F137D4"/>
    <w:rsid w:val="00F13D55"/>
    <w:rsid w:val="00F143B0"/>
    <w:rsid w:val="00F14B78"/>
    <w:rsid w:val="00F15189"/>
    <w:rsid w:val="00F15423"/>
    <w:rsid w:val="00F15812"/>
    <w:rsid w:val="00F17EF1"/>
    <w:rsid w:val="00F20003"/>
    <w:rsid w:val="00F20193"/>
    <w:rsid w:val="00F2054C"/>
    <w:rsid w:val="00F20B92"/>
    <w:rsid w:val="00F21671"/>
    <w:rsid w:val="00F2177B"/>
    <w:rsid w:val="00F21D8C"/>
    <w:rsid w:val="00F241F8"/>
    <w:rsid w:val="00F24B32"/>
    <w:rsid w:val="00F25763"/>
    <w:rsid w:val="00F25CC3"/>
    <w:rsid w:val="00F26767"/>
    <w:rsid w:val="00F27DFF"/>
    <w:rsid w:val="00F30314"/>
    <w:rsid w:val="00F31A1E"/>
    <w:rsid w:val="00F34241"/>
    <w:rsid w:val="00F35442"/>
    <w:rsid w:val="00F35EB9"/>
    <w:rsid w:val="00F36726"/>
    <w:rsid w:val="00F36D44"/>
    <w:rsid w:val="00F40913"/>
    <w:rsid w:val="00F41281"/>
    <w:rsid w:val="00F433F1"/>
    <w:rsid w:val="00F434B1"/>
    <w:rsid w:val="00F436A9"/>
    <w:rsid w:val="00F44A29"/>
    <w:rsid w:val="00F4626B"/>
    <w:rsid w:val="00F4695A"/>
    <w:rsid w:val="00F46D5F"/>
    <w:rsid w:val="00F47C38"/>
    <w:rsid w:val="00F505EE"/>
    <w:rsid w:val="00F50CC5"/>
    <w:rsid w:val="00F523CF"/>
    <w:rsid w:val="00F52A64"/>
    <w:rsid w:val="00F55C39"/>
    <w:rsid w:val="00F56756"/>
    <w:rsid w:val="00F6065E"/>
    <w:rsid w:val="00F60AE0"/>
    <w:rsid w:val="00F60E6B"/>
    <w:rsid w:val="00F61EA5"/>
    <w:rsid w:val="00F62A6E"/>
    <w:rsid w:val="00F62CAD"/>
    <w:rsid w:val="00F63B4C"/>
    <w:rsid w:val="00F63C74"/>
    <w:rsid w:val="00F6486D"/>
    <w:rsid w:val="00F66B6B"/>
    <w:rsid w:val="00F71484"/>
    <w:rsid w:val="00F71ADF"/>
    <w:rsid w:val="00F72228"/>
    <w:rsid w:val="00F72316"/>
    <w:rsid w:val="00F73609"/>
    <w:rsid w:val="00F755E3"/>
    <w:rsid w:val="00F75A0A"/>
    <w:rsid w:val="00F75ADA"/>
    <w:rsid w:val="00F76199"/>
    <w:rsid w:val="00F767DA"/>
    <w:rsid w:val="00F76847"/>
    <w:rsid w:val="00F76A7A"/>
    <w:rsid w:val="00F76FEB"/>
    <w:rsid w:val="00F7768E"/>
    <w:rsid w:val="00F80209"/>
    <w:rsid w:val="00F80C7F"/>
    <w:rsid w:val="00F83B41"/>
    <w:rsid w:val="00F84CD1"/>
    <w:rsid w:val="00F8551E"/>
    <w:rsid w:val="00F86234"/>
    <w:rsid w:val="00F87162"/>
    <w:rsid w:val="00F87B06"/>
    <w:rsid w:val="00F91036"/>
    <w:rsid w:val="00F92581"/>
    <w:rsid w:val="00F929BF"/>
    <w:rsid w:val="00F92E81"/>
    <w:rsid w:val="00F94AF9"/>
    <w:rsid w:val="00F9584D"/>
    <w:rsid w:val="00F96105"/>
    <w:rsid w:val="00F962E6"/>
    <w:rsid w:val="00F96550"/>
    <w:rsid w:val="00F9667C"/>
    <w:rsid w:val="00F97C91"/>
    <w:rsid w:val="00FA05AA"/>
    <w:rsid w:val="00FA05E4"/>
    <w:rsid w:val="00FA0BA9"/>
    <w:rsid w:val="00FA0BF1"/>
    <w:rsid w:val="00FA0C42"/>
    <w:rsid w:val="00FA0E89"/>
    <w:rsid w:val="00FA0F3F"/>
    <w:rsid w:val="00FA13F3"/>
    <w:rsid w:val="00FA1615"/>
    <w:rsid w:val="00FA1A94"/>
    <w:rsid w:val="00FA28B4"/>
    <w:rsid w:val="00FA3A4D"/>
    <w:rsid w:val="00FA494F"/>
    <w:rsid w:val="00FA55F2"/>
    <w:rsid w:val="00FA6A27"/>
    <w:rsid w:val="00FA6DEC"/>
    <w:rsid w:val="00FA74BF"/>
    <w:rsid w:val="00FA76C9"/>
    <w:rsid w:val="00FA772A"/>
    <w:rsid w:val="00FB13A5"/>
    <w:rsid w:val="00FB3AE0"/>
    <w:rsid w:val="00FB5A54"/>
    <w:rsid w:val="00FB5DDF"/>
    <w:rsid w:val="00FB7BC2"/>
    <w:rsid w:val="00FC0001"/>
    <w:rsid w:val="00FC130E"/>
    <w:rsid w:val="00FC58A1"/>
    <w:rsid w:val="00FC7250"/>
    <w:rsid w:val="00FD2A53"/>
    <w:rsid w:val="00FD2D22"/>
    <w:rsid w:val="00FD3B53"/>
    <w:rsid w:val="00FD4C5C"/>
    <w:rsid w:val="00FD5AEA"/>
    <w:rsid w:val="00FD5F68"/>
    <w:rsid w:val="00FD5FE4"/>
    <w:rsid w:val="00FD6C88"/>
    <w:rsid w:val="00FD736F"/>
    <w:rsid w:val="00FD79F6"/>
    <w:rsid w:val="00FE0AD3"/>
    <w:rsid w:val="00FE0DA3"/>
    <w:rsid w:val="00FE0DC2"/>
    <w:rsid w:val="00FE10E6"/>
    <w:rsid w:val="00FE1B67"/>
    <w:rsid w:val="00FE2377"/>
    <w:rsid w:val="00FE2BCD"/>
    <w:rsid w:val="00FE3059"/>
    <w:rsid w:val="00FE3FC5"/>
    <w:rsid w:val="00FE4B3A"/>
    <w:rsid w:val="00FE5810"/>
    <w:rsid w:val="00FE6A7A"/>
    <w:rsid w:val="00FE7A68"/>
    <w:rsid w:val="00FE7CD6"/>
    <w:rsid w:val="00FF03D7"/>
    <w:rsid w:val="00FF13CA"/>
    <w:rsid w:val="00FF14C4"/>
    <w:rsid w:val="00FF172B"/>
    <w:rsid w:val="00FF3BA8"/>
    <w:rsid w:val="00FF42DD"/>
    <w:rsid w:val="00FF53A2"/>
    <w:rsid w:val="00FF5583"/>
    <w:rsid w:val="00FF5B5B"/>
    <w:rsid w:val="00FF5F14"/>
    <w:rsid w:val="00FF60E5"/>
    <w:rsid w:val="00FF69CF"/>
    <w:rsid w:val="00FF75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473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55F5C"/>
    <w:pPr>
      <w:overflowPunct w:val="0"/>
      <w:autoSpaceDE w:val="0"/>
      <w:autoSpaceDN w:val="0"/>
      <w:adjustRightInd w:val="0"/>
      <w:textAlignment w:val="baseline"/>
    </w:pPr>
  </w:style>
  <w:style w:type="paragraph" w:styleId="Nadpis1">
    <w:name w:val="heading 1"/>
    <w:basedOn w:val="Normln"/>
    <w:next w:val="Normln"/>
    <w:link w:val="Nadpis1Char"/>
    <w:qFormat/>
    <w:pPr>
      <w:keepNext/>
      <w:outlineLvl w:val="0"/>
    </w:pPr>
    <w:rPr>
      <w:sz w:val="24"/>
    </w:rPr>
  </w:style>
  <w:style w:type="paragraph" w:styleId="Nadpis2">
    <w:name w:val="heading 2"/>
    <w:basedOn w:val="Normln"/>
    <w:next w:val="Normln"/>
    <w:qFormat/>
    <w:pPr>
      <w:keepNext/>
      <w:numPr>
        <w:ilvl w:val="1"/>
        <w:numId w:val="1"/>
      </w:numPr>
      <w:tabs>
        <w:tab w:val="left" w:pos="576"/>
      </w:tabs>
      <w:jc w:val="both"/>
      <w:outlineLvl w:val="1"/>
    </w:pPr>
    <w:rPr>
      <w:b/>
      <w:sz w:val="24"/>
    </w:rPr>
  </w:style>
  <w:style w:type="paragraph" w:styleId="Nadpis3">
    <w:name w:val="heading 3"/>
    <w:basedOn w:val="Normln"/>
    <w:next w:val="Normln"/>
    <w:qFormat/>
    <w:pPr>
      <w:keepNext/>
      <w:numPr>
        <w:ilvl w:val="2"/>
        <w:numId w:val="1"/>
      </w:numPr>
      <w:tabs>
        <w:tab w:val="left" w:pos="720"/>
      </w:tabs>
      <w:jc w:val="both"/>
      <w:outlineLvl w:val="2"/>
    </w:pPr>
    <w:rPr>
      <w:b/>
      <w:sz w:val="24"/>
      <w:u w:val="single"/>
    </w:rPr>
  </w:style>
  <w:style w:type="paragraph" w:styleId="Nadpis4">
    <w:name w:val="heading 4"/>
    <w:basedOn w:val="Normln"/>
    <w:next w:val="Normln"/>
    <w:qFormat/>
    <w:pPr>
      <w:keepNext/>
      <w:numPr>
        <w:ilvl w:val="3"/>
        <w:numId w:val="1"/>
      </w:numPr>
      <w:tabs>
        <w:tab w:val="left" w:pos="864"/>
      </w:tabs>
      <w:outlineLvl w:val="3"/>
    </w:pPr>
    <w:rPr>
      <w:b/>
      <w:sz w:val="24"/>
    </w:rPr>
  </w:style>
  <w:style w:type="paragraph" w:styleId="Nadpis5">
    <w:name w:val="heading 5"/>
    <w:basedOn w:val="Normln"/>
    <w:next w:val="Normln"/>
    <w:qFormat/>
    <w:pPr>
      <w:keepNext/>
      <w:numPr>
        <w:ilvl w:val="4"/>
        <w:numId w:val="1"/>
      </w:numPr>
      <w:tabs>
        <w:tab w:val="left" w:pos="1008"/>
      </w:tabs>
      <w:spacing w:before="120"/>
      <w:jc w:val="center"/>
      <w:outlineLvl w:val="4"/>
    </w:pPr>
    <w:rPr>
      <w:color w:val="000000"/>
      <w:sz w:val="24"/>
    </w:rPr>
  </w:style>
  <w:style w:type="paragraph" w:styleId="Nadpis6">
    <w:name w:val="heading 6"/>
    <w:basedOn w:val="Normln"/>
    <w:next w:val="Normln"/>
    <w:qFormat/>
    <w:pPr>
      <w:keepNext/>
      <w:numPr>
        <w:ilvl w:val="5"/>
        <w:numId w:val="1"/>
      </w:numPr>
      <w:tabs>
        <w:tab w:val="left" w:pos="1152"/>
      </w:tabs>
      <w:outlineLvl w:val="5"/>
    </w:pPr>
    <w:rPr>
      <w:color w:val="000000"/>
      <w:sz w:val="24"/>
    </w:rPr>
  </w:style>
  <w:style w:type="paragraph" w:styleId="Nadpis7">
    <w:name w:val="heading 7"/>
    <w:basedOn w:val="Normln"/>
    <w:next w:val="Normln"/>
    <w:qFormat/>
    <w:pPr>
      <w:keepNext/>
      <w:numPr>
        <w:ilvl w:val="6"/>
        <w:numId w:val="1"/>
      </w:numPr>
      <w:tabs>
        <w:tab w:val="left" w:pos="1296"/>
      </w:tabs>
      <w:spacing w:before="240"/>
      <w:jc w:val="both"/>
      <w:outlineLvl w:val="6"/>
    </w:pPr>
    <w:rPr>
      <w:b/>
      <w:sz w:val="36"/>
    </w:rPr>
  </w:style>
  <w:style w:type="paragraph" w:styleId="Nadpis8">
    <w:name w:val="heading 8"/>
    <w:basedOn w:val="Normln"/>
    <w:next w:val="Normln"/>
    <w:qFormat/>
    <w:pPr>
      <w:numPr>
        <w:ilvl w:val="7"/>
        <w:numId w:val="1"/>
      </w:numPr>
      <w:tabs>
        <w:tab w:val="left" w:pos="1440"/>
      </w:tabs>
      <w:spacing w:before="240" w:after="60"/>
      <w:outlineLvl w:val="7"/>
    </w:pPr>
    <w:rPr>
      <w:rFonts w:ascii="Arial" w:hAnsi="Arial"/>
      <w:i/>
    </w:rPr>
  </w:style>
  <w:style w:type="paragraph" w:styleId="Nadpis9">
    <w:name w:val="heading 9"/>
    <w:basedOn w:val="Normln"/>
    <w:next w:val="Normln"/>
    <w:qFormat/>
    <w:pPr>
      <w:numPr>
        <w:ilvl w:val="8"/>
        <w:numId w:val="1"/>
      </w:numPr>
      <w:tabs>
        <w:tab w:val="left" w:pos="1584"/>
      </w:tabs>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rPr>
      <w:sz w:val="24"/>
    </w:rPr>
  </w:style>
  <w:style w:type="paragraph" w:customStyle="1" w:styleId="Zkladntext21">
    <w:name w:val="Základní text 21"/>
    <w:basedOn w:val="Normln"/>
    <w:pPr>
      <w:jc w:val="both"/>
    </w:pPr>
    <w:rPr>
      <w:b/>
      <w:sz w:val="36"/>
    </w:rPr>
  </w:style>
  <w:style w:type="paragraph" w:customStyle="1" w:styleId="Zkladntext22">
    <w:name w:val="Základní text 22"/>
    <w:basedOn w:val="Normln"/>
    <w:pPr>
      <w:jc w:val="both"/>
    </w:pPr>
    <w:rPr>
      <w:rFonts w:ascii="Bookman Old Style" w:hAnsi="Bookman Old Style"/>
      <w:sz w:val="22"/>
    </w:rPr>
  </w:style>
  <w:style w:type="paragraph" w:customStyle="1" w:styleId="Zkladntextodsazen21">
    <w:name w:val="Základní text odsazený 21"/>
    <w:basedOn w:val="Normln"/>
    <w:pPr>
      <w:ind w:firstLine="284"/>
      <w:jc w:val="both"/>
    </w:pPr>
    <w:rPr>
      <w:sz w:val="24"/>
    </w:rPr>
  </w:style>
  <w:style w:type="paragraph" w:styleId="Titulek">
    <w:name w:val="caption"/>
    <w:basedOn w:val="Normln"/>
    <w:next w:val="Normln"/>
    <w:qFormat/>
    <w:pPr>
      <w:ind w:firstLine="284"/>
      <w:jc w:val="both"/>
    </w:pPr>
    <w:rPr>
      <w:sz w:val="24"/>
    </w:rPr>
  </w:style>
  <w:style w:type="paragraph" w:styleId="Zhlav">
    <w:name w:val="header"/>
    <w:basedOn w:val="Normln"/>
    <w:link w:val="ZhlavChar"/>
    <w:pPr>
      <w:tabs>
        <w:tab w:val="center" w:pos="4536"/>
        <w:tab w:val="right" w:pos="9072"/>
      </w:tabs>
    </w:pPr>
  </w:style>
  <w:style w:type="paragraph" w:styleId="Zpat">
    <w:name w:val="footer"/>
    <w:basedOn w:val="Normln"/>
    <w:pPr>
      <w:tabs>
        <w:tab w:val="center" w:pos="4536"/>
        <w:tab w:val="right" w:pos="9072"/>
      </w:tabs>
    </w:pPr>
  </w:style>
  <w:style w:type="paragraph" w:customStyle="1" w:styleId="Zkladntextodsazen31">
    <w:name w:val="Základní text odsazený 31"/>
    <w:basedOn w:val="Normln"/>
    <w:pPr>
      <w:spacing w:before="120"/>
      <w:ind w:firstLine="425"/>
      <w:jc w:val="both"/>
    </w:pPr>
    <w:rPr>
      <w:sz w:val="24"/>
    </w:rPr>
  </w:style>
  <w:style w:type="character" w:styleId="slostrnky">
    <w:name w:val="page number"/>
    <w:basedOn w:val="Standardnpsmoodstavce"/>
  </w:style>
  <w:style w:type="paragraph" w:customStyle="1" w:styleId="Rozloendokumentu1">
    <w:name w:val="Rozložení dokumentu1"/>
    <w:basedOn w:val="Normln"/>
    <w:pPr>
      <w:shd w:val="clear" w:color="auto" w:fill="000080"/>
    </w:pPr>
    <w:rPr>
      <w:rFonts w:ascii="Tahoma" w:hAnsi="Tahoma"/>
    </w:rPr>
  </w:style>
  <w:style w:type="paragraph" w:customStyle="1" w:styleId="xl23">
    <w:name w:val="xl23"/>
    <w:basedOn w:val="Normln"/>
    <w:pPr>
      <w:pBdr>
        <w:bottom w:val="single" w:sz="6" w:space="0" w:color="auto"/>
        <w:right w:val="single" w:sz="6" w:space="0" w:color="auto"/>
      </w:pBdr>
      <w:spacing w:before="100" w:after="100"/>
    </w:pPr>
    <w:rPr>
      <w:sz w:val="24"/>
    </w:rPr>
  </w:style>
  <w:style w:type="paragraph" w:customStyle="1" w:styleId="Zkladntext23">
    <w:name w:val="Základní text 23"/>
    <w:basedOn w:val="Normln"/>
    <w:pPr>
      <w:spacing w:before="120"/>
      <w:ind w:firstLine="426"/>
      <w:jc w:val="both"/>
    </w:pPr>
    <w:rPr>
      <w:sz w:val="24"/>
    </w:rPr>
  </w:style>
  <w:style w:type="paragraph" w:styleId="Normlnweb">
    <w:name w:val="Normal (Web)"/>
    <w:basedOn w:val="Normln"/>
    <w:rsid w:val="006742EF"/>
    <w:pPr>
      <w:overflowPunct/>
      <w:autoSpaceDE/>
      <w:autoSpaceDN/>
      <w:adjustRightInd/>
      <w:spacing w:before="100" w:beforeAutospacing="1" w:after="100" w:afterAutospacing="1"/>
      <w:textAlignment w:val="auto"/>
    </w:pPr>
    <w:rPr>
      <w:rFonts w:eastAsia="SimSun"/>
      <w:sz w:val="24"/>
      <w:szCs w:val="24"/>
      <w:lang w:eastAsia="zh-CN"/>
    </w:rPr>
  </w:style>
  <w:style w:type="table" w:styleId="Mkatabulky">
    <w:name w:val="Table Grid"/>
    <w:basedOn w:val="Normlntabulka"/>
    <w:rsid w:val="00EB6E48"/>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
    <w:semiHidden/>
    <w:rsid w:val="00FE0DA3"/>
    <w:rPr>
      <w:rFonts w:ascii="Tahoma" w:hAnsi="Tahoma" w:cs="Tahoma"/>
      <w:sz w:val="16"/>
      <w:szCs w:val="16"/>
    </w:rPr>
  </w:style>
  <w:style w:type="character" w:styleId="Hypertextovodkaz">
    <w:name w:val="Hyperlink"/>
    <w:rsid w:val="00570A21"/>
    <w:rPr>
      <w:color w:val="0000FF"/>
      <w:u w:val="single"/>
    </w:rPr>
  </w:style>
  <w:style w:type="character" w:customStyle="1" w:styleId="Nadpis1Char">
    <w:name w:val="Nadpis 1 Char"/>
    <w:link w:val="Nadpis1"/>
    <w:rsid w:val="0083318B"/>
    <w:rPr>
      <w:sz w:val="24"/>
    </w:rPr>
  </w:style>
  <w:style w:type="character" w:customStyle="1" w:styleId="ZhlavChar">
    <w:name w:val="Záhlaví Char"/>
    <w:link w:val="Zhlav"/>
    <w:rsid w:val="0083318B"/>
  </w:style>
  <w:style w:type="character" w:styleId="Sledovanodkaz">
    <w:name w:val="FollowedHyperlink"/>
    <w:basedOn w:val="Standardnpsmoodstavce"/>
    <w:semiHidden/>
    <w:unhideWhenUsed/>
    <w:rsid w:val="00CE06D0"/>
    <w:rPr>
      <w:color w:val="800080" w:themeColor="followedHyperlink"/>
      <w:u w:val="single"/>
    </w:rPr>
  </w:style>
  <w:style w:type="paragraph" w:styleId="Textpoznpodarou">
    <w:name w:val="footnote text"/>
    <w:basedOn w:val="Normln"/>
    <w:link w:val="TextpoznpodarouChar"/>
    <w:semiHidden/>
    <w:unhideWhenUsed/>
    <w:rsid w:val="00550E23"/>
  </w:style>
  <w:style w:type="character" w:customStyle="1" w:styleId="TextpoznpodarouChar">
    <w:name w:val="Text pozn. pod čarou Char"/>
    <w:basedOn w:val="Standardnpsmoodstavce"/>
    <w:link w:val="Textpoznpodarou"/>
    <w:semiHidden/>
    <w:rsid w:val="00550E23"/>
  </w:style>
  <w:style w:type="character" w:styleId="Znakapoznpodarou">
    <w:name w:val="footnote reference"/>
    <w:basedOn w:val="Standardnpsmoodstavce"/>
    <w:semiHidden/>
    <w:unhideWhenUsed/>
    <w:rsid w:val="00550E23"/>
    <w:rPr>
      <w:vertAlign w:val="superscript"/>
    </w:rPr>
  </w:style>
  <w:style w:type="paragraph" w:styleId="Textvysvtlivek">
    <w:name w:val="endnote text"/>
    <w:basedOn w:val="Normln"/>
    <w:link w:val="TextvysvtlivekChar"/>
    <w:semiHidden/>
    <w:unhideWhenUsed/>
    <w:rsid w:val="00550E23"/>
  </w:style>
  <w:style w:type="character" w:customStyle="1" w:styleId="TextvysvtlivekChar">
    <w:name w:val="Text vysvětlivek Char"/>
    <w:basedOn w:val="Standardnpsmoodstavce"/>
    <w:link w:val="Textvysvtlivek"/>
    <w:semiHidden/>
    <w:rsid w:val="00550E23"/>
  </w:style>
  <w:style w:type="character" w:styleId="Odkaznavysvtlivky">
    <w:name w:val="endnote reference"/>
    <w:basedOn w:val="Standardnpsmoodstavce"/>
    <w:semiHidden/>
    <w:unhideWhenUsed/>
    <w:rsid w:val="00550E2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55F5C"/>
    <w:pPr>
      <w:overflowPunct w:val="0"/>
      <w:autoSpaceDE w:val="0"/>
      <w:autoSpaceDN w:val="0"/>
      <w:adjustRightInd w:val="0"/>
      <w:textAlignment w:val="baseline"/>
    </w:pPr>
  </w:style>
  <w:style w:type="paragraph" w:styleId="Nadpis1">
    <w:name w:val="heading 1"/>
    <w:basedOn w:val="Normln"/>
    <w:next w:val="Normln"/>
    <w:link w:val="Nadpis1Char"/>
    <w:qFormat/>
    <w:pPr>
      <w:keepNext/>
      <w:outlineLvl w:val="0"/>
    </w:pPr>
    <w:rPr>
      <w:sz w:val="24"/>
    </w:rPr>
  </w:style>
  <w:style w:type="paragraph" w:styleId="Nadpis2">
    <w:name w:val="heading 2"/>
    <w:basedOn w:val="Normln"/>
    <w:next w:val="Normln"/>
    <w:qFormat/>
    <w:pPr>
      <w:keepNext/>
      <w:numPr>
        <w:ilvl w:val="1"/>
        <w:numId w:val="1"/>
      </w:numPr>
      <w:tabs>
        <w:tab w:val="left" w:pos="576"/>
      </w:tabs>
      <w:jc w:val="both"/>
      <w:outlineLvl w:val="1"/>
    </w:pPr>
    <w:rPr>
      <w:b/>
      <w:sz w:val="24"/>
    </w:rPr>
  </w:style>
  <w:style w:type="paragraph" w:styleId="Nadpis3">
    <w:name w:val="heading 3"/>
    <w:basedOn w:val="Normln"/>
    <w:next w:val="Normln"/>
    <w:qFormat/>
    <w:pPr>
      <w:keepNext/>
      <w:numPr>
        <w:ilvl w:val="2"/>
        <w:numId w:val="1"/>
      </w:numPr>
      <w:tabs>
        <w:tab w:val="left" w:pos="720"/>
      </w:tabs>
      <w:jc w:val="both"/>
      <w:outlineLvl w:val="2"/>
    </w:pPr>
    <w:rPr>
      <w:b/>
      <w:sz w:val="24"/>
      <w:u w:val="single"/>
    </w:rPr>
  </w:style>
  <w:style w:type="paragraph" w:styleId="Nadpis4">
    <w:name w:val="heading 4"/>
    <w:basedOn w:val="Normln"/>
    <w:next w:val="Normln"/>
    <w:qFormat/>
    <w:pPr>
      <w:keepNext/>
      <w:numPr>
        <w:ilvl w:val="3"/>
        <w:numId w:val="1"/>
      </w:numPr>
      <w:tabs>
        <w:tab w:val="left" w:pos="864"/>
      </w:tabs>
      <w:outlineLvl w:val="3"/>
    </w:pPr>
    <w:rPr>
      <w:b/>
      <w:sz w:val="24"/>
    </w:rPr>
  </w:style>
  <w:style w:type="paragraph" w:styleId="Nadpis5">
    <w:name w:val="heading 5"/>
    <w:basedOn w:val="Normln"/>
    <w:next w:val="Normln"/>
    <w:qFormat/>
    <w:pPr>
      <w:keepNext/>
      <w:numPr>
        <w:ilvl w:val="4"/>
        <w:numId w:val="1"/>
      </w:numPr>
      <w:tabs>
        <w:tab w:val="left" w:pos="1008"/>
      </w:tabs>
      <w:spacing w:before="120"/>
      <w:jc w:val="center"/>
      <w:outlineLvl w:val="4"/>
    </w:pPr>
    <w:rPr>
      <w:color w:val="000000"/>
      <w:sz w:val="24"/>
    </w:rPr>
  </w:style>
  <w:style w:type="paragraph" w:styleId="Nadpis6">
    <w:name w:val="heading 6"/>
    <w:basedOn w:val="Normln"/>
    <w:next w:val="Normln"/>
    <w:qFormat/>
    <w:pPr>
      <w:keepNext/>
      <w:numPr>
        <w:ilvl w:val="5"/>
        <w:numId w:val="1"/>
      </w:numPr>
      <w:tabs>
        <w:tab w:val="left" w:pos="1152"/>
      </w:tabs>
      <w:outlineLvl w:val="5"/>
    </w:pPr>
    <w:rPr>
      <w:color w:val="000000"/>
      <w:sz w:val="24"/>
    </w:rPr>
  </w:style>
  <w:style w:type="paragraph" w:styleId="Nadpis7">
    <w:name w:val="heading 7"/>
    <w:basedOn w:val="Normln"/>
    <w:next w:val="Normln"/>
    <w:qFormat/>
    <w:pPr>
      <w:keepNext/>
      <w:numPr>
        <w:ilvl w:val="6"/>
        <w:numId w:val="1"/>
      </w:numPr>
      <w:tabs>
        <w:tab w:val="left" w:pos="1296"/>
      </w:tabs>
      <w:spacing w:before="240"/>
      <w:jc w:val="both"/>
      <w:outlineLvl w:val="6"/>
    </w:pPr>
    <w:rPr>
      <w:b/>
      <w:sz w:val="36"/>
    </w:rPr>
  </w:style>
  <w:style w:type="paragraph" w:styleId="Nadpis8">
    <w:name w:val="heading 8"/>
    <w:basedOn w:val="Normln"/>
    <w:next w:val="Normln"/>
    <w:qFormat/>
    <w:pPr>
      <w:numPr>
        <w:ilvl w:val="7"/>
        <w:numId w:val="1"/>
      </w:numPr>
      <w:tabs>
        <w:tab w:val="left" w:pos="1440"/>
      </w:tabs>
      <w:spacing w:before="240" w:after="60"/>
      <w:outlineLvl w:val="7"/>
    </w:pPr>
    <w:rPr>
      <w:rFonts w:ascii="Arial" w:hAnsi="Arial"/>
      <w:i/>
    </w:rPr>
  </w:style>
  <w:style w:type="paragraph" w:styleId="Nadpis9">
    <w:name w:val="heading 9"/>
    <w:basedOn w:val="Normln"/>
    <w:next w:val="Normln"/>
    <w:qFormat/>
    <w:pPr>
      <w:numPr>
        <w:ilvl w:val="8"/>
        <w:numId w:val="1"/>
      </w:numPr>
      <w:tabs>
        <w:tab w:val="left" w:pos="1584"/>
      </w:tabs>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rPr>
      <w:sz w:val="24"/>
    </w:rPr>
  </w:style>
  <w:style w:type="paragraph" w:customStyle="1" w:styleId="Zkladntext21">
    <w:name w:val="Základní text 21"/>
    <w:basedOn w:val="Normln"/>
    <w:pPr>
      <w:jc w:val="both"/>
    </w:pPr>
    <w:rPr>
      <w:b/>
      <w:sz w:val="36"/>
    </w:rPr>
  </w:style>
  <w:style w:type="paragraph" w:customStyle="1" w:styleId="Zkladntext22">
    <w:name w:val="Základní text 22"/>
    <w:basedOn w:val="Normln"/>
    <w:pPr>
      <w:jc w:val="both"/>
    </w:pPr>
    <w:rPr>
      <w:rFonts w:ascii="Bookman Old Style" w:hAnsi="Bookman Old Style"/>
      <w:sz w:val="22"/>
    </w:rPr>
  </w:style>
  <w:style w:type="paragraph" w:customStyle="1" w:styleId="Zkladntextodsazen21">
    <w:name w:val="Základní text odsazený 21"/>
    <w:basedOn w:val="Normln"/>
    <w:pPr>
      <w:ind w:firstLine="284"/>
      <w:jc w:val="both"/>
    </w:pPr>
    <w:rPr>
      <w:sz w:val="24"/>
    </w:rPr>
  </w:style>
  <w:style w:type="paragraph" w:styleId="Titulek">
    <w:name w:val="caption"/>
    <w:basedOn w:val="Normln"/>
    <w:next w:val="Normln"/>
    <w:qFormat/>
    <w:pPr>
      <w:ind w:firstLine="284"/>
      <w:jc w:val="both"/>
    </w:pPr>
    <w:rPr>
      <w:sz w:val="24"/>
    </w:rPr>
  </w:style>
  <w:style w:type="paragraph" w:styleId="Zhlav">
    <w:name w:val="header"/>
    <w:basedOn w:val="Normln"/>
    <w:link w:val="ZhlavChar"/>
    <w:pPr>
      <w:tabs>
        <w:tab w:val="center" w:pos="4536"/>
        <w:tab w:val="right" w:pos="9072"/>
      </w:tabs>
    </w:pPr>
  </w:style>
  <w:style w:type="paragraph" w:styleId="Zpat">
    <w:name w:val="footer"/>
    <w:basedOn w:val="Normln"/>
    <w:pPr>
      <w:tabs>
        <w:tab w:val="center" w:pos="4536"/>
        <w:tab w:val="right" w:pos="9072"/>
      </w:tabs>
    </w:pPr>
  </w:style>
  <w:style w:type="paragraph" w:customStyle="1" w:styleId="Zkladntextodsazen31">
    <w:name w:val="Základní text odsazený 31"/>
    <w:basedOn w:val="Normln"/>
    <w:pPr>
      <w:spacing w:before="120"/>
      <w:ind w:firstLine="425"/>
      <w:jc w:val="both"/>
    </w:pPr>
    <w:rPr>
      <w:sz w:val="24"/>
    </w:rPr>
  </w:style>
  <w:style w:type="character" w:styleId="slostrnky">
    <w:name w:val="page number"/>
    <w:basedOn w:val="Standardnpsmoodstavce"/>
  </w:style>
  <w:style w:type="paragraph" w:customStyle="1" w:styleId="Rozloendokumentu1">
    <w:name w:val="Rozložení dokumentu1"/>
    <w:basedOn w:val="Normln"/>
    <w:pPr>
      <w:shd w:val="clear" w:color="auto" w:fill="000080"/>
    </w:pPr>
    <w:rPr>
      <w:rFonts w:ascii="Tahoma" w:hAnsi="Tahoma"/>
    </w:rPr>
  </w:style>
  <w:style w:type="paragraph" w:customStyle="1" w:styleId="xl23">
    <w:name w:val="xl23"/>
    <w:basedOn w:val="Normln"/>
    <w:pPr>
      <w:pBdr>
        <w:bottom w:val="single" w:sz="6" w:space="0" w:color="auto"/>
        <w:right w:val="single" w:sz="6" w:space="0" w:color="auto"/>
      </w:pBdr>
      <w:spacing w:before="100" w:after="100"/>
    </w:pPr>
    <w:rPr>
      <w:sz w:val="24"/>
    </w:rPr>
  </w:style>
  <w:style w:type="paragraph" w:customStyle="1" w:styleId="Zkladntext23">
    <w:name w:val="Základní text 23"/>
    <w:basedOn w:val="Normln"/>
    <w:pPr>
      <w:spacing w:before="120"/>
      <w:ind w:firstLine="426"/>
      <w:jc w:val="both"/>
    </w:pPr>
    <w:rPr>
      <w:sz w:val="24"/>
    </w:rPr>
  </w:style>
  <w:style w:type="paragraph" w:styleId="Normlnweb">
    <w:name w:val="Normal (Web)"/>
    <w:basedOn w:val="Normln"/>
    <w:rsid w:val="006742EF"/>
    <w:pPr>
      <w:overflowPunct/>
      <w:autoSpaceDE/>
      <w:autoSpaceDN/>
      <w:adjustRightInd/>
      <w:spacing w:before="100" w:beforeAutospacing="1" w:after="100" w:afterAutospacing="1"/>
      <w:textAlignment w:val="auto"/>
    </w:pPr>
    <w:rPr>
      <w:rFonts w:eastAsia="SimSun"/>
      <w:sz w:val="24"/>
      <w:szCs w:val="24"/>
      <w:lang w:eastAsia="zh-CN"/>
    </w:rPr>
  </w:style>
  <w:style w:type="table" w:styleId="Mkatabulky">
    <w:name w:val="Table Grid"/>
    <w:basedOn w:val="Normlntabulka"/>
    <w:rsid w:val="00EB6E48"/>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
    <w:semiHidden/>
    <w:rsid w:val="00FE0DA3"/>
    <w:rPr>
      <w:rFonts w:ascii="Tahoma" w:hAnsi="Tahoma" w:cs="Tahoma"/>
      <w:sz w:val="16"/>
      <w:szCs w:val="16"/>
    </w:rPr>
  </w:style>
  <w:style w:type="character" w:styleId="Hypertextovodkaz">
    <w:name w:val="Hyperlink"/>
    <w:rsid w:val="00570A21"/>
    <w:rPr>
      <w:color w:val="0000FF"/>
      <w:u w:val="single"/>
    </w:rPr>
  </w:style>
  <w:style w:type="character" w:customStyle="1" w:styleId="Nadpis1Char">
    <w:name w:val="Nadpis 1 Char"/>
    <w:link w:val="Nadpis1"/>
    <w:rsid w:val="0083318B"/>
    <w:rPr>
      <w:sz w:val="24"/>
    </w:rPr>
  </w:style>
  <w:style w:type="character" w:customStyle="1" w:styleId="ZhlavChar">
    <w:name w:val="Záhlaví Char"/>
    <w:link w:val="Zhlav"/>
    <w:rsid w:val="0083318B"/>
  </w:style>
  <w:style w:type="character" w:styleId="Sledovanodkaz">
    <w:name w:val="FollowedHyperlink"/>
    <w:basedOn w:val="Standardnpsmoodstavce"/>
    <w:semiHidden/>
    <w:unhideWhenUsed/>
    <w:rsid w:val="00CE06D0"/>
    <w:rPr>
      <w:color w:val="800080" w:themeColor="followedHyperlink"/>
      <w:u w:val="single"/>
    </w:rPr>
  </w:style>
  <w:style w:type="paragraph" w:styleId="Textpoznpodarou">
    <w:name w:val="footnote text"/>
    <w:basedOn w:val="Normln"/>
    <w:link w:val="TextpoznpodarouChar"/>
    <w:semiHidden/>
    <w:unhideWhenUsed/>
    <w:rsid w:val="00550E23"/>
  </w:style>
  <w:style w:type="character" w:customStyle="1" w:styleId="TextpoznpodarouChar">
    <w:name w:val="Text pozn. pod čarou Char"/>
    <w:basedOn w:val="Standardnpsmoodstavce"/>
    <w:link w:val="Textpoznpodarou"/>
    <w:semiHidden/>
    <w:rsid w:val="00550E23"/>
  </w:style>
  <w:style w:type="character" w:styleId="Znakapoznpodarou">
    <w:name w:val="footnote reference"/>
    <w:basedOn w:val="Standardnpsmoodstavce"/>
    <w:semiHidden/>
    <w:unhideWhenUsed/>
    <w:rsid w:val="00550E23"/>
    <w:rPr>
      <w:vertAlign w:val="superscript"/>
    </w:rPr>
  </w:style>
  <w:style w:type="paragraph" w:styleId="Textvysvtlivek">
    <w:name w:val="endnote text"/>
    <w:basedOn w:val="Normln"/>
    <w:link w:val="TextvysvtlivekChar"/>
    <w:semiHidden/>
    <w:unhideWhenUsed/>
    <w:rsid w:val="00550E23"/>
  </w:style>
  <w:style w:type="character" w:customStyle="1" w:styleId="TextvysvtlivekChar">
    <w:name w:val="Text vysvětlivek Char"/>
    <w:basedOn w:val="Standardnpsmoodstavce"/>
    <w:link w:val="Textvysvtlivek"/>
    <w:semiHidden/>
    <w:rsid w:val="00550E23"/>
  </w:style>
  <w:style w:type="character" w:styleId="Odkaznavysvtlivky">
    <w:name w:val="endnote reference"/>
    <w:basedOn w:val="Standardnpsmoodstavce"/>
    <w:semiHidden/>
    <w:unhideWhenUsed/>
    <w:rsid w:val="00550E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19441">
      <w:bodyDiv w:val="1"/>
      <w:marLeft w:val="0"/>
      <w:marRight w:val="0"/>
      <w:marTop w:val="0"/>
      <w:marBottom w:val="0"/>
      <w:divBdr>
        <w:top w:val="none" w:sz="0" w:space="0" w:color="auto"/>
        <w:left w:val="none" w:sz="0" w:space="0" w:color="auto"/>
        <w:bottom w:val="none" w:sz="0" w:space="0" w:color="auto"/>
        <w:right w:val="none" w:sz="0" w:space="0" w:color="auto"/>
      </w:divBdr>
    </w:div>
    <w:div w:id="66000890">
      <w:bodyDiv w:val="1"/>
      <w:marLeft w:val="0"/>
      <w:marRight w:val="0"/>
      <w:marTop w:val="0"/>
      <w:marBottom w:val="0"/>
      <w:divBdr>
        <w:top w:val="none" w:sz="0" w:space="0" w:color="auto"/>
        <w:left w:val="none" w:sz="0" w:space="0" w:color="auto"/>
        <w:bottom w:val="none" w:sz="0" w:space="0" w:color="auto"/>
        <w:right w:val="none" w:sz="0" w:space="0" w:color="auto"/>
      </w:divBdr>
    </w:div>
    <w:div w:id="68504752">
      <w:bodyDiv w:val="1"/>
      <w:marLeft w:val="0"/>
      <w:marRight w:val="0"/>
      <w:marTop w:val="0"/>
      <w:marBottom w:val="0"/>
      <w:divBdr>
        <w:top w:val="none" w:sz="0" w:space="0" w:color="auto"/>
        <w:left w:val="none" w:sz="0" w:space="0" w:color="auto"/>
        <w:bottom w:val="none" w:sz="0" w:space="0" w:color="auto"/>
        <w:right w:val="none" w:sz="0" w:space="0" w:color="auto"/>
      </w:divBdr>
    </w:div>
    <w:div w:id="84230402">
      <w:bodyDiv w:val="1"/>
      <w:marLeft w:val="0"/>
      <w:marRight w:val="0"/>
      <w:marTop w:val="0"/>
      <w:marBottom w:val="0"/>
      <w:divBdr>
        <w:top w:val="none" w:sz="0" w:space="0" w:color="auto"/>
        <w:left w:val="none" w:sz="0" w:space="0" w:color="auto"/>
        <w:bottom w:val="none" w:sz="0" w:space="0" w:color="auto"/>
        <w:right w:val="none" w:sz="0" w:space="0" w:color="auto"/>
      </w:divBdr>
    </w:div>
    <w:div w:id="91437159">
      <w:bodyDiv w:val="1"/>
      <w:marLeft w:val="0"/>
      <w:marRight w:val="0"/>
      <w:marTop w:val="0"/>
      <w:marBottom w:val="0"/>
      <w:divBdr>
        <w:top w:val="none" w:sz="0" w:space="0" w:color="auto"/>
        <w:left w:val="none" w:sz="0" w:space="0" w:color="auto"/>
        <w:bottom w:val="none" w:sz="0" w:space="0" w:color="auto"/>
        <w:right w:val="none" w:sz="0" w:space="0" w:color="auto"/>
      </w:divBdr>
    </w:div>
    <w:div w:id="96173316">
      <w:bodyDiv w:val="1"/>
      <w:marLeft w:val="0"/>
      <w:marRight w:val="0"/>
      <w:marTop w:val="0"/>
      <w:marBottom w:val="0"/>
      <w:divBdr>
        <w:top w:val="none" w:sz="0" w:space="0" w:color="auto"/>
        <w:left w:val="none" w:sz="0" w:space="0" w:color="auto"/>
        <w:bottom w:val="none" w:sz="0" w:space="0" w:color="auto"/>
        <w:right w:val="none" w:sz="0" w:space="0" w:color="auto"/>
      </w:divBdr>
    </w:div>
    <w:div w:id="110167540">
      <w:bodyDiv w:val="1"/>
      <w:marLeft w:val="0"/>
      <w:marRight w:val="0"/>
      <w:marTop w:val="0"/>
      <w:marBottom w:val="0"/>
      <w:divBdr>
        <w:top w:val="none" w:sz="0" w:space="0" w:color="auto"/>
        <w:left w:val="none" w:sz="0" w:space="0" w:color="auto"/>
        <w:bottom w:val="none" w:sz="0" w:space="0" w:color="auto"/>
        <w:right w:val="none" w:sz="0" w:space="0" w:color="auto"/>
      </w:divBdr>
    </w:div>
    <w:div w:id="125124606">
      <w:bodyDiv w:val="1"/>
      <w:marLeft w:val="0"/>
      <w:marRight w:val="0"/>
      <w:marTop w:val="0"/>
      <w:marBottom w:val="0"/>
      <w:divBdr>
        <w:top w:val="none" w:sz="0" w:space="0" w:color="auto"/>
        <w:left w:val="none" w:sz="0" w:space="0" w:color="auto"/>
        <w:bottom w:val="none" w:sz="0" w:space="0" w:color="auto"/>
        <w:right w:val="none" w:sz="0" w:space="0" w:color="auto"/>
      </w:divBdr>
    </w:div>
    <w:div w:id="167063131">
      <w:bodyDiv w:val="1"/>
      <w:marLeft w:val="0"/>
      <w:marRight w:val="0"/>
      <w:marTop w:val="0"/>
      <w:marBottom w:val="0"/>
      <w:divBdr>
        <w:top w:val="none" w:sz="0" w:space="0" w:color="auto"/>
        <w:left w:val="none" w:sz="0" w:space="0" w:color="auto"/>
        <w:bottom w:val="none" w:sz="0" w:space="0" w:color="auto"/>
        <w:right w:val="none" w:sz="0" w:space="0" w:color="auto"/>
      </w:divBdr>
    </w:div>
    <w:div w:id="215824887">
      <w:bodyDiv w:val="1"/>
      <w:marLeft w:val="0"/>
      <w:marRight w:val="0"/>
      <w:marTop w:val="0"/>
      <w:marBottom w:val="0"/>
      <w:divBdr>
        <w:top w:val="none" w:sz="0" w:space="0" w:color="auto"/>
        <w:left w:val="none" w:sz="0" w:space="0" w:color="auto"/>
        <w:bottom w:val="none" w:sz="0" w:space="0" w:color="auto"/>
        <w:right w:val="none" w:sz="0" w:space="0" w:color="auto"/>
      </w:divBdr>
    </w:div>
    <w:div w:id="223100749">
      <w:bodyDiv w:val="1"/>
      <w:marLeft w:val="0"/>
      <w:marRight w:val="0"/>
      <w:marTop w:val="0"/>
      <w:marBottom w:val="0"/>
      <w:divBdr>
        <w:top w:val="none" w:sz="0" w:space="0" w:color="auto"/>
        <w:left w:val="none" w:sz="0" w:space="0" w:color="auto"/>
        <w:bottom w:val="none" w:sz="0" w:space="0" w:color="auto"/>
        <w:right w:val="none" w:sz="0" w:space="0" w:color="auto"/>
      </w:divBdr>
    </w:div>
    <w:div w:id="228929272">
      <w:bodyDiv w:val="1"/>
      <w:marLeft w:val="0"/>
      <w:marRight w:val="0"/>
      <w:marTop w:val="0"/>
      <w:marBottom w:val="0"/>
      <w:divBdr>
        <w:top w:val="none" w:sz="0" w:space="0" w:color="auto"/>
        <w:left w:val="none" w:sz="0" w:space="0" w:color="auto"/>
        <w:bottom w:val="none" w:sz="0" w:space="0" w:color="auto"/>
        <w:right w:val="none" w:sz="0" w:space="0" w:color="auto"/>
      </w:divBdr>
      <w:divsChild>
        <w:div w:id="1530415633">
          <w:marLeft w:val="0"/>
          <w:marRight w:val="0"/>
          <w:marTop w:val="0"/>
          <w:marBottom w:val="0"/>
          <w:divBdr>
            <w:top w:val="none" w:sz="0" w:space="0" w:color="auto"/>
            <w:left w:val="none" w:sz="0" w:space="0" w:color="auto"/>
            <w:bottom w:val="none" w:sz="0" w:space="0" w:color="auto"/>
            <w:right w:val="none" w:sz="0" w:space="0" w:color="auto"/>
          </w:divBdr>
          <w:divsChild>
            <w:div w:id="890967601">
              <w:marLeft w:val="0"/>
              <w:marRight w:val="0"/>
              <w:marTop w:val="0"/>
              <w:marBottom w:val="0"/>
              <w:divBdr>
                <w:top w:val="none" w:sz="0" w:space="0" w:color="auto"/>
                <w:left w:val="none" w:sz="0" w:space="0" w:color="auto"/>
                <w:bottom w:val="none" w:sz="0" w:space="0" w:color="auto"/>
                <w:right w:val="none" w:sz="0" w:space="0" w:color="auto"/>
              </w:divBdr>
              <w:divsChild>
                <w:div w:id="73108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630867">
      <w:bodyDiv w:val="1"/>
      <w:marLeft w:val="0"/>
      <w:marRight w:val="0"/>
      <w:marTop w:val="0"/>
      <w:marBottom w:val="0"/>
      <w:divBdr>
        <w:top w:val="none" w:sz="0" w:space="0" w:color="auto"/>
        <w:left w:val="none" w:sz="0" w:space="0" w:color="auto"/>
        <w:bottom w:val="none" w:sz="0" w:space="0" w:color="auto"/>
        <w:right w:val="none" w:sz="0" w:space="0" w:color="auto"/>
      </w:divBdr>
    </w:div>
    <w:div w:id="239484457">
      <w:bodyDiv w:val="1"/>
      <w:marLeft w:val="0"/>
      <w:marRight w:val="0"/>
      <w:marTop w:val="0"/>
      <w:marBottom w:val="0"/>
      <w:divBdr>
        <w:top w:val="none" w:sz="0" w:space="0" w:color="auto"/>
        <w:left w:val="none" w:sz="0" w:space="0" w:color="auto"/>
        <w:bottom w:val="none" w:sz="0" w:space="0" w:color="auto"/>
        <w:right w:val="none" w:sz="0" w:space="0" w:color="auto"/>
      </w:divBdr>
    </w:div>
    <w:div w:id="259457923">
      <w:bodyDiv w:val="1"/>
      <w:marLeft w:val="0"/>
      <w:marRight w:val="0"/>
      <w:marTop w:val="0"/>
      <w:marBottom w:val="0"/>
      <w:divBdr>
        <w:top w:val="none" w:sz="0" w:space="0" w:color="auto"/>
        <w:left w:val="none" w:sz="0" w:space="0" w:color="auto"/>
        <w:bottom w:val="none" w:sz="0" w:space="0" w:color="auto"/>
        <w:right w:val="none" w:sz="0" w:space="0" w:color="auto"/>
      </w:divBdr>
    </w:div>
    <w:div w:id="273446318">
      <w:bodyDiv w:val="1"/>
      <w:marLeft w:val="0"/>
      <w:marRight w:val="0"/>
      <w:marTop w:val="0"/>
      <w:marBottom w:val="0"/>
      <w:divBdr>
        <w:top w:val="none" w:sz="0" w:space="0" w:color="auto"/>
        <w:left w:val="none" w:sz="0" w:space="0" w:color="auto"/>
        <w:bottom w:val="none" w:sz="0" w:space="0" w:color="auto"/>
        <w:right w:val="none" w:sz="0" w:space="0" w:color="auto"/>
      </w:divBdr>
    </w:div>
    <w:div w:id="277880368">
      <w:bodyDiv w:val="1"/>
      <w:marLeft w:val="0"/>
      <w:marRight w:val="0"/>
      <w:marTop w:val="0"/>
      <w:marBottom w:val="0"/>
      <w:divBdr>
        <w:top w:val="none" w:sz="0" w:space="0" w:color="auto"/>
        <w:left w:val="none" w:sz="0" w:space="0" w:color="auto"/>
        <w:bottom w:val="none" w:sz="0" w:space="0" w:color="auto"/>
        <w:right w:val="none" w:sz="0" w:space="0" w:color="auto"/>
      </w:divBdr>
    </w:div>
    <w:div w:id="362366534">
      <w:bodyDiv w:val="1"/>
      <w:marLeft w:val="0"/>
      <w:marRight w:val="0"/>
      <w:marTop w:val="0"/>
      <w:marBottom w:val="0"/>
      <w:divBdr>
        <w:top w:val="none" w:sz="0" w:space="0" w:color="auto"/>
        <w:left w:val="none" w:sz="0" w:space="0" w:color="auto"/>
        <w:bottom w:val="none" w:sz="0" w:space="0" w:color="auto"/>
        <w:right w:val="none" w:sz="0" w:space="0" w:color="auto"/>
      </w:divBdr>
    </w:div>
    <w:div w:id="370612370">
      <w:bodyDiv w:val="1"/>
      <w:marLeft w:val="0"/>
      <w:marRight w:val="0"/>
      <w:marTop w:val="0"/>
      <w:marBottom w:val="0"/>
      <w:divBdr>
        <w:top w:val="none" w:sz="0" w:space="0" w:color="auto"/>
        <w:left w:val="none" w:sz="0" w:space="0" w:color="auto"/>
        <w:bottom w:val="none" w:sz="0" w:space="0" w:color="auto"/>
        <w:right w:val="none" w:sz="0" w:space="0" w:color="auto"/>
      </w:divBdr>
    </w:div>
    <w:div w:id="495726262">
      <w:bodyDiv w:val="1"/>
      <w:marLeft w:val="0"/>
      <w:marRight w:val="0"/>
      <w:marTop w:val="0"/>
      <w:marBottom w:val="0"/>
      <w:divBdr>
        <w:top w:val="none" w:sz="0" w:space="0" w:color="auto"/>
        <w:left w:val="none" w:sz="0" w:space="0" w:color="auto"/>
        <w:bottom w:val="none" w:sz="0" w:space="0" w:color="auto"/>
        <w:right w:val="none" w:sz="0" w:space="0" w:color="auto"/>
      </w:divBdr>
    </w:div>
    <w:div w:id="533882810">
      <w:bodyDiv w:val="1"/>
      <w:marLeft w:val="0"/>
      <w:marRight w:val="0"/>
      <w:marTop w:val="0"/>
      <w:marBottom w:val="0"/>
      <w:divBdr>
        <w:top w:val="none" w:sz="0" w:space="0" w:color="auto"/>
        <w:left w:val="none" w:sz="0" w:space="0" w:color="auto"/>
        <w:bottom w:val="none" w:sz="0" w:space="0" w:color="auto"/>
        <w:right w:val="none" w:sz="0" w:space="0" w:color="auto"/>
      </w:divBdr>
    </w:div>
    <w:div w:id="616764218">
      <w:bodyDiv w:val="1"/>
      <w:marLeft w:val="0"/>
      <w:marRight w:val="0"/>
      <w:marTop w:val="0"/>
      <w:marBottom w:val="0"/>
      <w:divBdr>
        <w:top w:val="none" w:sz="0" w:space="0" w:color="auto"/>
        <w:left w:val="none" w:sz="0" w:space="0" w:color="auto"/>
        <w:bottom w:val="none" w:sz="0" w:space="0" w:color="auto"/>
        <w:right w:val="none" w:sz="0" w:space="0" w:color="auto"/>
      </w:divBdr>
    </w:div>
    <w:div w:id="643781075">
      <w:bodyDiv w:val="1"/>
      <w:marLeft w:val="0"/>
      <w:marRight w:val="0"/>
      <w:marTop w:val="0"/>
      <w:marBottom w:val="0"/>
      <w:divBdr>
        <w:top w:val="none" w:sz="0" w:space="0" w:color="auto"/>
        <w:left w:val="none" w:sz="0" w:space="0" w:color="auto"/>
        <w:bottom w:val="none" w:sz="0" w:space="0" w:color="auto"/>
        <w:right w:val="none" w:sz="0" w:space="0" w:color="auto"/>
      </w:divBdr>
      <w:divsChild>
        <w:div w:id="1870483456">
          <w:marLeft w:val="0"/>
          <w:marRight w:val="0"/>
          <w:marTop w:val="0"/>
          <w:marBottom w:val="0"/>
          <w:divBdr>
            <w:top w:val="none" w:sz="0" w:space="0" w:color="auto"/>
            <w:left w:val="none" w:sz="0" w:space="0" w:color="auto"/>
            <w:bottom w:val="none" w:sz="0" w:space="0" w:color="auto"/>
            <w:right w:val="none" w:sz="0" w:space="0" w:color="auto"/>
          </w:divBdr>
          <w:divsChild>
            <w:div w:id="171264291">
              <w:marLeft w:val="0"/>
              <w:marRight w:val="0"/>
              <w:marTop w:val="0"/>
              <w:marBottom w:val="0"/>
              <w:divBdr>
                <w:top w:val="none" w:sz="0" w:space="0" w:color="auto"/>
                <w:left w:val="none" w:sz="0" w:space="0" w:color="auto"/>
                <w:bottom w:val="none" w:sz="0" w:space="0" w:color="auto"/>
                <w:right w:val="none" w:sz="0" w:space="0" w:color="auto"/>
              </w:divBdr>
            </w:div>
            <w:div w:id="405956806">
              <w:marLeft w:val="0"/>
              <w:marRight w:val="0"/>
              <w:marTop w:val="0"/>
              <w:marBottom w:val="0"/>
              <w:divBdr>
                <w:top w:val="none" w:sz="0" w:space="0" w:color="auto"/>
                <w:left w:val="none" w:sz="0" w:space="0" w:color="auto"/>
                <w:bottom w:val="none" w:sz="0" w:space="0" w:color="auto"/>
                <w:right w:val="none" w:sz="0" w:space="0" w:color="auto"/>
              </w:divBdr>
            </w:div>
            <w:div w:id="505949620">
              <w:marLeft w:val="0"/>
              <w:marRight w:val="0"/>
              <w:marTop w:val="0"/>
              <w:marBottom w:val="0"/>
              <w:divBdr>
                <w:top w:val="none" w:sz="0" w:space="0" w:color="auto"/>
                <w:left w:val="none" w:sz="0" w:space="0" w:color="auto"/>
                <w:bottom w:val="none" w:sz="0" w:space="0" w:color="auto"/>
                <w:right w:val="none" w:sz="0" w:space="0" w:color="auto"/>
              </w:divBdr>
            </w:div>
            <w:div w:id="524833032">
              <w:marLeft w:val="0"/>
              <w:marRight w:val="0"/>
              <w:marTop w:val="0"/>
              <w:marBottom w:val="0"/>
              <w:divBdr>
                <w:top w:val="none" w:sz="0" w:space="0" w:color="auto"/>
                <w:left w:val="none" w:sz="0" w:space="0" w:color="auto"/>
                <w:bottom w:val="none" w:sz="0" w:space="0" w:color="auto"/>
                <w:right w:val="none" w:sz="0" w:space="0" w:color="auto"/>
              </w:divBdr>
            </w:div>
            <w:div w:id="937785950">
              <w:marLeft w:val="0"/>
              <w:marRight w:val="0"/>
              <w:marTop w:val="0"/>
              <w:marBottom w:val="0"/>
              <w:divBdr>
                <w:top w:val="none" w:sz="0" w:space="0" w:color="auto"/>
                <w:left w:val="none" w:sz="0" w:space="0" w:color="auto"/>
                <w:bottom w:val="none" w:sz="0" w:space="0" w:color="auto"/>
                <w:right w:val="none" w:sz="0" w:space="0" w:color="auto"/>
              </w:divBdr>
            </w:div>
            <w:div w:id="1463500491">
              <w:marLeft w:val="0"/>
              <w:marRight w:val="0"/>
              <w:marTop w:val="0"/>
              <w:marBottom w:val="0"/>
              <w:divBdr>
                <w:top w:val="none" w:sz="0" w:space="0" w:color="auto"/>
                <w:left w:val="none" w:sz="0" w:space="0" w:color="auto"/>
                <w:bottom w:val="none" w:sz="0" w:space="0" w:color="auto"/>
                <w:right w:val="none" w:sz="0" w:space="0" w:color="auto"/>
              </w:divBdr>
            </w:div>
            <w:div w:id="1570770978">
              <w:marLeft w:val="0"/>
              <w:marRight w:val="0"/>
              <w:marTop w:val="0"/>
              <w:marBottom w:val="0"/>
              <w:divBdr>
                <w:top w:val="none" w:sz="0" w:space="0" w:color="auto"/>
                <w:left w:val="none" w:sz="0" w:space="0" w:color="auto"/>
                <w:bottom w:val="none" w:sz="0" w:space="0" w:color="auto"/>
                <w:right w:val="none" w:sz="0" w:space="0" w:color="auto"/>
              </w:divBdr>
            </w:div>
            <w:div w:id="205889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002770">
      <w:bodyDiv w:val="1"/>
      <w:marLeft w:val="0"/>
      <w:marRight w:val="0"/>
      <w:marTop w:val="0"/>
      <w:marBottom w:val="0"/>
      <w:divBdr>
        <w:top w:val="none" w:sz="0" w:space="0" w:color="auto"/>
        <w:left w:val="none" w:sz="0" w:space="0" w:color="auto"/>
        <w:bottom w:val="none" w:sz="0" w:space="0" w:color="auto"/>
        <w:right w:val="none" w:sz="0" w:space="0" w:color="auto"/>
      </w:divBdr>
    </w:div>
    <w:div w:id="658118404">
      <w:bodyDiv w:val="1"/>
      <w:marLeft w:val="0"/>
      <w:marRight w:val="0"/>
      <w:marTop w:val="0"/>
      <w:marBottom w:val="0"/>
      <w:divBdr>
        <w:top w:val="none" w:sz="0" w:space="0" w:color="auto"/>
        <w:left w:val="none" w:sz="0" w:space="0" w:color="auto"/>
        <w:bottom w:val="none" w:sz="0" w:space="0" w:color="auto"/>
        <w:right w:val="none" w:sz="0" w:space="0" w:color="auto"/>
      </w:divBdr>
    </w:div>
    <w:div w:id="696932829">
      <w:bodyDiv w:val="1"/>
      <w:marLeft w:val="0"/>
      <w:marRight w:val="0"/>
      <w:marTop w:val="0"/>
      <w:marBottom w:val="0"/>
      <w:divBdr>
        <w:top w:val="none" w:sz="0" w:space="0" w:color="auto"/>
        <w:left w:val="none" w:sz="0" w:space="0" w:color="auto"/>
        <w:bottom w:val="none" w:sz="0" w:space="0" w:color="auto"/>
        <w:right w:val="none" w:sz="0" w:space="0" w:color="auto"/>
      </w:divBdr>
    </w:div>
    <w:div w:id="700083482">
      <w:bodyDiv w:val="1"/>
      <w:marLeft w:val="0"/>
      <w:marRight w:val="0"/>
      <w:marTop w:val="0"/>
      <w:marBottom w:val="0"/>
      <w:divBdr>
        <w:top w:val="none" w:sz="0" w:space="0" w:color="auto"/>
        <w:left w:val="none" w:sz="0" w:space="0" w:color="auto"/>
        <w:bottom w:val="none" w:sz="0" w:space="0" w:color="auto"/>
        <w:right w:val="none" w:sz="0" w:space="0" w:color="auto"/>
      </w:divBdr>
    </w:div>
    <w:div w:id="733745490">
      <w:bodyDiv w:val="1"/>
      <w:marLeft w:val="0"/>
      <w:marRight w:val="0"/>
      <w:marTop w:val="0"/>
      <w:marBottom w:val="0"/>
      <w:divBdr>
        <w:top w:val="none" w:sz="0" w:space="0" w:color="auto"/>
        <w:left w:val="none" w:sz="0" w:space="0" w:color="auto"/>
        <w:bottom w:val="none" w:sz="0" w:space="0" w:color="auto"/>
        <w:right w:val="none" w:sz="0" w:space="0" w:color="auto"/>
      </w:divBdr>
    </w:div>
    <w:div w:id="741021969">
      <w:bodyDiv w:val="1"/>
      <w:marLeft w:val="0"/>
      <w:marRight w:val="0"/>
      <w:marTop w:val="0"/>
      <w:marBottom w:val="0"/>
      <w:divBdr>
        <w:top w:val="none" w:sz="0" w:space="0" w:color="auto"/>
        <w:left w:val="none" w:sz="0" w:space="0" w:color="auto"/>
        <w:bottom w:val="none" w:sz="0" w:space="0" w:color="auto"/>
        <w:right w:val="none" w:sz="0" w:space="0" w:color="auto"/>
      </w:divBdr>
    </w:div>
    <w:div w:id="746153975">
      <w:bodyDiv w:val="1"/>
      <w:marLeft w:val="0"/>
      <w:marRight w:val="0"/>
      <w:marTop w:val="0"/>
      <w:marBottom w:val="0"/>
      <w:divBdr>
        <w:top w:val="none" w:sz="0" w:space="0" w:color="auto"/>
        <w:left w:val="none" w:sz="0" w:space="0" w:color="auto"/>
        <w:bottom w:val="none" w:sz="0" w:space="0" w:color="auto"/>
        <w:right w:val="none" w:sz="0" w:space="0" w:color="auto"/>
      </w:divBdr>
    </w:div>
    <w:div w:id="785659983">
      <w:bodyDiv w:val="1"/>
      <w:marLeft w:val="0"/>
      <w:marRight w:val="0"/>
      <w:marTop w:val="0"/>
      <w:marBottom w:val="0"/>
      <w:divBdr>
        <w:top w:val="none" w:sz="0" w:space="0" w:color="auto"/>
        <w:left w:val="none" w:sz="0" w:space="0" w:color="auto"/>
        <w:bottom w:val="none" w:sz="0" w:space="0" w:color="auto"/>
        <w:right w:val="none" w:sz="0" w:space="0" w:color="auto"/>
      </w:divBdr>
    </w:div>
    <w:div w:id="785779981">
      <w:bodyDiv w:val="1"/>
      <w:marLeft w:val="0"/>
      <w:marRight w:val="0"/>
      <w:marTop w:val="0"/>
      <w:marBottom w:val="0"/>
      <w:divBdr>
        <w:top w:val="none" w:sz="0" w:space="0" w:color="auto"/>
        <w:left w:val="none" w:sz="0" w:space="0" w:color="auto"/>
        <w:bottom w:val="none" w:sz="0" w:space="0" w:color="auto"/>
        <w:right w:val="none" w:sz="0" w:space="0" w:color="auto"/>
      </w:divBdr>
    </w:div>
    <w:div w:id="799110616">
      <w:bodyDiv w:val="1"/>
      <w:marLeft w:val="0"/>
      <w:marRight w:val="0"/>
      <w:marTop w:val="0"/>
      <w:marBottom w:val="0"/>
      <w:divBdr>
        <w:top w:val="none" w:sz="0" w:space="0" w:color="auto"/>
        <w:left w:val="none" w:sz="0" w:space="0" w:color="auto"/>
        <w:bottom w:val="none" w:sz="0" w:space="0" w:color="auto"/>
        <w:right w:val="none" w:sz="0" w:space="0" w:color="auto"/>
      </w:divBdr>
    </w:div>
    <w:div w:id="883758015">
      <w:bodyDiv w:val="1"/>
      <w:marLeft w:val="0"/>
      <w:marRight w:val="0"/>
      <w:marTop w:val="0"/>
      <w:marBottom w:val="0"/>
      <w:divBdr>
        <w:top w:val="none" w:sz="0" w:space="0" w:color="auto"/>
        <w:left w:val="none" w:sz="0" w:space="0" w:color="auto"/>
        <w:bottom w:val="none" w:sz="0" w:space="0" w:color="auto"/>
        <w:right w:val="none" w:sz="0" w:space="0" w:color="auto"/>
      </w:divBdr>
    </w:div>
    <w:div w:id="898201210">
      <w:bodyDiv w:val="1"/>
      <w:marLeft w:val="0"/>
      <w:marRight w:val="0"/>
      <w:marTop w:val="0"/>
      <w:marBottom w:val="0"/>
      <w:divBdr>
        <w:top w:val="none" w:sz="0" w:space="0" w:color="auto"/>
        <w:left w:val="none" w:sz="0" w:space="0" w:color="auto"/>
        <w:bottom w:val="none" w:sz="0" w:space="0" w:color="auto"/>
        <w:right w:val="none" w:sz="0" w:space="0" w:color="auto"/>
      </w:divBdr>
    </w:div>
    <w:div w:id="902982393">
      <w:bodyDiv w:val="1"/>
      <w:marLeft w:val="0"/>
      <w:marRight w:val="0"/>
      <w:marTop w:val="0"/>
      <w:marBottom w:val="0"/>
      <w:divBdr>
        <w:top w:val="none" w:sz="0" w:space="0" w:color="auto"/>
        <w:left w:val="none" w:sz="0" w:space="0" w:color="auto"/>
        <w:bottom w:val="none" w:sz="0" w:space="0" w:color="auto"/>
        <w:right w:val="none" w:sz="0" w:space="0" w:color="auto"/>
      </w:divBdr>
    </w:div>
    <w:div w:id="968708461">
      <w:bodyDiv w:val="1"/>
      <w:marLeft w:val="0"/>
      <w:marRight w:val="0"/>
      <w:marTop w:val="0"/>
      <w:marBottom w:val="0"/>
      <w:divBdr>
        <w:top w:val="none" w:sz="0" w:space="0" w:color="auto"/>
        <w:left w:val="none" w:sz="0" w:space="0" w:color="auto"/>
        <w:bottom w:val="none" w:sz="0" w:space="0" w:color="auto"/>
        <w:right w:val="none" w:sz="0" w:space="0" w:color="auto"/>
      </w:divBdr>
    </w:div>
    <w:div w:id="997462234">
      <w:bodyDiv w:val="1"/>
      <w:marLeft w:val="0"/>
      <w:marRight w:val="0"/>
      <w:marTop w:val="0"/>
      <w:marBottom w:val="0"/>
      <w:divBdr>
        <w:top w:val="none" w:sz="0" w:space="0" w:color="auto"/>
        <w:left w:val="none" w:sz="0" w:space="0" w:color="auto"/>
        <w:bottom w:val="none" w:sz="0" w:space="0" w:color="auto"/>
        <w:right w:val="none" w:sz="0" w:space="0" w:color="auto"/>
      </w:divBdr>
    </w:div>
    <w:div w:id="1015619155">
      <w:bodyDiv w:val="1"/>
      <w:marLeft w:val="0"/>
      <w:marRight w:val="0"/>
      <w:marTop w:val="0"/>
      <w:marBottom w:val="0"/>
      <w:divBdr>
        <w:top w:val="none" w:sz="0" w:space="0" w:color="auto"/>
        <w:left w:val="none" w:sz="0" w:space="0" w:color="auto"/>
        <w:bottom w:val="none" w:sz="0" w:space="0" w:color="auto"/>
        <w:right w:val="none" w:sz="0" w:space="0" w:color="auto"/>
      </w:divBdr>
    </w:div>
    <w:div w:id="1077020041">
      <w:bodyDiv w:val="1"/>
      <w:marLeft w:val="0"/>
      <w:marRight w:val="0"/>
      <w:marTop w:val="0"/>
      <w:marBottom w:val="0"/>
      <w:divBdr>
        <w:top w:val="none" w:sz="0" w:space="0" w:color="auto"/>
        <w:left w:val="none" w:sz="0" w:space="0" w:color="auto"/>
        <w:bottom w:val="none" w:sz="0" w:space="0" w:color="auto"/>
        <w:right w:val="none" w:sz="0" w:space="0" w:color="auto"/>
      </w:divBdr>
    </w:div>
    <w:div w:id="1091321161">
      <w:bodyDiv w:val="1"/>
      <w:marLeft w:val="0"/>
      <w:marRight w:val="0"/>
      <w:marTop w:val="0"/>
      <w:marBottom w:val="0"/>
      <w:divBdr>
        <w:top w:val="none" w:sz="0" w:space="0" w:color="auto"/>
        <w:left w:val="none" w:sz="0" w:space="0" w:color="auto"/>
        <w:bottom w:val="none" w:sz="0" w:space="0" w:color="auto"/>
        <w:right w:val="none" w:sz="0" w:space="0" w:color="auto"/>
      </w:divBdr>
    </w:div>
    <w:div w:id="1129938589">
      <w:bodyDiv w:val="1"/>
      <w:marLeft w:val="0"/>
      <w:marRight w:val="0"/>
      <w:marTop w:val="0"/>
      <w:marBottom w:val="0"/>
      <w:divBdr>
        <w:top w:val="none" w:sz="0" w:space="0" w:color="auto"/>
        <w:left w:val="none" w:sz="0" w:space="0" w:color="auto"/>
        <w:bottom w:val="none" w:sz="0" w:space="0" w:color="auto"/>
        <w:right w:val="none" w:sz="0" w:space="0" w:color="auto"/>
      </w:divBdr>
    </w:div>
    <w:div w:id="1131749926">
      <w:bodyDiv w:val="1"/>
      <w:marLeft w:val="0"/>
      <w:marRight w:val="0"/>
      <w:marTop w:val="0"/>
      <w:marBottom w:val="0"/>
      <w:divBdr>
        <w:top w:val="none" w:sz="0" w:space="0" w:color="auto"/>
        <w:left w:val="none" w:sz="0" w:space="0" w:color="auto"/>
        <w:bottom w:val="none" w:sz="0" w:space="0" w:color="auto"/>
        <w:right w:val="none" w:sz="0" w:space="0" w:color="auto"/>
      </w:divBdr>
    </w:div>
    <w:div w:id="1193225831">
      <w:bodyDiv w:val="1"/>
      <w:marLeft w:val="0"/>
      <w:marRight w:val="0"/>
      <w:marTop w:val="0"/>
      <w:marBottom w:val="0"/>
      <w:divBdr>
        <w:top w:val="none" w:sz="0" w:space="0" w:color="auto"/>
        <w:left w:val="none" w:sz="0" w:space="0" w:color="auto"/>
        <w:bottom w:val="none" w:sz="0" w:space="0" w:color="auto"/>
        <w:right w:val="none" w:sz="0" w:space="0" w:color="auto"/>
      </w:divBdr>
    </w:div>
    <w:div w:id="1200049463">
      <w:bodyDiv w:val="1"/>
      <w:marLeft w:val="0"/>
      <w:marRight w:val="0"/>
      <w:marTop w:val="0"/>
      <w:marBottom w:val="0"/>
      <w:divBdr>
        <w:top w:val="none" w:sz="0" w:space="0" w:color="auto"/>
        <w:left w:val="none" w:sz="0" w:space="0" w:color="auto"/>
        <w:bottom w:val="none" w:sz="0" w:space="0" w:color="auto"/>
        <w:right w:val="none" w:sz="0" w:space="0" w:color="auto"/>
      </w:divBdr>
    </w:div>
    <w:div w:id="1230924412">
      <w:bodyDiv w:val="1"/>
      <w:marLeft w:val="0"/>
      <w:marRight w:val="0"/>
      <w:marTop w:val="0"/>
      <w:marBottom w:val="0"/>
      <w:divBdr>
        <w:top w:val="none" w:sz="0" w:space="0" w:color="auto"/>
        <w:left w:val="none" w:sz="0" w:space="0" w:color="auto"/>
        <w:bottom w:val="none" w:sz="0" w:space="0" w:color="auto"/>
        <w:right w:val="none" w:sz="0" w:space="0" w:color="auto"/>
      </w:divBdr>
    </w:div>
    <w:div w:id="1261141235">
      <w:bodyDiv w:val="1"/>
      <w:marLeft w:val="0"/>
      <w:marRight w:val="0"/>
      <w:marTop w:val="0"/>
      <w:marBottom w:val="0"/>
      <w:divBdr>
        <w:top w:val="none" w:sz="0" w:space="0" w:color="auto"/>
        <w:left w:val="none" w:sz="0" w:space="0" w:color="auto"/>
        <w:bottom w:val="none" w:sz="0" w:space="0" w:color="auto"/>
        <w:right w:val="none" w:sz="0" w:space="0" w:color="auto"/>
      </w:divBdr>
    </w:div>
    <w:div w:id="1268582703">
      <w:bodyDiv w:val="1"/>
      <w:marLeft w:val="0"/>
      <w:marRight w:val="0"/>
      <w:marTop w:val="0"/>
      <w:marBottom w:val="0"/>
      <w:divBdr>
        <w:top w:val="none" w:sz="0" w:space="0" w:color="auto"/>
        <w:left w:val="none" w:sz="0" w:space="0" w:color="auto"/>
        <w:bottom w:val="none" w:sz="0" w:space="0" w:color="auto"/>
        <w:right w:val="none" w:sz="0" w:space="0" w:color="auto"/>
      </w:divBdr>
    </w:div>
    <w:div w:id="1269658311">
      <w:bodyDiv w:val="1"/>
      <w:marLeft w:val="0"/>
      <w:marRight w:val="0"/>
      <w:marTop w:val="0"/>
      <w:marBottom w:val="0"/>
      <w:divBdr>
        <w:top w:val="none" w:sz="0" w:space="0" w:color="auto"/>
        <w:left w:val="none" w:sz="0" w:space="0" w:color="auto"/>
        <w:bottom w:val="none" w:sz="0" w:space="0" w:color="auto"/>
        <w:right w:val="none" w:sz="0" w:space="0" w:color="auto"/>
      </w:divBdr>
    </w:div>
    <w:div w:id="1277784792">
      <w:bodyDiv w:val="1"/>
      <w:marLeft w:val="0"/>
      <w:marRight w:val="0"/>
      <w:marTop w:val="0"/>
      <w:marBottom w:val="0"/>
      <w:divBdr>
        <w:top w:val="none" w:sz="0" w:space="0" w:color="auto"/>
        <w:left w:val="none" w:sz="0" w:space="0" w:color="auto"/>
        <w:bottom w:val="none" w:sz="0" w:space="0" w:color="auto"/>
        <w:right w:val="none" w:sz="0" w:space="0" w:color="auto"/>
      </w:divBdr>
    </w:div>
    <w:div w:id="1302273308">
      <w:bodyDiv w:val="1"/>
      <w:marLeft w:val="0"/>
      <w:marRight w:val="0"/>
      <w:marTop w:val="0"/>
      <w:marBottom w:val="0"/>
      <w:divBdr>
        <w:top w:val="none" w:sz="0" w:space="0" w:color="auto"/>
        <w:left w:val="none" w:sz="0" w:space="0" w:color="auto"/>
        <w:bottom w:val="none" w:sz="0" w:space="0" w:color="auto"/>
        <w:right w:val="none" w:sz="0" w:space="0" w:color="auto"/>
      </w:divBdr>
    </w:div>
    <w:div w:id="1354847487">
      <w:bodyDiv w:val="1"/>
      <w:marLeft w:val="0"/>
      <w:marRight w:val="0"/>
      <w:marTop w:val="0"/>
      <w:marBottom w:val="0"/>
      <w:divBdr>
        <w:top w:val="none" w:sz="0" w:space="0" w:color="auto"/>
        <w:left w:val="none" w:sz="0" w:space="0" w:color="auto"/>
        <w:bottom w:val="none" w:sz="0" w:space="0" w:color="auto"/>
        <w:right w:val="none" w:sz="0" w:space="0" w:color="auto"/>
      </w:divBdr>
      <w:divsChild>
        <w:div w:id="1098990852">
          <w:marLeft w:val="0"/>
          <w:marRight w:val="0"/>
          <w:marTop w:val="0"/>
          <w:marBottom w:val="0"/>
          <w:divBdr>
            <w:top w:val="none" w:sz="0" w:space="0" w:color="auto"/>
            <w:left w:val="none" w:sz="0" w:space="0" w:color="auto"/>
            <w:bottom w:val="none" w:sz="0" w:space="0" w:color="auto"/>
            <w:right w:val="none" w:sz="0" w:space="0" w:color="auto"/>
          </w:divBdr>
          <w:divsChild>
            <w:div w:id="1056049868">
              <w:marLeft w:val="0"/>
              <w:marRight w:val="0"/>
              <w:marTop w:val="0"/>
              <w:marBottom w:val="0"/>
              <w:divBdr>
                <w:top w:val="none" w:sz="0" w:space="0" w:color="auto"/>
                <w:left w:val="none" w:sz="0" w:space="0" w:color="auto"/>
                <w:bottom w:val="none" w:sz="0" w:space="0" w:color="auto"/>
                <w:right w:val="none" w:sz="0" w:space="0" w:color="auto"/>
              </w:divBdr>
              <w:divsChild>
                <w:div w:id="1301154381">
                  <w:marLeft w:val="0"/>
                  <w:marRight w:val="0"/>
                  <w:marTop w:val="0"/>
                  <w:marBottom w:val="0"/>
                  <w:divBdr>
                    <w:top w:val="none" w:sz="0" w:space="0" w:color="auto"/>
                    <w:left w:val="none" w:sz="0" w:space="0" w:color="auto"/>
                    <w:bottom w:val="none" w:sz="0" w:space="0" w:color="auto"/>
                    <w:right w:val="none" w:sz="0" w:space="0" w:color="auto"/>
                  </w:divBdr>
                  <w:divsChild>
                    <w:div w:id="1770807528">
                      <w:marLeft w:val="0"/>
                      <w:marRight w:val="0"/>
                      <w:marTop w:val="0"/>
                      <w:marBottom w:val="0"/>
                      <w:divBdr>
                        <w:top w:val="none" w:sz="0" w:space="0" w:color="auto"/>
                        <w:left w:val="none" w:sz="0" w:space="0" w:color="auto"/>
                        <w:bottom w:val="none" w:sz="0" w:space="0" w:color="auto"/>
                        <w:right w:val="none" w:sz="0" w:space="0" w:color="auto"/>
                      </w:divBdr>
                      <w:divsChild>
                        <w:div w:id="121892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3188136">
      <w:bodyDiv w:val="1"/>
      <w:marLeft w:val="0"/>
      <w:marRight w:val="0"/>
      <w:marTop w:val="0"/>
      <w:marBottom w:val="0"/>
      <w:divBdr>
        <w:top w:val="none" w:sz="0" w:space="0" w:color="auto"/>
        <w:left w:val="none" w:sz="0" w:space="0" w:color="auto"/>
        <w:bottom w:val="none" w:sz="0" w:space="0" w:color="auto"/>
        <w:right w:val="none" w:sz="0" w:space="0" w:color="auto"/>
      </w:divBdr>
    </w:div>
    <w:div w:id="1387529389">
      <w:bodyDiv w:val="1"/>
      <w:marLeft w:val="0"/>
      <w:marRight w:val="0"/>
      <w:marTop w:val="0"/>
      <w:marBottom w:val="0"/>
      <w:divBdr>
        <w:top w:val="none" w:sz="0" w:space="0" w:color="auto"/>
        <w:left w:val="none" w:sz="0" w:space="0" w:color="auto"/>
        <w:bottom w:val="none" w:sz="0" w:space="0" w:color="auto"/>
        <w:right w:val="none" w:sz="0" w:space="0" w:color="auto"/>
      </w:divBdr>
    </w:div>
    <w:div w:id="1396586550">
      <w:bodyDiv w:val="1"/>
      <w:marLeft w:val="0"/>
      <w:marRight w:val="0"/>
      <w:marTop w:val="0"/>
      <w:marBottom w:val="0"/>
      <w:divBdr>
        <w:top w:val="none" w:sz="0" w:space="0" w:color="auto"/>
        <w:left w:val="none" w:sz="0" w:space="0" w:color="auto"/>
        <w:bottom w:val="none" w:sz="0" w:space="0" w:color="auto"/>
        <w:right w:val="none" w:sz="0" w:space="0" w:color="auto"/>
      </w:divBdr>
    </w:div>
    <w:div w:id="1400593778">
      <w:bodyDiv w:val="1"/>
      <w:marLeft w:val="0"/>
      <w:marRight w:val="0"/>
      <w:marTop w:val="0"/>
      <w:marBottom w:val="0"/>
      <w:divBdr>
        <w:top w:val="none" w:sz="0" w:space="0" w:color="auto"/>
        <w:left w:val="none" w:sz="0" w:space="0" w:color="auto"/>
        <w:bottom w:val="none" w:sz="0" w:space="0" w:color="auto"/>
        <w:right w:val="none" w:sz="0" w:space="0" w:color="auto"/>
      </w:divBdr>
    </w:div>
    <w:div w:id="1467621410">
      <w:bodyDiv w:val="1"/>
      <w:marLeft w:val="0"/>
      <w:marRight w:val="0"/>
      <w:marTop w:val="0"/>
      <w:marBottom w:val="0"/>
      <w:divBdr>
        <w:top w:val="none" w:sz="0" w:space="0" w:color="auto"/>
        <w:left w:val="none" w:sz="0" w:space="0" w:color="auto"/>
        <w:bottom w:val="none" w:sz="0" w:space="0" w:color="auto"/>
        <w:right w:val="none" w:sz="0" w:space="0" w:color="auto"/>
      </w:divBdr>
    </w:div>
    <w:div w:id="1488132002">
      <w:bodyDiv w:val="1"/>
      <w:marLeft w:val="0"/>
      <w:marRight w:val="0"/>
      <w:marTop w:val="0"/>
      <w:marBottom w:val="0"/>
      <w:divBdr>
        <w:top w:val="none" w:sz="0" w:space="0" w:color="auto"/>
        <w:left w:val="none" w:sz="0" w:space="0" w:color="auto"/>
        <w:bottom w:val="none" w:sz="0" w:space="0" w:color="auto"/>
        <w:right w:val="none" w:sz="0" w:space="0" w:color="auto"/>
      </w:divBdr>
      <w:divsChild>
        <w:div w:id="153884892">
          <w:marLeft w:val="0"/>
          <w:marRight w:val="0"/>
          <w:marTop w:val="0"/>
          <w:marBottom w:val="0"/>
          <w:divBdr>
            <w:top w:val="none" w:sz="0" w:space="0" w:color="auto"/>
            <w:left w:val="none" w:sz="0" w:space="0" w:color="auto"/>
            <w:bottom w:val="none" w:sz="0" w:space="0" w:color="auto"/>
            <w:right w:val="none" w:sz="0" w:space="0" w:color="auto"/>
          </w:divBdr>
        </w:div>
        <w:div w:id="303312996">
          <w:marLeft w:val="0"/>
          <w:marRight w:val="0"/>
          <w:marTop w:val="0"/>
          <w:marBottom w:val="0"/>
          <w:divBdr>
            <w:top w:val="none" w:sz="0" w:space="0" w:color="auto"/>
            <w:left w:val="none" w:sz="0" w:space="0" w:color="auto"/>
            <w:bottom w:val="none" w:sz="0" w:space="0" w:color="auto"/>
            <w:right w:val="none" w:sz="0" w:space="0" w:color="auto"/>
          </w:divBdr>
        </w:div>
        <w:div w:id="522473928">
          <w:marLeft w:val="0"/>
          <w:marRight w:val="0"/>
          <w:marTop w:val="0"/>
          <w:marBottom w:val="0"/>
          <w:divBdr>
            <w:top w:val="none" w:sz="0" w:space="0" w:color="auto"/>
            <w:left w:val="none" w:sz="0" w:space="0" w:color="auto"/>
            <w:bottom w:val="none" w:sz="0" w:space="0" w:color="auto"/>
            <w:right w:val="none" w:sz="0" w:space="0" w:color="auto"/>
          </w:divBdr>
        </w:div>
        <w:div w:id="874392841">
          <w:marLeft w:val="0"/>
          <w:marRight w:val="0"/>
          <w:marTop w:val="0"/>
          <w:marBottom w:val="0"/>
          <w:divBdr>
            <w:top w:val="none" w:sz="0" w:space="0" w:color="auto"/>
            <w:left w:val="none" w:sz="0" w:space="0" w:color="auto"/>
            <w:bottom w:val="none" w:sz="0" w:space="0" w:color="auto"/>
            <w:right w:val="none" w:sz="0" w:space="0" w:color="auto"/>
          </w:divBdr>
        </w:div>
        <w:div w:id="1003125437">
          <w:marLeft w:val="0"/>
          <w:marRight w:val="0"/>
          <w:marTop w:val="0"/>
          <w:marBottom w:val="0"/>
          <w:divBdr>
            <w:top w:val="none" w:sz="0" w:space="0" w:color="auto"/>
            <w:left w:val="none" w:sz="0" w:space="0" w:color="auto"/>
            <w:bottom w:val="none" w:sz="0" w:space="0" w:color="auto"/>
            <w:right w:val="none" w:sz="0" w:space="0" w:color="auto"/>
          </w:divBdr>
        </w:div>
        <w:div w:id="1104690001">
          <w:marLeft w:val="0"/>
          <w:marRight w:val="0"/>
          <w:marTop w:val="0"/>
          <w:marBottom w:val="0"/>
          <w:divBdr>
            <w:top w:val="none" w:sz="0" w:space="0" w:color="auto"/>
            <w:left w:val="none" w:sz="0" w:space="0" w:color="auto"/>
            <w:bottom w:val="none" w:sz="0" w:space="0" w:color="auto"/>
            <w:right w:val="none" w:sz="0" w:space="0" w:color="auto"/>
          </w:divBdr>
        </w:div>
        <w:div w:id="1668287117">
          <w:marLeft w:val="0"/>
          <w:marRight w:val="0"/>
          <w:marTop w:val="0"/>
          <w:marBottom w:val="0"/>
          <w:divBdr>
            <w:top w:val="none" w:sz="0" w:space="0" w:color="auto"/>
            <w:left w:val="none" w:sz="0" w:space="0" w:color="auto"/>
            <w:bottom w:val="none" w:sz="0" w:space="0" w:color="auto"/>
            <w:right w:val="none" w:sz="0" w:space="0" w:color="auto"/>
          </w:divBdr>
        </w:div>
        <w:div w:id="2053143716">
          <w:marLeft w:val="0"/>
          <w:marRight w:val="0"/>
          <w:marTop w:val="0"/>
          <w:marBottom w:val="0"/>
          <w:divBdr>
            <w:top w:val="none" w:sz="0" w:space="0" w:color="auto"/>
            <w:left w:val="none" w:sz="0" w:space="0" w:color="auto"/>
            <w:bottom w:val="none" w:sz="0" w:space="0" w:color="auto"/>
            <w:right w:val="none" w:sz="0" w:space="0" w:color="auto"/>
          </w:divBdr>
        </w:div>
        <w:div w:id="2147384278">
          <w:marLeft w:val="0"/>
          <w:marRight w:val="0"/>
          <w:marTop w:val="0"/>
          <w:marBottom w:val="0"/>
          <w:divBdr>
            <w:top w:val="none" w:sz="0" w:space="0" w:color="auto"/>
            <w:left w:val="none" w:sz="0" w:space="0" w:color="auto"/>
            <w:bottom w:val="none" w:sz="0" w:space="0" w:color="auto"/>
            <w:right w:val="none" w:sz="0" w:space="0" w:color="auto"/>
          </w:divBdr>
        </w:div>
      </w:divsChild>
    </w:div>
    <w:div w:id="1615285155">
      <w:bodyDiv w:val="1"/>
      <w:marLeft w:val="0"/>
      <w:marRight w:val="0"/>
      <w:marTop w:val="0"/>
      <w:marBottom w:val="0"/>
      <w:divBdr>
        <w:top w:val="none" w:sz="0" w:space="0" w:color="auto"/>
        <w:left w:val="none" w:sz="0" w:space="0" w:color="auto"/>
        <w:bottom w:val="none" w:sz="0" w:space="0" w:color="auto"/>
        <w:right w:val="none" w:sz="0" w:space="0" w:color="auto"/>
      </w:divBdr>
    </w:div>
    <w:div w:id="1650406617">
      <w:bodyDiv w:val="1"/>
      <w:marLeft w:val="0"/>
      <w:marRight w:val="0"/>
      <w:marTop w:val="0"/>
      <w:marBottom w:val="0"/>
      <w:divBdr>
        <w:top w:val="none" w:sz="0" w:space="0" w:color="auto"/>
        <w:left w:val="none" w:sz="0" w:space="0" w:color="auto"/>
        <w:bottom w:val="none" w:sz="0" w:space="0" w:color="auto"/>
        <w:right w:val="none" w:sz="0" w:space="0" w:color="auto"/>
      </w:divBdr>
    </w:div>
    <w:div w:id="1651983105">
      <w:bodyDiv w:val="1"/>
      <w:marLeft w:val="0"/>
      <w:marRight w:val="0"/>
      <w:marTop w:val="0"/>
      <w:marBottom w:val="0"/>
      <w:divBdr>
        <w:top w:val="none" w:sz="0" w:space="0" w:color="auto"/>
        <w:left w:val="none" w:sz="0" w:space="0" w:color="auto"/>
        <w:bottom w:val="none" w:sz="0" w:space="0" w:color="auto"/>
        <w:right w:val="none" w:sz="0" w:space="0" w:color="auto"/>
      </w:divBdr>
    </w:div>
    <w:div w:id="1677804525">
      <w:bodyDiv w:val="1"/>
      <w:marLeft w:val="0"/>
      <w:marRight w:val="0"/>
      <w:marTop w:val="0"/>
      <w:marBottom w:val="0"/>
      <w:divBdr>
        <w:top w:val="none" w:sz="0" w:space="0" w:color="auto"/>
        <w:left w:val="none" w:sz="0" w:space="0" w:color="auto"/>
        <w:bottom w:val="none" w:sz="0" w:space="0" w:color="auto"/>
        <w:right w:val="none" w:sz="0" w:space="0" w:color="auto"/>
      </w:divBdr>
    </w:div>
    <w:div w:id="1696349788">
      <w:bodyDiv w:val="1"/>
      <w:marLeft w:val="0"/>
      <w:marRight w:val="0"/>
      <w:marTop w:val="0"/>
      <w:marBottom w:val="0"/>
      <w:divBdr>
        <w:top w:val="none" w:sz="0" w:space="0" w:color="auto"/>
        <w:left w:val="none" w:sz="0" w:space="0" w:color="auto"/>
        <w:bottom w:val="none" w:sz="0" w:space="0" w:color="auto"/>
        <w:right w:val="none" w:sz="0" w:space="0" w:color="auto"/>
      </w:divBdr>
    </w:div>
    <w:div w:id="1766732045">
      <w:bodyDiv w:val="1"/>
      <w:marLeft w:val="0"/>
      <w:marRight w:val="0"/>
      <w:marTop w:val="0"/>
      <w:marBottom w:val="0"/>
      <w:divBdr>
        <w:top w:val="none" w:sz="0" w:space="0" w:color="auto"/>
        <w:left w:val="none" w:sz="0" w:space="0" w:color="auto"/>
        <w:bottom w:val="none" w:sz="0" w:space="0" w:color="auto"/>
        <w:right w:val="none" w:sz="0" w:space="0" w:color="auto"/>
      </w:divBdr>
    </w:div>
    <w:div w:id="1769425125">
      <w:bodyDiv w:val="1"/>
      <w:marLeft w:val="0"/>
      <w:marRight w:val="0"/>
      <w:marTop w:val="0"/>
      <w:marBottom w:val="0"/>
      <w:divBdr>
        <w:top w:val="none" w:sz="0" w:space="0" w:color="auto"/>
        <w:left w:val="none" w:sz="0" w:space="0" w:color="auto"/>
        <w:bottom w:val="none" w:sz="0" w:space="0" w:color="auto"/>
        <w:right w:val="none" w:sz="0" w:space="0" w:color="auto"/>
      </w:divBdr>
    </w:div>
    <w:div w:id="1785268045">
      <w:bodyDiv w:val="1"/>
      <w:marLeft w:val="0"/>
      <w:marRight w:val="0"/>
      <w:marTop w:val="0"/>
      <w:marBottom w:val="0"/>
      <w:divBdr>
        <w:top w:val="none" w:sz="0" w:space="0" w:color="auto"/>
        <w:left w:val="none" w:sz="0" w:space="0" w:color="auto"/>
        <w:bottom w:val="none" w:sz="0" w:space="0" w:color="auto"/>
        <w:right w:val="none" w:sz="0" w:space="0" w:color="auto"/>
      </w:divBdr>
    </w:div>
    <w:div w:id="1852986895">
      <w:bodyDiv w:val="1"/>
      <w:marLeft w:val="0"/>
      <w:marRight w:val="0"/>
      <w:marTop w:val="0"/>
      <w:marBottom w:val="0"/>
      <w:divBdr>
        <w:top w:val="none" w:sz="0" w:space="0" w:color="auto"/>
        <w:left w:val="none" w:sz="0" w:space="0" w:color="auto"/>
        <w:bottom w:val="none" w:sz="0" w:space="0" w:color="auto"/>
        <w:right w:val="none" w:sz="0" w:space="0" w:color="auto"/>
      </w:divBdr>
    </w:div>
    <w:div w:id="1862741470">
      <w:bodyDiv w:val="1"/>
      <w:marLeft w:val="0"/>
      <w:marRight w:val="0"/>
      <w:marTop w:val="0"/>
      <w:marBottom w:val="0"/>
      <w:divBdr>
        <w:top w:val="none" w:sz="0" w:space="0" w:color="auto"/>
        <w:left w:val="none" w:sz="0" w:space="0" w:color="auto"/>
        <w:bottom w:val="none" w:sz="0" w:space="0" w:color="auto"/>
        <w:right w:val="none" w:sz="0" w:space="0" w:color="auto"/>
      </w:divBdr>
    </w:div>
    <w:div w:id="1976056095">
      <w:bodyDiv w:val="1"/>
      <w:marLeft w:val="0"/>
      <w:marRight w:val="0"/>
      <w:marTop w:val="0"/>
      <w:marBottom w:val="0"/>
      <w:divBdr>
        <w:top w:val="none" w:sz="0" w:space="0" w:color="auto"/>
        <w:left w:val="none" w:sz="0" w:space="0" w:color="auto"/>
        <w:bottom w:val="none" w:sz="0" w:space="0" w:color="auto"/>
        <w:right w:val="none" w:sz="0" w:space="0" w:color="auto"/>
      </w:divBdr>
    </w:div>
    <w:div w:id="1980719437">
      <w:bodyDiv w:val="1"/>
      <w:marLeft w:val="0"/>
      <w:marRight w:val="0"/>
      <w:marTop w:val="0"/>
      <w:marBottom w:val="0"/>
      <w:divBdr>
        <w:top w:val="none" w:sz="0" w:space="0" w:color="auto"/>
        <w:left w:val="none" w:sz="0" w:space="0" w:color="auto"/>
        <w:bottom w:val="none" w:sz="0" w:space="0" w:color="auto"/>
        <w:right w:val="none" w:sz="0" w:space="0" w:color="auto"/>
      </w:divBdr>
    </w:div>
    <w:div w:id="1998222789">
      <w:bodyDiv w:val="1"/>
      <w:marLeft w:val="0"/>
      <w:marRight w:val="0"/>
      <w:marTop w:val="0"/>
      <w:marBottom w:val="0"/>
      <w:divBdr>
        <w:top w:val="none" w:sz="0" w:space="0" w:color="auto"/>
        <w:left w:val="none" w:sz="0" w:space="0" w:color="auto"/>
        <w:bottom w:val="none" w:sz="0" w:space="0" w:color="auto"/>
        <w:right w:val="none" w:sz="0" w:space="0" w:color="auto"/>
      </w:divBdr>
    </w:div>
    <w:div w:id="2000184718">
      <w:bodyDiv w:val="1"/>
      <w:marLeft w:val="0"/>
      <w:marRight w:val="0"/>
      <w:marTop w:val="0"/>
      <w:marBottom w:val="0"/>
      <w:divBdr>
        <w:top w:val="none" w:sz="0" w:space="0" w:color="auto"/>
        <w:left w:val="none" w:sz="0" w:space="0" w:color="auto"/>
        <w:bottom w:val="none" w:sz="0" w:space="0" w:color="auto"/>
        <w:right w:val="none" w:sz="0" w:space="0" w:color="auto"/>
      </w:divBdr>
    </w:div>
    <w:div w:id="2011636434">
      <w:bodyDiv w:val="1"/>
      <w:marLeft w:val="0"/>
      <w:marRight w:val="0"/>
      <w:marTop w:val="0"/>
      <w:marBottom w:val="0"/>
      <w:divBdr>
        <w:top w:val="none" w:sz="0" w:space="0" w:color="auto"/>
        <w:left w:val="none" w:sz="0" w:space="0" w:color="auto"/>
        <w:bottom w:val="none" w:sz="0" w:space="0" w:color="auto"/>
        <w:right w:val="none" w:sz="0" w:space="0" w:color="auto"/>
      </w:divBdr>
    </w:div>
    <w:div w:id="2068526617">
      <w:bodyDiv w:val="1"/>
      <w:marLeft w:val="0"/>
      <w:marRight w:val="0"/>
      <w:marTop w:val="0"/>
      <w:marBottom w:val="0"/>
      <w:divBdr>
        <w:top w:val="none" w:sz="0" w:space="0" w:color="auto"/>
        <w:left w:val="none" w:sz="0" w:space="0" w:color="auto"/>
        <w:bottom w:val="none" w:sz="0" w:space="0" w:color="auto"/>
        <w:right w:val="none" w:sz="0" w:space="0" w:color="auto"/>
      </w:divBdr>
    </w:div>
    <w:div w:id="2077430668">
      <w:bodyDiv w:val="1"/>
      <w:marLeft w:val="0"/>
      <w:marRight w:val="0"/>
      <w:marTop w:val="0"/>
      <w:marBottom w:val="0"/>
      <w:divBdr>
        <w:top w:val="none" w:sz="0" w:space="0" w:color="auto"/>
        <w:left w:val="none" w:sz="0" w:space="0" w:color="auto"/>
        <w:bottom w:val="none" w:sz="0" w:space="0" w:color="auto"/>
        <w:right w:val="none" w:sz="0" w:space="0" w:color="auto"/>
      </w:divBdr>
    </w:div>
    <w:div w:id="212750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chart" Target="charts/chart4.xml"/><Relationship Id="rId10" Type="http://schemas.openxmlformats.org/officeDocument/2006/relationships/image" Target="media/image1.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mapy.ostrava.cz" TargetMode="External"/><Relationship Id="rId14" Type="http://schemas.openxmlformats.org/officeDocument/2006/relationships/chart" Target="charts/chart3.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thema\Desktop\meziro&#269;n&#237;%20srovn&#225;n&#237;%202020_&#250;prava%20graf&#367;%20Mat&#283;j.xlsx" TargetMode="External"/></Relationships>
</file>

<file path=word/charts/_rels/chart2.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oleObject" Target="file:///\\Users\matej\Desktop\Vlc&#780;ek\04_meziroc&#780;ni&#769;%20srovna&#769;ni&#769;%202021_u&#769;prava%20grafu&#778;%20Mate&#780;j.xlsx" TargetMode="External"/></Relationships>
</file>

<file path=word/charts/_rels/chart3.xml.rels><?xml version="1.0" encoding="UTF-8" standalone="yes"?>
<Relationships xmlns="http://schemas.openxmlformats.org/package/2006/relationships"><Relationship Id="rId3" Type="http://schemas.microsoft.com/office/2011/relationships/chartStyle" Target="style2.xml"/><Relationship Id="rId2" Type="http://schemas.microsoft.com/office/2011/relationships/chartColorStyle" Target="colors2.xml"/><Relationship Id="rId1" Type="http://schemas.openxmlformats.org/officeDocument/2006/relationships/oleObject" Target="file:///\\Users\matej\Desktop\Cenova&#769;%20mapa%202022\Meziroc&#780;ni&#769;%20srovna&#769;nii&#769;%202022_%20Mate&#780;j.xlsx" TargetMode="External"/></Relationships>
</file>

<file path=word/charts/_rels/chart4.xml.rels><?xml version="1.0" encoding="UTF-8" standalone="yes"?>
<Relationships xmlns="http://schemas.openxmlformats.org/package/2006/relationships"><Relationship Id="rId3" Type="http://schemas.microsoft.com/office/2011/relationships/chartStyle" Target="style3.xml"/><Relationship Id="rId2" Type="http://schemas.microsoft.com/office/2011/relationships/chartColorStyle" Target="colors3.xml"/><Relationship Id="rId1" Type="http://schemas.openxmlformats.org/officeDocument/2006/relationships/oleObject" Target="file:///\\Users\matej\Desktop\Cenova&#769;%20mapa%202022\Meziroc&#780;ni&#769;%20srovna&#769;nii&#769;%202022_%20Mate&#780;j.xlsx" TargetMode="External"/></Relationships>
</file>

<file path=word/charts/_rels/chart5.xml.rels><?xml version="1.0" encoding="UTF-8" standalone="yes"?>
<Relationships xmlns="http://schemas.openxmlformats.org/package/2006/relationships"><Relationship Id="rId3" Type="http://schemas.microsoft.com/office/2011/relationships/chartStyle" Target="style4.xml"/><Relationship Id="rId2" Type="http://schemas.microsoft.com/office/2011/relationships/chartColorStyle" Target="colors4.xml"/><Relationship Id="rId1" Type="http://schemas.openxmlformats.org/officeDocument/2006/relationships/oleObject" Target="file:///\\Users\matej\Desktop\Cenova&#769;%20mapa%202022\Meziroc&#780;ni&#769;%20srovna&#769;nii&#769;%202022_%20Mate&#780;j.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solidFill>
                <a:latin typeface="+mn-lt"/>
                <a:ea typeface="+mn-ea"/>
                <a:cs typeface="+mn-cs"/>
              </a:defRPr>
            </a:pPr>
            <a:r>
              <a:rPr lang="cs-CZ" sz="1600" b="1" i="0" u="none" strike="noStrike" baseline="0">
                <a:effectLst/>
                <a:latin typeface="Times New Roman" panose="02020603050405020304" pitchFamily="18" charset="0"/>
                <a:cs typeface="Times New Roman" panose="02020603050405020304" pitchFamily="18" charset="0"/>
              </a:rPr>
              <a:t>Struktura </a:t>
            </a:r>
            <a:r>
              <a:rPr lang="en-US" sz="1600" b="1" i="0" u="none" strike="noStrike" baseline="0">
                <a:effectLst/>
                <a:latin typeface="Times New Roman" panose="02020603050405020304" pitchFamily="18" charset="0"/>
                <a:cs typeface="Times New Roman" panose="02020603050405020304" pitchFamily="18" charset="0"/>
              </a:rPr>
              <a:t>převodů stavebních pozemků v rámci celého území města </a:t>
            </a:r>
            <a:r>
              <a:rPr lang="cs-CZ" sz="1600" b="1" i="0" u="none" strike="noStrike" baseline="0">
                <a:effectLst/>
                <a:latin typeface="Times New Roman" panose="02020603050405020304" pitchFamily="18" charset="0"/>
                <a:cs typeface="Times New Roman" panose="02020603050405020304" pitchFamily="18" charset="0"/>
              </a:rPr>
              <a:t>za rok 2020</a:t>
            </a:r>
            <a:r>
              <a:rPr lang="en-US" sz="1600" b="1" i="0" u="none" strike="noStrike" baseline="0">
                <a:effectLst/>
                <a:latin typeface="Times New Roman" panose="02020603050405020304" pitchFamily="18" charset="0"/>
                <a:cs typeface="Times New Roman" panose="02020603050405020304" pitchFamily="18" charset="0"/>
              </a:rPr>
              <a:t> </a:t>
            </a:r>
            <a:endParaRPr lang="en-US" sz="1600">
              <a:solidFill>
                <a:schemeClr val="tx1"/>
              </a:solidFill>
              <a:latin typeface="Times New Roman" panose="02020603050405020304" pitchFamily="18" charset="0"/>
              <a:cs typeface="Times New Roman" panose="02020603050405020304" pitchFamily="18" charset="0"/>
            </a:endParaRPr>
          </a:p>
        </c:rich>
      </c:tx>
      <c:layout/>
      <c:overlay val="0"/>
      <c:spPr>
        <a:noFill/>
        <a:ln>
          <a:noFill/>
        </a:ln>
        <a:effectLst/>
      </c:spPr>
    </c:title>
    <c:autoTitleDeleted val="0"/>
    <c:plotArea>
      <c:layout/>
      <c:pieChart>
        <c:varyColors val="1"/>
        <c:ser>
          <c:idx val="0"/>
          <c:order val="0"/>
          <c:tx>
            <c:strRef>
              <c:f>'dle účelu užití za celé město'!$BE$1719:$BM$1719</c:f>
              <c:strCache>
                <c:ptCount val="1"/>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extLst xmlns:c16r2="http://schemas.microsoft.com/office/drawing/2015/06/chart">
              <c:ext xmlns:c16="http://schemas.microsoft.com/office/drawing/2014/chart" uri="{C3380CC4-5D6E-409C-BE32-E72D297353CC}">
                <c16:uniqueId val="{00000001-2909-4A7C-8170-5A52621CD8CA}"/>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extLst xmlns:c16r2="http://schemas.microsoft.com/office/drawing/2015/06/chart">
              <c:ext xmlns:c16="http://schemas.microsoft.com/office/drawing/2014/chart" uri="{C3380CC4-5D6E-409C-BE32-E72D297353CC}">
                <c16:uniqueId val="{00000003-2909-4A7C-8170-5A52621CD8CA}"/>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extLst xmlns:c16r2="http://schemas.microsoft.com/office/drawing/2015/06/chart">
              <c:ext xmlns:c16="http://schemas.microsoft.com/office/drawing/2014/chart" uri="{C3380CC4-5D6E-409C-BE32-E72D297353CC}">
                <c16:uniqueId val="{00000005-2909-4A7C-8170-5A52621CD8CA}"/>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extLst xmlns:c16r2="http://schemas.microsoft.com/office/drawing/2015/06/chart">
              <c:ext xmlns:c16="http://schemas.microsoft.com/office/drawing/2014/chart" uri="{C3380CC4-5D6E-409C-BE32-E72D297353CC}">
                <c16:uniqueId val="{00000007-2909-4A7C-8170-5A52621CD8CA}"/>
              </c:ext>
            </c:extLst>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c:spPr>
            <c:extLst xmlns:c16r2="http://schemas.microsoft.com/office/drawing/2015/06/chart">
              <c:ext xmlns:c16="http://schemas.microsoft.com/office/drawing/2014/chart" uri="{C3380CC4-5D6E-409C-BE32-E72D297353CC}">
                <c16:uniqueId val="{00000009-2909-4A7C-8170-5A52621CD8CA}"/>
              </c:ext>
            </c:extLst>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c:spPr>
            <c:extLst xmlns:c16r2="http://schemas.microsoft.com/office/drawing/2015/06/chart">
              <c:ext xmlns:c16="http://schemas.microsoft.com/office/drawing/2014/chart" uri="{C3380CC4-5D6E-409C-BE32-E72D297353CC}">
                <c16:uniqueId val="{0000000B-2909-4A7C-8170-5A52621CD8CA}"/>
              </c:ext>
            </c:extLst>
          </c:dPt>
          <c:dPt>
            <c:idx val="6"/>
            <c:bubble3D val="0"/>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c:spPr>
            <c:extLst xmlns:c16r2="http://schemas.microsoft.com/office/drawing/2015/06/chart">
              <c:ext xmlns:c16="http://schemas.microsoft.com/office/drawing/2014/chart" uri="{C3380CC4-5D6E-409C-BE32-E72D297353CC}">
                <c16:uniqueId val="{0000000D-2909-4A7C-8170-5A52621CD8CA}"/>
              </c:ext>
            </c:extLst>
          </c:dPt>
          <c:dPt>
            <c:idx val="7"/>
            <c:bubble3D val="0"/>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c:spPr>
            <c:extLst xmlns:c16r2="http://schemas.microsoft.com/office/drawing/2015/06/chart">
              <c:ext xmlns:c16="http://schemas.microsoft.com/office/drawing/2014/chart" uri="{C3380CC4-5D6E-409C-BE32-E72D297353CC}">
                <c16:uniqueId val="{0000000F-2909-4A7C-8170-5A52621CD8CA}"/>
              </c:ext>
            </c:extLst>
          </c:dPt>
          <c:dLbls>
            <c:dLbl>
              <c:idx val="0"/>
              <c:layout>
                <c:manualLayout>
                  <c:x val="-4.9582582328559506E-2"/>
                  <c:y val="-6.0728198038957374E-3"/>
                </c:manualLayout>
              </c:layout>
              <c:tx>
                <c:rich>
                  <a:bodyPr/>
                  <a:lstStyle/>
                  <a:p>
                    <a:r>
                      <a:rPr lang="en-US" baseline="0"/>
                      <a:t>0,39%</a:t>
                    </a:r>
                    <a:endParaRPr lang="en-US"/>
                  </a:p>
                </c:rich>
              </c:tx>
              <c:dLblPos val="bestFit"/>
              <c:showLegendKey val="0"/>
              <c:showVal val="0"/>
              <c:showCatName val="1"/>
              <c:showSerName val="0"/>
              <c:showPercent val="1"/>
              <c:showBubbleSize val="0"/>
              <c:separator> </c:separator>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2909-4A7C-8170-5A52621CD8CA}"/>
                </c:ext>
              </c:extLst>
            </c:dLbl>
            <c:dLbl>
              <c:idx val="1"/>
              <c:layout>
                <c:manualLayout>
                  <c:x val="1.6253384993542473E-2"/>
                  <c:y val="-1.9446390787054704E-2"/>
                </c:manualLayout>
              </c:layout>
              <c:tx>
                <c:rich>
                  <a:bodyPr/>
                  <a:lstStyle/>
                  <a:p>
                    <a:r>
                      <a:rPr lang="en-US"/>
                      <a:t>14,38%</a:t>
                    </a:r>
                  </a:p>
                </c:rich>
              </c:tx>
              <c:dLblPos val="bestFit"/>
              <c:showLegendKey val="0"/>
              <c:showVal val="0"/>
              <c:showCatName val="1"/>
              <c:showSerName val="0"/>
              <c:showPercent val="1"/>
              <c:showBubbleSize val="0"/>
              <c:separator> </c:separator>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2909-4A7C-8170-5A52621CD8CA}"/>
                </c:ext>
              </c:extLst>
            </c:dLbl>
            <c:dLbl>
              <c:idx val="2"/>
              <c:layout>
                <c:manualLayout>
                  <c:x val="0"/>
                  <c:y val="-2.7327689117530821E-2"/>
                </c:manualLayout>
              </c:layout>
              <c:tx>
                <c:rich>
                  <a:bodyPr/>
                  <a:lstStyle/>
                  <a:p>
                    <a:r>
                      <a:rPr lang="en-US" baseline="0"/>
                      <a:t>0,51%</a:t>
                    </a:r>
                    <a:endParaRPr lang="en-US"/>
                  </a:p>
                </c:rich>
              </c:tx>
              <c:dLblPos val="bestFit"/>
              <c:showLegendKey val="0"/>
              <c:showVal val="0"/>
              <c:showCatName val="1"/>
              <c:showSerName val="0"/>
              <c:showPercent val="1"/>
              <c:showBubbleSize val="0"/>
              <c:separator> </c:separator>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5-2909-4A7C-8170-5A52621CD8CA}"/>
                </c:ext>
              </c:extLst>
            </c:dLbl>
            <c:dLbl>
              <c:idx val="3"/>
              <c:layout>
                <c:manualLayout>
                  <c:x val="2.5240872668694191E-2"/>
                  <c:y val="1.0012371801542429E-2"/>
                </c:manualLayout>
              </c:layout>
              <c:tx>
                <c:rich>
                  <a:bodyPr/>
                  <a:lstStyle/>
                  <a:p>
                    <a:r>
                      <a:rPr lang="en-US" baseline="0"/>
                      <a:t>3,93%</a:t>
                    </a:r>
                    <a:endParaRPr lang="en-US"/>
                  </a:p>
                </c:rich>
              </c:tx>
              <c:dLblPos val="bestFit"/>
              <c:showLegendKey val="0"/>
              <c:showVal val="0"/>
              <c:showCatName val="1"/>
              <c:showSerName val="0"/>
              <c:showPercent val="1"/>
              <c:showBubbleSize val="0"/>
              <c:separator> </c:separator>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7-2909-4A7C-8170-5A52621CD8CA}"/>
                </c:ext>
              </c:extLst>
            </c:dLbl>
            <c:dLbl>
              <c:idx val="4"/>
              <c:layout>
                <c:manualLayout>
                  <c:x val="1.2345679012345678E-2"/>
                  <c:y val="2.9368575624082773E-3"/>
                </c:manualLayout>
              </c:layout>
              <c:tx>
                <c:rich>
                  <a:bodyPr/>
                  <a:lstStyle/>
                  <a:p>
                    <a:r>
                      <a:rPr lang="en-US" baseline="0"/>
                      <a:t>5,93%</a:t>
                    </a:r>
                    <a:endParaRPr lang="en-US"/>
                  </a:p>
                </c:rich>
              </c:tx>
              <c:dLblPos val="bestFit"/>
              <c:showLegendKey val="0"/>
              <c:showVal val="0"/>
              <c:showCatName val="1"/>
              <c:showSerName val="0"/>
              <c:showPercent val="1"/>
              <c:showBubbleSize val="0"/>
              <c:separator> </c:separator>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9-2909-4A7C-8170-5A52621CD8CA}"/>
                </c:ext>
              </c:extLst>
            </c:dLbl>
            <c:dLbl>
              <c:idx val="5"/>
              <c:layout>
                <c:manualLayout>
                  <c:x val="-1.0582010582010581E-2"/>
                  <c:y val="1.1747430249632892E-2"/>
                </c:manualLayout>
              </c:layout>
              <c:tx>
                <c:rich>
                  <a:bodyPr/>
                  <a:lstStyle/>
                  <a:p>
                    <a:r>
                      <a:rPr lang="en-US" baseline="0"/>
                      <a:t>46,89%</a:t>
                    </a:r>
                    <a:endParaRPr lang="en-US"/>
                  </a:p>
                </c:rich>
              </c:tx>
              <c:dLblPos val="bestFit"/>
              <c:showLegendKey val="0"/>
              <c:showVal val="0"/>
              <c:showCatName val="1"/>
              <c:showSerName val="0"/>
              <c:showPercent val="1"/>
              <c:showBubbleSize val="0"/>
              <c:separator> </c:separator>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B-2909-4A7C-8170-5A52621CD8CA}"/>
                </c:ext>
              </c:extLst>
            </c:dLbl>
            <c:dLbl>
              <c:idx val="6"/>
              <c:layout>
                <c:manualLayout>
                  <c:x val="-5.2910052910052907E-3"/>
                  <c:y val="0"/>
                </c:manualLayout>
              </c:layout>
              <c:tx>
                <c:rich>
                  <a:bodyPr/>
                  <a:lstStyle/>
                  <a:p>
                    <a:r>
                      <a:rPr lang="en-US" baseline="0"/>
                      <a:t>27,65%</a:t>
                    </a:r>
                    <a:endParaRPr lang="en-US"/>
                  </a:p>
                </c:rich>
              </c:tx>
              <c:dLblPos val="bestFit"/>
              <c:showLegendKey val="0"/>
              <c:showVal val="0"/>
              <c:showCatName val="1"/>
              <c:showSerName val="0"/>
              <c:showPercent val="1"/>
              <c:showBubbleSize val="0"/>
              <c:separator> </c:separator>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D-2909-4A7C-8170-5A52621CD8CA}"/>
                </c:ext>
              </c:extLst>
            </c:dLbl>
            <c:dLbl>
              <c:idx val="7"/>
              <c:layout>
                <c:manualLayout>
                  <c:x val="2.07180093169291E-2"/>
                  <c:y val="-2.0223928271640705E-2"/>
                </c:manualLayout>
              </c:layout>
              <c:tx>
                <c:rich>
                  <a:bodyPr/>
                  <a:lstStyle/>
                  <a:p>
                    <a:r>
                      <a:rPr lang="en-US" baseline="0"/>
                      <a:t>0,31%</a:t>
                    </a:r>
                    <a:endParaRPr lang="en-US"/>
                  </a:p>
                </c:rich>
              </c:tx>
              <c:dLblPos val="bestFit"/>
              <c:showLegendKey val="0"/>
              <c:showVal val="0"/>
              <c:showCatName val="1"/>
              <c:showSerName val="0"/>
              <c:showPercent val="1"/>
              <c:showBubbleSize val="0"/>
              <c:separator> </c:separator>
              <c:extLst xmlns:c16r2="http://schemas.microsoft.com/office/drawing/2015/06/chart">
                <c:ext xmlns:c15="http://schemas.microsoft.com/office/drawing/2012/chart" uri="{CE6537A1-D6FC-4f65-9D91-7224C49458BB}">
                  <c15:layout>
                    <c:manualLayout>
                      <c:w val="3.0991587461392758E-2"/>
                      <c:h val="3.3305848357215548E-2"/>
                    </c:manualLayout>
                  </c15:layout>
                  <c15:showDataLabelsRange val="0"/>
                </c:ext>
                <c:ext xmlns:c16="http://schemas.microsoft.com/office/drawing/2014/chart" uri="{C3380CC4-5D6E-409C-BE32-E72D297353CC}">
                  <c16:uniqueId val="{0000000F-2909-4A7C-8170-5A52621CD8CA}"/>
                </c:ext>
              </c:extLst>
            </c:dLbl>
            <c:spPr>
              <a:solidFill>
                <a:sysClr val="window" lastClr="FFFFFF"/>
              </a:solidFill>
              <a:ln>
                <a:solidFill>
                  <a:sysClr val="window" lastClr="FFFFFF">
                    <a:lumMod val="50000"/>
                  </a:sysClr>
                </a:solidFill>
              </a:ln>
              <a:effectLst/>
            </c:spPr>
            <c:txPr>
              <a:bodyPr rot="0" vert="horz"/>
              <a:lstStyle/>
              <a:p>
                <a:pPr>
                  <a:defRPr baseline="0"/>
                </a:pPr>
                <a:endParaRPr lang="cs-CZ"/>
              </a:p>
            </c:txPr>
            <c:dLblPos val="outEnd"/>
            <c:showLegendKey val="0"/>
            <c:showVal val="0"/>
            <c:showCatName val="1"/>
            <c:showSerName val="0"/>
            <c:showPercent val="1"/>
            <c:showBubbleSize val="0"/>
            <c:separator> </c:separator>
            <c:showLeaderLines val="0"/>
            <c:extLst xmlns:c16r2="http://schemas.microsoft.com/office/drawing/2015/06/chart">
              <c:ext xmlns:c15="http://schemas.microsoft.com/office/drawing/2012/chart" uri="{CE6537A1-D6FC-4f65-9D91-7224C49458BB}">
                <c15:spPr xmlns:c15="http://schemas.microsoft.com/office/drawing/2012/chart">
                  <a:prstGeom prst="wedgeRectCallout">
                    <a:avLst/>
                  </a:prstGeom>
                </c15:spPr>
              </c:ext>
            </c:extLst>
          </c:dLbls>
          <c:cat>
            <c:strRef>
              <c:f>'dle účelu užití za celé město'!$AQ$1630:$AQ$1637</c:f>
              <c:strCache>
                <c:ptCount val="8"/>
                <c:pt idx="0">
                  <c:v>Garáže (G) - 3,07 mil. Kč</c:v>
                </c:pt>
                <c:pt idx="1">
                  <c:v>Hromadné bydlení (HB) - 141,38 mil. Kč</c:v>
                </c:pt>
                <c:pt idx="2">
                  <c:v>Rekreační bydlení (CH) - 4,98 mil. Kč</c:v>
                </c:pt>
                <c:pt idx="3">
                  <c:v>Občanská vybavenost - neziskový sektor (NE) - 38,67 mil. Kč</c:v>
                </c:pt>
                <c:pt idx="4">
                  <c:v>Občanská vybavenost (OV) - 58,25 mil. Kč</c:v>
                </c:pt>
                <c:pt idx="5">
                  <c:v>Průmysl (PR) - 460,92 mil. Kč</c:v>
                </c:pt>
                <c:pt idx="6">
                  <c:v>Rodinné bydlení (RD) - 271,80 mil. Kč</c:v>
                </c:pt>
                <c:pt idx="7">
                  <c:v>Technická vybavenost (TV) - 3,80 mil. Kč</c:v>
                </c:pt>
              </c:strCache>
            </c:strRef>
          </c:cat>
          <c:val>
            <c:numRef>
              <c:f>'dle účelu užití za celé město'!$AV$1648:$AV$1655</c:f>
              <c:numCache>
                <c:formatCode>#,##0.00</c:formatCode>
                <c:ptCount val="8"/>
                <c:pt idx="0">
                  <c:v>3.0730970000000002</c:v>
                </c:pt>
                <c:pt idx="1">
                  <c:v>141.38</c:v>
                </c:pt>
                <c:pt idx="2">
                  <c:v>4.9838630000000004</c:v>
                </c:pt>
                <c:pt idx="3">
                  <c:v>38.672029000000002</c:v>
                </c:pt>
                <c:pt idx="4">
                  <c:v>58.253242999999998</c:v>
                </c:pt>
                <c:pt idx="5">
                  <c:v>460.92123299999997</c:v>
                </c:pt>
                <c:pt idx="6">
                  <c:v>271.80366600000002</c:v>
                </c:pt>
                <c:pt idx="7">
                  <c:v>3.7981980000000002</c:v>
                </c:pt>
              </c:numCache>
            </c:numRef>
          </c:val>
          <c:extLst xmlns:c16r2="http://schemas.microsoft.com/office/drawing/2015/06/chart">
            <c:ext xmlns:c16="http://schemas.microsoft.com/office/drawing/2014/chart" uri="{C3380CC4-5D6E-409C-BE32-E72D297353CC}">
              <c16:uniqueId val="{00000010-2909-4A7C-8170-5A52621CD8CA}"/>
            </c:ext>
          </c:extLst>
        </c:ser>
        <c:dLbls>
          <c:showLegendKey val="0"/>
          <c:showVal val="0"/>
          <c:showCatName val="0"/>
          <c:showSerName val="0"/>
          <c:showPercent val="0"/>
          <c:showBubbleSize val="0"/>
          <c:showLeaderLines val="0"/>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cs-CZ"/>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cs-CZ"/>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solidFill>
                <a:latin typeface="+mn-lt"/>
                <a:ea typeface="+mn-ea"/>
                <a:cs typeface="+mn-cs"/>
              </a:defRPr>
            </a:pPr>
            <a:r>
              <a:rPr lang="cs-CZ" sz="1600" b="1" i="0" u="none" strike="noStrike" baseline="0">
                <a:effectLst/>
                <a:latin typeface="Times New Roman" panose="02020603050405020304" pitchFamily="18" charset="0"/>
                <a:cs typeface="Times New Roman" panose="02020603050405020304" pitchFamily="18" charset="0"/>
              </a:rPr>
              <a:t>Struktura </a:t>
            </a:r>
            <a:r>
              <a:rPr lang="en-US" sz="1600" b="1" i="0" u="none" strike="noStrike" baseline="0">
                <a:effectLst/>
                <a:latin typeface="Times New Roman" panose="02020603050405020304" pitchFamily="18" charset="0"/>
                <a:cs typeface="Times New Roman" panose="02020603050405020304" pitchFamily="18" charset="0"/>
              </a:rPr>
              <a:t>převodů stavebních pozemků v rámci celého území města </a:t>
            </a:r>
            <a:r>
              <a:rPr lang="cs-CZ" sz="1600" b="1" i="0" u="none" strike="noStrike" baseline="0">
                <a:effectLst/>
                <a:latin typeface="Times New Roman" panose="02020603050405020304" pitchFamily="18" charset="0"/>
                <a:cs typeface="Times New Roman" panose="02020603050405020304" pitchFamily="18" charset="0"/>
              </a:rPr>
              <a:t>za rok 2021</a:t>
            </a:r>
            <a:r>
              <a:rPr lang="en-US" sz="1600" b="1" i="0" u="none" strike="noStrike" baseline="0">
                <a:effectLst/>
                <a:latin typeface="Times New Roman" panose="02020603050405020304" pitchFamily="18" charset="0"/>
                <a:cs typeface="Times New Roman" panose="02020603050405020304" pitchFamily="18" charset="0"/>
              </a:rPr>
              <a:t> </a:t>
            </a:r>
            <a:endParaRPr lang="en-US" sz="1600">
              <a:solidFill>
                <a:schemeClr val="tx1"/>
              </a:solidFill>
              <a:latin typeface="Times New Roman" panose="02020603050405020304" pitchFamily="18" charset="0"/>
              <a:cs typeface="Times New Roman" panose="02020603050405020304" pitchFamily="18" charset="0"/>
            </a:endParaRPr>
          </a:p>
        </c:rich>
      </c:tx>
      <c:layout/>
      <c:overlay val="0"/>
      <c:spPr>
        <a:noFill/>
        <a:ln>
          <a:noFill/>
        </a:ln>
        <a:effectLst/>
      </c:spPr>
    </c:title>
    <c:autoTitleDeleted val="0"/>
    <c:plotArea>
      <c:layout/>
      <c:pieChart>
        <c:varyColors val="1"/>
        <c:ser>
          <c:idx val="0"/>
          <c:order val="0"/>
          <c:tx>
            <c:strRef>
              <c:f>'dle účelu užití za celé město'!$BE$1719:$BM$1719</c:f>
              <c:strCache>
                <c:ptCount val="1"/>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extLst xmlns:c16r2="http://schemas.microsoft.com/office/drawing/2015/06/chart">
              <c:ext xmlns:c16="http://schemas.microsoft.com/office/drawing/2014/chart" uri="{C3380CC4-5D6E-409C-BE32-E72D297353CC}">
                <c16:uniqueId val="{00000001-C4BB-384D-9B8C-8EE5D66F2AE3}"/>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extLst xmlns:c16r2="http://schemas.microsoft.com/office/drawing/2015/06/chart">
              <c:ext xmlns:c16="http://schemas.microsoft.com/office/drawing/2014/chart" uri="{C3380CC4-5D6E-409C-BE32-E72D297353CC}">
                <c16:uniqueId val="{00000003-C4BB-384D-9B8C-8EE5D66F2AE3}"/>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extLst xmlns:c16r2="http://schemas.microsoft.com/office/drawing/2015/06/chart">
              <c:ext xmlns:c16="http://schemas.microsoft.com/office/drawing/2014/chart" uri="{C3380CC4-5D6E-409C-BE32-E72D297353CC}">
                <c16:uniqueId val="{00000005-C4BB-384D-9B8C-8EE5D66F2AE3}"/>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extLst xmlns:c16r2="http://schemas.microsoft.com/office/drawing/2015/06/chart">
              <c:ext xmlns:c16="http://schemas.microsoft.com/office/drawing/2014/chart" uri="{C3380CC4-5D6E-409C-BE32-E72D297353CC}">
                <c16:uniqueId val="{00000007-C4BB-384D-9B8C-8EE5D66F2AE3}"/>
              </c:ext>
            </c:extLst>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c:spPr>
            <c:extLst xmlns:c16r2="http://schemas.microsoft.com/office/drawing/2015/06/chart">
              <c:ext xmlns:c16="http://schemas.microsoft.com/office/drawing/2014/chart" uri="{C3380CC4-5D6E-409C-BE32-E72D297353CC}">
                <c16:uniqueId val="{00000009-C4BB-384D-9B8C-8EE5D66F2AE3}"/>
              </c:ext>
            </c:extLst>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c:spPr>
            <c:extLst xmlns:c16r2="http://schemas.microsoft.com/office/drawing/2015/06/chart">
              <c:ext xmlns:c16="http://schemas.microsoft.com/office/drawing/2014/chart" uri="{C3380CC4-5D6E-409C-BE32-E72D297353CC}">
                <c16:uniqueId val="{0000000B-C4BB-384D-9B8C-8EE5D66F2AE3}"/>
              </c:ext>
            </c:extLst>
          </c:dPt>
          <c:dPt>
            <c:idx val="6"/>
            <c:bubble3D val="0"/>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c:spPr>
            <c:extLst xmlns:c16r2="http://schemas.microsoft.com/office/drawing/2015/06/chart">
              <c:ext xmlns:c16="http://schemas.microsoft.com/office/drawing/2014/chart" uri="{C3380CC4-5D6E-409C-BE32-E72D297353CC}">
                <c16:uniqueId val="{0000000D-C4BB-384D-9B8C-8EE5D66F2AE3}"/>
              </c:ext>
            </c:extLst>
          </c:dPt>
          <c:dPt>
            <c:idx val="7"/>
            <c:bubble3D val="0"/>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c:spPr>
            <c:extLst xmlns:c16r2="http://schemas.microsoft.com/office/drawing/2015/06/chart">
              <c:ext xmlns:c16="http://schemas.microsoft.com/office/drawing/2014/chart" uri="{C3380CC4-5D6E-409C-BE32-E72D297353CC}">
                <c16:uniqueId val="{0000000F-C4BB-384D-9B8C-8EE5D66F2AE3}"/>
              </c:ext>
            </c:extLst>
          </c:dPt>
          <c:dLbls>
            <c:dLbl>
              <c:idx val="0"/>
              <c:layout>
                <c:manualLayout>
                  <c:x val="2.6241484527471111E-2"/>
                  <c:y val="-3.1365740205575414E-3"/>
                </c:manualLayout>
              </c:layout>
              <c:tx>
                <c:rich>
                  <a:bodyPr/>
                  <a:lstStyle/>
                  <a:p>
                    <a:r>
                      <a:rPr lang="en-US" baseline="0"/>
                      <a:t>0,08%</a:t>
                    </a:r>
                    <a:endParaRPr lang="en-US"/>
                  </a:p>
                </c:rich>
              </c:tx>
              <c:dLblPos val="bestFit"/>
              <c:showLegendKey val="0"/>
              <c:showVal val="0"/>
              <c:showCatName val="1"/>
              <c:showSerName val="0"/>
              <c:showPercent val="1"/>
              <c:showBubbleSize val="0"/>
              <c:separator> </c:separator>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C4BB-384D-9B8C-8EE5D66F2AE3}"/>
                </c:ext>
              </c:extLst>
            </c:dLbl>
            <c:dLbl>
              <c:idx val="1"/>
              <c:layout>
                <c:manualLayout>
                  <c:x val="1.0963341119860245E-2"/>
                  <c:y val="-1.8289553384411225E-3"/>
                </c:manualLayout>
              </c:layout>
              <c:tx>
                <c:rich>
                  <a:bodyPr/>
                  <a:lstStyle/>
                  <a:p>
                    <a:r>
                      <a:rPr lang="en-US" baseline="0"/>
                      <a:t>13,27%</a:t>
                    </a:r>
                    <a:endParaRPr lang="en-US"/>
                  </a:p>
                </c:rich>
              </c:tx>
              <c:dLblPos val="bestFit"/>
              <c:showLegendKey val="0"/>
              <c:showVal val="0"/>
              <c:showCatName val="1"/>
              <c:showSerName val="0"/>
              <c:showPercent val="1"/>
              <c:showBubbleSize val="0"/>
              <c:separator> </c:separator>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C4BB-384D-9B8C-8EE5D66F2AE3}"/>
                </c:ext>
              </c:extLst>
            </c:dLbl>
            <c:dLbl>
              <c:idx val="2"/>
              <c:layout>
                <c:manualLayout>
                  <c:x val="1.7633540048407538E-3"/>
                  <c:y val="-9.710964484373771E-3"/>
                </c:manualLayout>
              </c:layout>
              <c:tx>
                <c:rich>
                  <a:bodyPr/>
                  <a:lstStyle/>
                  <a:p>
                    <a:r>
                      <a:rPr lang="en-US" baseline="0"/>
                      <a:t>2,55%</a:t>
                    </a:r>
                    <a:endParaRPr lang="en-US"/>
                  </a:p>
                </c:rich>
              </c:tx>
              <c:dLblPos val="bestFit"/>
              <c:showLegendKey val="0"/>
              <c:showVal val="0"/>
              <c:showCatName val="1"/>
              <c:showSerName val="0"/>
              <c:showPercent val="1"/>
              <c:showBubbleSize val="0"/>
              <c:separator> </c:separator>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5-C4BB-384D-9B8C-8EE5D66F2AE3}"/>
                </c:ext>
              </c:extLst>
            </c:dLbl>
            <c:dLbl>
              <c:idx val="3"/>
              <c:layout>
                <c:manualLayout>
                  <c:x val="7.6069980994653841E-3"/>
                  <c:y val="7.0756134664379409E-3"/>
                </c:manualLayout>
              </c:layout>
              <c:tx>
                <c:rich>
                  <a:bodyPr/>
                  <a:lstStyle/>
                  <a:p>
                    <a:r>
                      <a:rPr lang="en-US" baseline="0"/>
                      <a:t>1,65%</a:t>
                    </a:r>
                    <a:endParaRPr lang="en-US"/>
                  </a:p>
                </c:rich>
              </c:tx>
              <c:dLblPos val="bestFit"/>
              <c:showLegendKey val="0"/>
              <c:showVal val="0"/>
              <c:showCatName val="1"/>
              <c:showSerName val="0"/>
              <c:showPercent val="1"/>
              <c:showBubbleSize val="0"/>
              <c:separator> </c:separator>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7-C4BB-384D-9B8C-8EE5D66F2AE3}"/>
                </c:ext>
              </c:extLst>
            </c:dLbl>
            <c:dLbl>
              <c:idx val="4"/>
              <c:layout>
                <c:manualLayout>
                  <c:x val="8.8203800402766718E-3"/>
                  <c:y val="2.943529183293183E-3"/>
                </c:manualLayout>
              </c:layout>
              <c:tx>
                <c:rich>
                  <a:bodyPr/>
                  <a:lstStyle/>
                  <a:p>
                    <a:r>
                      <a:rPr lang="en-US" baseline="0"/>
                      <a:t>5,94,%</a:t>
                    </a:r>
                    <a:endParaRPr lang="en-US"/>
                  </a:p>
                </c:rich>
              </c:tx>
              <c:dLblPos val="bestFit"/>
              <c:showLegendKey val="0"/>
              <c:showVal val="0"/>
              <c:showCatName val="1"/>
              <c:showSerName val="0"/>
              <c:showPercent val="1"/>
              <c:showBubbleSize val="0"/>
              <c:separator> </c:separator>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9-C4BB-384D-9B8C-8EE5D66F2AE3}"/>
                </c:ext>
              </c:extLst>
            </c:dLbl>
            <c:dLbl>
              <c:idx val="5"/>
              <c:layout/>
              <c:tx>
                <c:rich>
                  <a:bodyPr/>
                  <a:lstStyle/>
                  <a:p>
                    <a:r>
                      <a:rPr lang="en-US" baseline="0"/>
                      <a:t>15,59%</a:t>
                    </a:r>
                    <a:endParaRPr lang="en-US"/>
                  </a:p>
                </c:rich>
              </c:tx>
              <c:dLblPos val="outEnd"/>
              <c:showLegendKey val="0"/>
              <c:showVal val="0"/>
              <c:showCatName val="1"/>
              <c:showSerName val="0"/>
              <c:showPercent val="1"/>
              <c:showBubbleSize val="0"/>
              <c:separator> </c:separator>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B-C4BB-384D-9B8C-8EE5D66F2AE3}"/>
                </c:ext>
              </c:extLst>
            </c:dLbl>
            <c:dLbl>
              <c:idx val="6"/>
              <c:layout>
                <c:manualLayout>
                  <c:x val="-1.4106832038726031E-2"/>
                  <c:y val="-0.12918976654290218"/>
                </c:manualLayout>
              </c:layout>
              <c:tx>
                <c:rich>
                  <a:bodyPr/>
                  <a:lstStyle/>
                  <a:p>
                    <a:r>
                      <a:rPr lang="en-US" baseline="0"/>
                      <a:t>60,39%</a:t>
                    </a:r>
                    <a:endParaRPr lang="en-US"/>
                  </a:p>
                </c:rich>
              </c:tx>
              <c:dLblPos val="bestFit"/>
              <c:showLegendKey val="0"/>
              <c:showVal val="0"/>
              <c:showCatName val="1"/>
              <c:showSerName val="0"/>
              <c:showPercent val="1"/>
              <c:showBubbleSize val="0"/>
              <c:separator> </c:separator>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D-C4BB-384D-9B8C-8EE5D66F2AE3}"/>
                </c:ext>
              </c:extLst>
            </c:dLbl>
            <c:dLbl>
              <c:idx val="7"/>
              <c:layout>
                <c:manualLayout>
                  <c:x val="-2.5129183036701089E-2"/>
                  <c:y val="-5.5432767222604968E-3"/>
                </c:manualLayout>
              </c:layout>
              <c:tx>
                <c:rich>
                  <a:bodyPr/>
                  <a:lstStyle/>
                  <a:p>
                    <a:r>
                      <a:rPr lang="en-US" baseline="0"/>
                      <a:t>0,53%</a:t>
                    </a:r>
                    <a:endParaRPr lang="en-US"/>
                  </a:p>
                </c:rich>
              </c:tx>
              <c:dLblPos val="bestFit"/>
              <c:showLegendKey val="0"/>
              <c:showVal val="0"/>
              <c:showCatName val="1"/>
              <c:showSerName val="0"/>
              <c:showPercent val="1"/>
              <c:showBubbleSize val="0"/>
              <c:separator> </c:separator>
              <c:extLst xmlns:c16r2="http://schemas.microsoft.com/office/drawing/2015/06/chart">
                <c:ext xmlns:c15="http://schemas.microsoft.com/office/drawing/2012/chart" uri="{CE6537A1-D6FC-4f65-9D91-7224C49458BB}">
                  <c15:layout>
                    <c:manualLayout>
                      <c:w val="3.0991587461392758E-2"/>
                      <c:h val="3.3305848357215548E-2"/>
                    </c:manualLayout>
                  </c15:layout>
                  <c15:showDataLabelsRange val="0"/>
                </c:ext>
                <c:ext xmlns:c16="http://schemas.microsoft.com/office/drawing/2014/chart" uri="{C3380CC4-5D6E-409C-BE32-E72D297353CC}">
                  <c16:uniqueId val="{0000000F-C4BB-384D-9B8C-8EE5D66F2AE3}"/>
                </c:ext>
              </c:extLst>
            </c:dLbl>
            <c:numFmt formatCode="0.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cs-CZ"/>
              </a:p>
            </c:txPr>
            <c:dLblPos val="outEnd"/>
            <c:showLegendKey val="0"/>
            <c:showVal val="0"/>
            <c:showCatName val="1"/>
            <c:showSerName val="0"/>
            <c:showPercent val="1"/>
            <c:showBubbleSize val="0"/>
            <c:separator> </c:separator>
            <c:showLeaderLines val="0"/>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ext>
            </c:extLst>
          </c:dLbls>
          <c:cat>
            <c:strRef>
              <c:f>'dle účelu užití za celé město'!$BY$1603:$BY$1610</c:f>
              <c:strCache>
                <c:ptCount val="8"/>
                <c:pt idx="0">
                  <c:v>Garáže (G) - 0,49 mil. Kč</c:v>
                </c:pt>
                <c:pt idx="1">
                  <c:v>Hromadné bydlení (HB) - 77,09 mil. Kč</c:v>
                </c:pt>
                <c:pt idx="2">
                  <c:v>Rekreační bydlení (CH) - 14,81 mil. Kč</c:v>
                </c:pt>
                <c:pt idx="3">
                  <c:v>Občanská vybavenost - neziskový sektor (NE) - 9,58 mil. Kč</c:v>
                </c:pt>
                <c:pt idx="4">
                  <c:v>Občanská vybavenost (OV) - 34,53 mil. Kč</c:v>
                </c:pt>
                <c:pt idx="5">
                  <c:v>Průmysl (PR) - 90,59 mil. Kč</c:v>
                </c:pt>
                <c:pt idx="6">
                  <c:v>Rodinné bydlení (RD) - 350,93 mil. Kč</c:v>
                </c:pt>
                <c:pt idx="7">
                  <c:v>Technická vybavenost (TV) - 3,08 mil. Kč</c:v>
                </c:pt>
              </c:strCache>
            </c:strRef>
          </c:cat>
          <c:val>
            <c:numRef>
              <c:f>'dle účelu užití za celé město'!$CD$1621:$CD$1628</c:f>
              <c:numCache>
                <c:formatCode>0.00</c:formatCode>
                <c:ptCount val="8"/>
                <c:pt idx="0">
                  <c:v>0.49</c:v>
                </c:pt>
                <c:pt idx="1">
                  <c:v>77.09</c:v>
                </c:pt>
                <c:pt idx="2">
                  <c:v>14.81</c:v>
                </c:pt>
                <c:pt idx="3">
                  <c:v>9.58</c:v>
                </c:pt>
                <c:pt idx="4">
                  <c:v>34.53</c:v>
                </c:pt>
                <c:pt idx="5">
                  <c:v>90.59</c:v>
                </c:pt>
                <c:pt idx="6">
                  <c:v>350.93</c:v>
                </c:pt>
                <c:pt idx="7">
                  <c:v>3.08</c:v>
                </c:pt>
              </c:numCache>
            </c:numRef>
          </c:val>
          <c:extLst xmlns:c16r2="http://schemas.microsoft.com/office/drawing/2015/06/chart">
            <c:ext xmlns:c16="http://schemas.microsoft.com/office/drawing/2014/chart" uri="{C3380CC4-5D6E-409C-BE32-E72D297353CC}">
              <c16:uniqueId val="{00000010-C4BB-384D-9B8C-8EE5D66F2AE3}"/>
            </c:ext>
          </c:extLst>
        </c:ser>
        <c:dLbls>
          <c:showLegendKey val="0"/>
          <c:showVal val="0"/>
          <c:showCatName val="0"/>
          <c:showSerName val="0"/>
          <c:showPercent val="0"/>
          <c:showBubbleSize val="0"/>
          <c:showLeaderLines val="0"/>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cs-CZ"/>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cs-CZ"/>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solidFill>
                <a:latin typeface="+mn-lt"/>
                <a:ea typeface="+mn-ea"/>
                <a:cs typeface="+mn-cs"/>
              </a:defRPr>
            </a:pPr>
            <a:r>
              <a:rPr lang="cs-CZ" sz="1600" b="1" i="0" u="none" strike="noStrike" baseline="0">
                <a:effectLst/>
                <a:latin typeface="Times New Roman" panose="02020603050405020304" pitchFamily="18" charset="0"/>
                <a:cs typeface="Times New Roman" panose="02020603050405020304" pitchFamily="18" charset="0"/>
              </a:rPr>
              <a:t>Struktura </a:t>
            </a:r>
            <a:r>
              <a:rPr lang="en-US" sz="1600" b="1" i="0" u="none" strike="noStrike" baseline="0">
                <a:effectLst/>
                <a:latin typeface="Times New Roman" panose="02020603050405020304" pitchFamily="18" charset="0"/>
                <a:cs typeface="Times New Roman" panose="02020603050405020304" pitchFamily="18" charset="0"/>
              </a:rPr>
              <a:t>převodů stavebních pozemků v rámci celého území města </a:t>
            </a:r>
            <a:r>
              <a:rPr lang="cs-CZ" sz="1600" b="1" i="0" u="none" strike="noStrike" baseline="0">
                <a:effectLst/>
                <a:latin typeface="Times New Roman" panose="02020603050405020304" pitchFamily="18" charset="0"/>
                <a:cs typeface="Times New Roman" panose="02020603050405020304" pitchFamily="18" charset="0"/>
              </a:rPr>
              <a:t>za rok 2022</a:t>
            </a:r>
            <a:r>
              <a:rPr lang="en-US" sz="1600" b="1" i="0" u="none" strike="noStrike" baseline="0">
                <a:effectLst/>
                <a:latin typeface="Times New Roman" panose="02020603050405020304" pitchFamily="18" charset="0"/>
                <a:cs typeface="Times New Roman" panose="02020603050405020304" pitchFamily="18" charset="0"/>
              </a:rPr>
              <a:t> </a:t>
            </a:r>
            <a:endParaRPr lang="en-US" sz="1600">
              <a:solidFill>
                <a:schemeClr val="tx1"/>
              </a:solidFill>
              <a:latin typeface="Times New Roman" panose="02020603050405020304" pitchFamily="18" charset="0"/>
              <a:cs typeface="Times New Roman" panose="02020603050405020304" pitchFamily="18" charset="0"/>
            </a:endParaRPr>
          </a:p>
        </c:rich>
      </c:tx>
      <c:layout/>
      <c:overlay val="0"/>
      <c:spPr>
        <a:noFill/>
        <a:ln>
          <a:noFill/>
        </a:ln>
        <a:effectLst/>
      </c:spPr>
    </c:title>
    <c:autoTitleDeleted val="0"/>
    <c:plotArea>
      <c:layout/>
      <c:pieChart>
        <c:varyColors val="1"/>
        <c:ser>
          <c:idx val="1"/>
          <c:order val="0"/>
          <c:tx>
            <c:strRef>
              <c:f>'dle účelu užití za celé město'!$BE$1719:$BM$1719</c:f>
              <c:strCache>
                <c:ptCount val="1"/>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extLst xmlns:c16r2="http://schemas.microsoft.com/office/drawing/2015/06/chart">
              <c:ext xmlns:c16="http://schemas.microsoft.com/office/drawing/2014/chart" uri="{C3380CC4-5D6E-409C-BE32-E72D297353CC}">
                <c16:uniqueId val="{00000001-C417-B447-B509-0DDC429883E3}"/>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extLst xmlns:c16r2="http://schemas.microsoft.com/office/drawing/2015/06/chart">
              <c:ext xmlns:c16="http://schemas.microsoft.com/office/drawing/2014/chart" uri="{C3380CC4-5D6E-409C-BE32-E72D297353CC}">
                <c16:uniqueId val="{00000003-C417-B447-B509-0DDC429883E3}"/>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extLst xmlns:c16r2="http://schemas.microsoft.com/office/drawing/2015/06/chart">
              <c:ext xmlns:c16="http://schemas.microsoft.com/office/drawing/2014/chart" uri="{C3380CC4-5D6E-409C-BE32-E72D297353CC}">
                <c16:uniqueId val="{00000005-C417-B447-B509-0DDC429883E3}"/>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extLst xmlns:c16r2="http://schemas.microsoft.com/office/drawing/2015/06/chart">
              <c:ext xmlns:c16="http://schemas.microsoft.com/office/drawing/2014/chart" uri="{C3380CC4-5D6E-409C-BE32-E72D297353CC}">
                <c16:uniqueId val="{00000007-C417-B447-B509-0DDC429883E3}"/>
              </c:ext>
            </c:extLst>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c:spPr>
            <c:extLst xmlns:c16r2="http://schemas.microsoft.com/office/drawing/2015/06/chart">
              <c:ext xmlns:c16="http://schemas.microsoft.com/office/drawing/2014/chart" uri="{C3380CC4-5D6E-409C-BE32-E72D297353CC}">
                <c16:uniqueId val="{00000009-C417-B447-B509-0DDC429883E3}"/>
              </c:ext>
            </c:extLst>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c:spPr>
            <c:extLst xmlns:c16r2="http://schemas.microsoft.com/office/drawing/2015/06/chart">
              <c:ext xmlns:c16="http://schemas.microsoft.com/office/drawing/2014/chart" uri="{C3380CC4-5D6E-409C-BE32-E72D297353CC}">
                <c16:uniqueId val="{0000000B-C417-B447-B509-0DDC429883E3}"/>
              </c:ext>
            </c:extLst>
          </c:dPt>
          <c:dPt>
            <c:idx val="6"/>
            <c:bubble3D val="0"/>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c:spPr>
            <c:extLst xmlns:c16r2="http://schemas.microsoft.com/office/drawing/2015/06/chart">
              <c:ext xmlns:c16="http://schemas.microsoft.com/office/drawing/2014/chart" uri="{C3380CC4-5D6E-409C-BE32-E72D297353CC}">
                <c16:uniqueId val="{0000000D-C417-B447-B509-0DDC429883E3}"/>
              </c:ext>
            </c:extLst>
          </c:dPt>
          <c:dPt>
            <c:idx val="7"/>
            <c:bubble3D val="0"/>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c:spPr>
            <c:extLst xmlns:c16r2="http://schemas.microsoft.com/office/drawing/2015/06/chart">
              <c:ext xmlns:c16="http://schemas.microsoft.com/office/drawing/2014/chart" uri="{C3380CC4-5D6E-409C-BE32-E72D297353CC}">
                <c16:uniqueId val="{0000000F-C417-B447-B509-0DDC429883E3}"/>
              </c:ext>
            </c:extLst>
          </c:dPt>
          <c:dLbls>
            <c:dLbl>
              <c:idx val="0"/>
              <c:layout>
                <c:manualLayout>
                  <c:x val="-2.4111933529917511E-2"/>
                  <c:y val="-3.7098038035558653E-3"/>
                </c:manualLayout>
              </c:layout>
              <c:showLegendKey val="0"/>
              <c:showVal val="0"/>
              <c:showCatName val="0"/>
              <c:showSerName val="1"/>
              <c:showPercent val="1"/>
              <c:showBubbleSize val="0"/>
              <c:separator> </c:separator>
            </c:dLbl>
            <c:dLbl>
              <c:idx val="1"/>
              <c:layout>
                <c:manualLayout>
                  <c:x val="1.8722698249771168E-2"/>
                  <c:y val="1.2147257867939226E-2"/>
                </c:manualLayout>
              </c:layout>
              <c:showLegendKey val="0"/>
              <c:showVal val="0"/>
              <c:showCatName val="0"/>
              <c:showSerName val="1"/>
              <c:showPercent val="1"/>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C417-B447-B509-0DDC429883E3}"/>
                </c:ext>
              </c:extLst>
            </c:dLbl>
            <c:dLbl>
              <c:idx val="2"/>
              <c:layout/>
              <c:numFmt formatCode="0.00%" sourceLinked="0"/>
              <c:spPr>
                <a:noFill/>
                <a:ln>
                  <a:solidFill>
                    <a:sysClr val="windowText" lastClr="000000">
                      <a:lumMod val="25000"/>
                      <a:lumOff val="75000"/>
                    </a:sysClr>
                  </a:solidFill>
                  <a:round/>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cs-CZ"/>
                </a:p>
              </c:txPr>
              <c:showLegendKey val="0"/>
              <c:showVal val="0"/>
              <c:showCatName val="0"/>
              <c:showSerName val="1"/>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C417-B447-B509-0DDC429883E3}"/>
                </c:ext>
              </c:extLst>
            </c:dLbl>
            <c:dLbl>
              <c:idx val="4"/>
              <c:layout>
                <c:manualLayout>
                  <c:x val="4.9292810880559139E-3"/>
                  <c:y val="1.4892225639221233E-2"/>
                </c:manualLayout>
              </c:layout>
              <c:showLegendKey val="0"/>
              <c:showVal val="0"/>
              <c:showCatName val="0"/>
              <c:showSerName val="1"/>
              <c:showPercent val="1"/>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C417-B447-B509-0DDC429883E3}"/>
                </c:ext>
              </c:extLst>
            </c:dLbl>
            <c:dLbl>
              <c:idx val="5"/>
              <c:layout>
                <c:manualLayout>
                  <c:x val="-4.1029191777910813E-3"/>
                  <c:y val="6.3543064025713527E-3"/>
                </c:manualLayout>
              </c:layout>
              <c:showLegendKey val="0"/>
              <c:showVal val="0"/>
              <c:showCatName val="0"/>
              <c:showSerName val="1"/>
              <c:showPercent val="1"/>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C417-B447-B509-0DDC429883E3}"/>
                </c:ext>
              </c:extLst>
            </c:dLbl>
            <c:dLbl>
              <c:idx val="6"/>
              <c:layout>
                <c:manualLayout>
                  <c:x val="-1.8633735344732959E-2"/>
                  <c:y val="3.4740810272448124E-2"/>
                </c:manualLayout>
              </c:layout>
              <c:showLegendKey val="0"/>
              <c:showVal val="0"/>
              <c:showCatName val="0"/>
              <c:showSerName val="1"/>
              <c:showPercent val="1"/>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C417-B447-B509-0DDC429883E3}"/>
                </c:ext>
              </c:extLst>
            </c:dLbl>
            <c:dLbl>
              <c:idx val="7"/>
              <c:layout>
                <c:manualLayout>
                  <c:x val="3.3194910646238349E-2"/>
                  <c:y val="-7.4570440064962017E-4"/>
                </c:manualLayout>
              </c:layout>
              <c:showLegendKey val="0"/>
              <c:showVal val="0"/>
              <c:showCatName val="0"/>
              <c:showSerName val="1"/>
              <c:showPercent val="1"/>
              <c:showBubbleSize val="0"/>
              <c:separator> </c:separator>
            </c:dLbl>
            <c:numFmt formatCode="0.00%" sourceLinked="0"/>
            <c:spPr>
              <a:noFill/>
              <a:ln>
                <a:solidFill>
                  <a:sysClr val="windowText" lastClr="000000">
                    <a:lumMod val="25000"/>
                    <a:lumOff val="75000"/>
                  </a:sys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cs-CZ"/>
              </a:p>
            </c:txPr>
            <c:showLegendKey val="0"/>
            <c:showVal val="0"/>
            <c:showCatName val="0"/>
            <c:showSerName val="1"/>
            <c:showPercent val="1"/>
            <c:showBubbleSize val="0"/>
            <c:separator> </c:separator>
            <c:showLeaderLines val="0"/>
            <c:extLst xmlns:c16r2="http://schemas.microsoft.com/office/drawing/2015/06/chart">
              <c:ext xmlns:c15="http://schemas.microsoft.com/office/drawing/2012/chart" uri="{CE6537A1-D6FC-4f65-9D91-7224C49458BB}"/>
            </c:extLst>
          </c:dLbls>
          <c:cat>
            <c:strRef>
              <c:f>'dle účelu užití za celé město'!$BY$1585:$BY$1592</c:f>
              <c:strCache>
                <c:ptCount val="8"/>
                <c:pt idx="0">
                  <c:v>Garáže (G) - 2,21 mil. Kč</c:v>
                </c:pt>
                <c:pt idx="1">
                  <c:v>Hromadné bydlení (HB) - 217,28  mil. Kč</c:v>
                </c:pt>
                <c:pt idx="2">
                  <c:v>Rekreační bydlení (CH) - 23,34 mil. Kč</c:v>
                </c:pt>
                <c:pt idx="3">
                  <c:v>Občanská vybavenost - neziskový sektor (NE) - 19,16 mil. Kč</c:v>
                </c:pt>
                <c:pt idx="4">
                  <c:v>Občanská vybavenost (OV) - 205,59 mil. Kč</c:v>
                </c:pt>
                <c:pt idx="5">
                  <c:v>Průmysl (PR) - 377,61 mil. Kč</c:v>
                </c:pt>
                <c:pt idx="6">
                  <c:v>Rodinné bydlení (RD) - 480,01 mil. Kč</c:v>
                </c:pt>
                <c:pt idx="7">
                  <c:v>Technická vybavenost (TV) - 2,16 mil. Kč</c:v>
                </c:pt>
              </c:strCache>
            </c:strRef>
          </c:cat>
          <c:val>
            <c:numRef>
              <c:f>'dle účelu užití za celé město'!$CD$1585:$CD$1592</c:f>
              <c:numCache>
                <c:formatCode>0.00</c:formatCode>
                <c:ptCount val="8"/>
                <c:pt idx="0">
                  <c:v>2.214</c:v>
                </c:pt>
                <c:pt idx="1">
                  <c:v>217.28299999999999</c:v>
                </c:pt>
                <c:pt idx="2">
                  <c:v>23.338000000000001</c:v>
                </c:pt>
                <c:pt idx="3">
                  <c:v>19.155999999999999</c:v>
                </c:pt>
                <c:pt idx="4">
                  <c:v>205.58699999999999</c:v>
                </c:pt>
                <c:pt idx="5">
                  <c:v>377.60599999999999</c:v>
                </c:pt>
                <c:pt idx="6">
                  <c:v>480.01100000000002</c:v>
                </c:pt>
                <c:pt idx="7">
                  <c:v>2.161</c:v>
                </c:pt>
              </c:numCache>
            </c:numRef>
          </c:val>
          <c:extLst xmlns:c16r2="http://schemas.microsoft.com/office/drawing/2015/06/chart">
            <c:ext xmlns:c16="http://schemas.microsoft.com/office/drawing/2014/chart" uri="{C3380CC4-5D6E-409C-BE32-E72D297353CC}">
              <c16:uniqueId val="{00000010-C417-B447-B509-0DDC429883E3}"/>
            </c:ext>
          </c:extLst>
        </c:ser>
        <c:ser>
          <c:idx val="0"/>
          <c:order val="1"/>
          <c:tx>
            <c:strRef>
              <c:f>'dle účelu užití za celé město'!$BE$1719:$BM$1719</c:f>
              <c:strCache>
                <c:ptCount val="1"/>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extLst xmlns:c16r2="http://schemas.microsoft.com/office/drawing/2015/06/chart">
              <c:ext xmlns:c16="http://schemas.microsoft.com/office/drawing/2014/chart" uri="{C3380CC4-5D6E-409C-BE32-E72D297353CC}">
                <c16:uniqueId val="{00000012-C417-B447-B509-0DDC429883E3}"/>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extLst xmlns:c16r2="http://schemas.microsoft.com/office/drawing/2015/06/chart">
              <c:ext xmlns:c16="http://schemas.microsoft.com/office/drawing/2014/chart" uri="{C3380CC4-5D6E-409C-BE32-E72D297353CC}">
                <c16:uniqueId val="{00000014-C417-B447-B509-0DDC429883E3}"/>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extLst xmlns:c16r2="http://schemas.microsoft.com/office/drawing/2015/06/chart">
              <c:ext xmlns:c16="http://schemas.microsoft.com/office/drawing/2014/chart" uri="{C3380CC4-5D6E-409C-BE32-E72D297353CC}">
                <c16:uniqueId val="{00000016-C417-B447-B509-0DDC429883E3}"/>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extLst xmlns:c16r2="http://schemas.microsoft.com/office/drawing/2015/06/chart">
              <c:ext xmlns:c16="http://schemas.microsoft.com/office/drawing/2014/chart" uri="{C3380CC4-5D6E-409C-BE32-E72D297353CC}">
                <c16:uniqueId val="{00000018-C417-B447-B509-0DDC429883E3}"/>
              </c:ext>
            </c:extLst>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c:spPr>
            <c:extLst xmlns:c16r2="http://schemas.microsoft.com/office/drawing/2015/06/chart">
              <c:ext xmlns:c16="http://schemas.microsoft.com/office/drawing/2014/chart" uri="{C3380CC4-5D6E-409C-BE32-E72D297353CC}">
                <c16:uniqueId val="{0000001A-C417-B447-B509-0DDC429883E3}"/>
              </c:ext>
            </c:extLst>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c:spPr>
            <c:extLst xmlns:c16r2="http://schemas.microsoft.com/office/drawing/2015/06/chart">
              <c:ext xmlns:c16="http://schemas.microsoft.com/office/drawing/2014/chart" uri="{C3380CC4-5D6E-409C-BE32-E72D297353CC}">
                <c16:uniqueId val="{0000001C-C417-B447-B509-0DDC429883E3}"/>
              </c:ext>
            </c:extLst>
          </c:dPt>
          <c:dPt>
            <c:idx val="6"/>
            <c:bubble3D val="0"/>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c:spPr>
            <c:extLst xmlns:c16r2="http://schemas.microsoft.com/office/drawing/2015/06/chart">
              <c:ext xmlns:c16="http://schemas.microsoft.com/office/drawing/2014/chart" uri="{C3380CC4-5D6E-409C-BE32-E72D297353CC}">
                <c16:uniqueId val="{0000001E-C417-B447-B509-0DDC429883E3}"/>
              </c:ext>
            </c:extLst>
          </c:dPt>
          <c:dPt>
            <c:idx val="7"/>
            <c:bubble3D val="0"/>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c:spPr>
            <c:extLst xmlns:c16r2="http://schemas.microsoft.com/office/drawing/2015/06/chart">
              <c:ext xmlns:c16="http://schemas.microsoft.com/office/drawing/2014/chart" uri="{C3380CC4-5D6E-409C-BE32-E72D297353CC}">
                <c16:uniqueId val="{00000020-C417-B447-B509-0DDC429883E3}"/>
              </c:ext>
            </c:extLst>
          </c:dPt>
          <c:dLbls>
            <c:dLbl>
              <c:idx val="0"/>
              <c:layout>
                <c:manualLayout>
                  <c:x val="-4.9582582328559506E-2"/>
                  <c:y val="-6.0728198038957374E-3"/>
                </c:manualLayout>
              </c:layout>
              <c:tx>
                <c:rich>
                  <a:bodyPr/>
                  <a:lstStyle/>
                  <a:p>
                    <a:fld id="{143C63FF-409F-4FE1-BEFD-0F7D2441987F}" type="PERCENTAGE">
                      <a:rPr lang="en-US" baseline="0"/>
                      <a:pPr/>
                      <a:t>[PROCENTO]</a:t>
                    </a:fld>
                    <a:endParaRPr lang="cs-CZ"/>
                  </a:p>
                </c:rich>
              </c:tx>
              <c:dLblPos val="bestFit"/>
              <c:showLegendKey val="0"/>
              <c:showVal val="0"/>
              <c:showCatName val="1"/>
              <c:showSerName val="0"/>
              <c:showPercent val="1"/>
              <c:showBubbleSize val="0"/>
              <c:separator> </c:separator>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12-C417-B447-B509-0DDC429883E3}"/>
                </c:ext>
              </c:extLst>
            </c:dLbl>
            <c:dLbl>
              <c:idx val="1"/>
              <c:layout>
                <c:manualLayout>
                  <c:x val="1.6253434124532874E-2"/>
                  <c:y val="-1.6509556600479872E-2"/>
                </c:manualLayout>
              </c:layout>
              <c:tx>
                <c:rich>
                  <a:bodyPr/>
                  <a:lstStyle/>
                  <a:p>
                    <a:fld id="{3E05146F-ABE8-4186-83CC-9A311582A5DD}" type="PERCENTAGE">
                      <a:rPr lang="en-US" baseline="0"/>
                      <a:pPr/>
                      <a:t>[PROCENTO]</a:t>
                    </a:fld>
                    <a:endParaRPr lang="cs-CZ"/>
                  </a:p>
                </c:rich>
              </c:tx>
              <c:dLblPos val="bestFit"/>
              <c:showLegendKey val="0"/>
              <c:showVal val="0"/>
              <c:showCatName val="1"/>
              <c:showSerName val="0"/>
              <c:showPercent val="1"/>
              <c:showBubbleSize val="0"/>
              <c:separator> </c:separator>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14-C417-B447-B509-0DDC429883E3}"/>
                </c:ext>
              </c:extLst>
            </c:dLbl>
            <c:dLbl>
              <c:idx val="2"/>
              <c:layout>
                <c:manualLayout>
                  <c:x val="0"/>
                  <c:y val="-2.7327689117530821E-2"/>
                </c:manualLayout>
              </c:layout>
              <c:tx>
                <c:rich>
                  <a:bodyPr/>
                  <a:lstStyle/>
                  <a:p>
                    <a:fld id="{0E13C851-64E3-4DC8-BFD3-4F2C80DFDF24}" type="PERCENTAGE">
                      <a:rPr lang="en-US" baseline="0"/>
                      <a:pPr/>
                      <a:t>[PROCENTO]</a:t>
                    </a:fld>
                    <a:endParaRPr lang="cs-CZ"/>
                  </a:p>
                </c:rich>
              </c:tx>
              <c:dLblPos val="bestFit"/>
              <c:showLegendKey val="0"/>
              <c:showVal val="0"/>
              <c:showCatName val="1"/>
              <c:showSerName val="0"/>
              <c:showPercent val="1"/>
              <c:showBubbleSize val="0"/>
              <c:separator> </c:separator>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16-C417-B447-B509-0DDC429883E3}"/>
                </c:ext>
              </c:extLst>
            </c:dLbl>
            <c:dLbl>
              <c:idx val="3"/>
              <c:layout>
                <c:manualLayout>
                  <c:x val="2.3477182624325261E-2"/>
                  <c:y val="7.0755242573485172E-3"/>
                </c:manualLayout>
              </c:layout>
              <c:tx>
                <c:rich>
                  <a:bodyPr/>
                  <a:lstStyle/>
                  <a:p>
                    <a:fld id="{DDEE9FF4-F671-4251-9943-C2A7FDCE86F4}" type="PERCENTAGE">
                      <a:rPr lang="en-US" baseline="0"/>
                      <a:pPr/>
                      <a:t>[PROCENTO]</a:t>
                    </a:fld>
                    <a:endParaRPr lang="cs-CZ"/>
                  </a:p>
                </c:rich>
              </c:tx>
              <c:dLblPos val="bestFit"/>
              <c:showLegendKey val="0"/>
              <c:showVal val="0"/>
              <c:showCatName val="1"/>
              <c:showSerName val="0"/>
              <c:showPercent val="1"/>
              <c:showBubbleSize val="0"/>
              <c:separator> </c:separator>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18-C417-B447-B509-0DDC429883E3}"/>
                </c:ext>
              </c:extLst>
            </c:dLbl>
            <c:dLbl>
              <c:idx val="4"/>
              <c:tx>
                <c:rich>
                  <a:bodyPr/>
                  <a:lstStyle/>
                  <a:p>
                    <a:fld id="{C3FD3496-BC25-4B31-909B-513DDA45BFDD}" type="PERCENTAGE">
                      <a:rPr lang="en-US" baseline="0"/>
                      <a:pPr/>
                      <a:t>[PROCENTO]</a:t>
                    </a:fld>
                    <a:endParaRPr lang="cs-CZ"/>
                  </a:p>
                </c:rich>
              </c:tx>
              <c:dLblPos val="outEnd"/>
              <c:showLegendKey val="0"/>
              <c:showVal val="0"/>
              <c:showCatName val="1"/>
              <c:showSerName val="0"/>
              <c:showPercent val="1"/>
              <c:showBubbleSize val="0"/>
              <c:separator> </c:separator>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1A-C417-B447-B509-0DDC429883E3}"/>
                </c:ext>
              </c:extLst>
            </c:dLbl>
            <c:dLbl>
              <c:idx val="5"/>
              <c:tx>
                <c:rich>
                  <a:bodyPr/>
                  <a:lstStyle/>
                  <a:p>
                    <a:fld id="{F9D2A3BD-6627-4813-ABE4-499B9B27302D}" type="PERCENTAGE">
                      <a:rPr lang="en-US" baseline="0"/>
                      <a:pPr/>
                      <a:t>[PROCENTO]</a:t>
                    </a:fld>
                    <a:endParaRPr lang="cs-CZ"/>
                  </a:p>
                </c:rich>
              </c:tx>
              <c:dLblPos val="outEnd"/>
              <c:showLegendKey val="0"/>
              <c:showVal val="0"/>
              <c:showCatName val="1"/>
              <c:showSerName val="0"/>
              <c:showPercent val="1"/>
              <c:showBubbleSize val="0"/>
              <c:separator> </c:separator>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1C-C417-B447-B509-0DDC429883E3}"/>
                </c:ext>
              </c:extLst>
            </c:dLbl>
            <c:dLbl>
              <c:idx val="6"/>
              <c:tx>
                <c:rich>
                  <a:bodyPr/>
                  <a:lstStyle/>
                  <a:p>
                    <a:fld id="{A7D7EA5C-8796-4567-AC07-2344ECE1A99B}" type="PERCENTAGE">
                      <a:rPr lang="en-US" baseline="0"/>
                      <a:pPr/>
                      <a:t>[PROCENTO]</a:t>
                    </a:fld>
                    <a:endParaRPr lang="cs-CZ"/>
                  </a:p>
                </c:rich>
              </c:tx>
              <c:dLblPos val="outEnd"/>
              <c:showLegendKey val="0"/>
              <c:showVal val="0"/>
              <c:showCatName val="1"/>
              <c:showSerName val="0"/>
              <c:showPercent val="1"/>
              <c:showBubbleSize val="0"/>
              <c:separator> </c:separator>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1E-C417-B447-B509-0DDC429883E3}"/>
                </c:ext>
              </c:extLst>
            </c:dLbl>
            <c:dLbl>
              <c:idx val="7"/>
              <c:layout>
                <c:manualLayout>
                  <c:x val="2.07180093169291E-2"/>
                  <c:y val="-2.0223928271640705E-2"/>
                </c:manualLayout>
              </c:layout>
              <c:tx>
                <c:rich>
                  <a:bodyPr/>
                  <a:lstStyle/>
                  <a:p>
                    <a:fld id="{E6E26AFC-20F0-4953-8925-586A5AEBDA36}" type="PERCENTAGE">
                      <a:rPr lang="en-US" baseline="0"/>
                      <a:pPr/>
                      <a:t>[PROCENTO]</a:t>
                    </a:fld>
                    <a:endParaRPr lang="cs-CZ"/>
                  </a:p>
                </c:rich>
              </c:tx>
              <c:dLblPos val="bestFit"/>
              <c:showLegendKey val="0"/>
              <c:showVal val="0"/>
              <c:showCatName val="1"/>
              <c:showSerName val="0"/>
              <c:showPercent val="1"/>
              <c:showBubbleSize val="0"/>
              <c:separator> </c:separator>
              <c:extLst xmlns:c16r2="http://schemas.microsoft.com/office/drawing/2015/06/chart">
                <c:ext xmlns:c15="http://schemas.microsoft.com/office/drawing/2012/chart" uri="{CE6537A1-D6FC-4f65-9D91-7224C49458BB}">
                  <c15:layout>
                    <c:manualLayout>
                      <c:w val="3.0991587461392758E-2"/>
                      <c:h val="3.3305848357215548E-2"/>
                    </c:manualLayout>
                  </c15:layout>
                  <c15:dlblFieldTable/>
                  <c15:showDataLabelsRange val="0"/>
                </c:ext>
                <c:ext xmlns:c16="http://schemas.microsoft.com/office/drawing/2014/chart" uri="{C3380CC4-5D6E-409C-BE32-E72D297353CC}">
                  <c16:uniqueId val="{00000020-C417-B447-B509-0DDC429883E3}"/>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cs-CZ"/>
              </a:p>
            </c:txPr>
            <c:dLblPos val="outEnd"/>
            <c:showLegendKey val="0"/>
            <c:showVal val="0"/>
            <c:showCatName val="1"/>
            <c:showSerName val="0"/>
            <c:showPercent val="1"/>
            <c:showBubbleSize val="0"/>
            <c:separator> </c:separator>
            <c:showLeaderLines val="0"/>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ext>
            </c:extLst>
          </c:dLbls>
          <c:cat>
            <c:strRef>
              <c:f>'dle účelu užití za celé město'!$BY$1585:$BY$1592</c:f>
              <c:strCache>
                <c:ptCount val="8"/>
                <c:pt idx="0">
                  <c:v>Garáže (G) - 2,21 mil. Kč</c:v>
                </c:pt>
                <c:pt idx="1">
                  <c:v>Hromadné bydlení (HB) - 217,28  mil. Kč</c:v>
                </c:pt>
                <c:pt idx="2">
                  <c:v>Rekreační bydlení (CH) - 23,34 mil. Kč</c:v>
                </c:pt>
                <c:pt idx="3">
                  <c:v>Občanská vybavenost - neziskový sektor (NE) - 19,16 mil. Kč</c:v>
                </c:pt>
                <c:pt idx="4">
                  <c:v>Občanská vybavenost (OV) - 205,59 mil. Kč</c:v>
                </c:pt>
                <c:pt idx="5">
                  <c:v>Průmysl (PR) - 377,61 mil. Kč</c:v>
                </c:pt>
                <c:pt idx="6">
                  <c:v>Rodinné bydlení (RD) - 480,01 mil. Kč</c:v>
                </c:pt>
                <c:pt idx="7">
                  <c:v>Technická vybavenost (TV) - 2,16 mil. Kč</c:v>
                </c:pt>
              </c:strCache>
            </c:strRef>
          </c:cat>
          <c:val>
            <c:numRef>
              <c:f>'dle účelu užití za celé město'!$CD$1621:$CD$1628</c:f>
              <c:numCache>
                <c:formatCode>0.00</c:formatCode>
                <c:ptCount val="8"/>
                <c:pt idx="0">
                  <c:v>0.49</c:v>
                </c:pt>
                <c:pt idx="1">
                  <c:v>77.09</c:v>
                </c:pt>
                <c:pt idx="2">
                  <c:v>14.81</c:v>
                </c:pt>
                <c:pt idx="3">
                  <c:v>9.58</c:v>
                </c:pt>
                <c:pt idx="4">
                  <c:v>34.53</c:v>
                </c:pt>
                <c:pt idx="5">
                  <c:v>90.59</c:v>
                </c:pt>
                <c:pt idx="6">
                  <c:v>350.93</c:v>
                </c:pt>
                <c:pt idx="7">
                  <c:v>3.08</c:v>
                </c:pt>
              </c:numCache>
            </c:numRef>
          </c:val>
          <c:extLst xmlns:c16r2="http://schemas.microsoft.com/office/drawing/2015/06/chart">
            <c:ext xmlns:c16="http://schemas.microsoft.com/office/drawing/2014/chart" uri="{C3380CC4-5D6E-409C-BE32-E72D297353CC}">
              <c16:uniqueId val="{00000021-C417-B447-B509-0DDC429883E3}"/>
            </c:ext>
          </c:extLst>
        </c:ser>
        <c:dLbls>
          <c:showLegendKey val="0"/>
          <c:showVal val="0"/>
          <c:showCatName val="0"/>
          <c:showSerName val="0"/>
          <c:showPercent val="0"/>
          <c:showBubbleSize val="0"/>
          <c:showLeaderLines val="0"/>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cs-CZ"/>
        </a:p>
      </c:txPr>
    </c:legend>
    <c:plotVisOnly val="1"/>
    <c:dispBlanksAs val="gap"/>
    <c:showDLblsOverMax val="0"/>
    <c:extLst xmlns:c16r2="http://schemas.microsoft.com/office/drawing/2015/06/chart"/>
  </c:chart>
  <c:spPr>
    <a:solidFill>
      <a:schemeClr val="bg1"/>
    </a:solidFill>
    <a:ln w="9525" cap="flat" cmpd="sng" algn="ctr">
      <a:noFill/>
      <a:round/>
    </a:ln>
    <a:effectLst/>
  </c:spPr>
  <c:txPr>
    <a:bodyPr/>
    <a:lstStyle/>
    <a:p>
      <a:pPr>
        <a:defRPr/>
      </a:pPr>
      <a:endParaRPr lang="cs-CZ"/>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cs-CZ" sz="1600" b="1"/>
              <a:t>Vývoj prům.cen pozemků v Kč/m2 dle kategorií využití poz. za město v posl. 5 letech </a:t>
            </a:r>
          </a:p>
        </c:rich>
      </c:tx>
      <c:layout/>
      <c:overlay val="0"/>
      <c:spPr>
        <a:noFill/>
        <a:ln>
          <a:noFill/>
        </a:ln>
        <a:effectLst/>
      </c:spPr>
    </c:title>
    <c:autoTitleDeleted val="0"/>
    <c:plotArea>
      <c:layout/>
      <c:barChart>
        <c:barDir val="col"/>
        <c:grouping val="clustered"/>
        <c:varyColors val="0"/>
        <c:ser>
          <c:idx val="0"/>
          <c:order val="0"/>
          <c:tx>
            <c:v>2018</c:v>
          </c:tx>
          <c:spPr>
            <a:solidFill>
              <a:schemeClr val="accent1"/>
            </a:solidFill>
            <a:ln>
              <a:noFill/>
            </a:ln>
            <a:effectLst/>
          </c:spPr>
          <c:invertIfNegative val="0"/>
          <c:cat>
            <c:strRef>
              <c:f>'dle účelu užití za celé město'!$CG$1567:$CG$1574</c:f>
              <c:strCache>
                <c:ptCount val="8"/>
                <c:pt idx="0">
                  <c:v>G</c:v>
                </c:pt>
                <c:pt idx="1">
                  <c:v>HB</c:v>
                </c:pt>
                <c:pt idx="2">
                  <c:v>CH</c:v>
                </c:pt>
                <c:pt idx="3">
                  <c:v>NE</c:v>
                </c:pt>
                <c:pt idx="4">
                  <c:v>OV</c:v>
                </c:pt>
                <c:pt idx="5">
                  <c:v>PR</c:v>
                </c:pt>
                <c:pt idx="6">
                  <c:v>RD</c:v>
                </c:pt>
                <c:pt idx="7">
                  <c:v>TV</c:v>
                </c:pt>
              </c:strCache>
            </c:strRef>
          </c:cat>
          <c:val>
            <c:numRef>
              <c:f>'dle účelu užití za celé město'!$AW$1704:$AW$1711</c:f>
              <c:numCache>
                <c:formatCode>General</c:formatCode>
                <c:ptCount val="8"/>
                <c:pt idx="0">
                  <c:v>640</c:v>
                </c:pt>
                <c:pt idx="1">
                  <c:v>1072</c:v>
                </c:pt>
                <c:pt idx="2">
                  <c:v>399</c:v>
                </c:pt>
                <c:pt idx="3">
                  <c:v>452</c:v>
                </c:pt>
                <c:pt idx="4">
                  <c:v>1219</c:v>
                </c:pt>
                <c:pt idx="5">
                  <c:v>714</c:v>
                </c:pt>
                <c:pt idx="6">
                  <c:v>679</c:v>
                </c:pt>
                <c:pt idx="7">
                  <c:v>983</c:v>
                </c:pt>
              </c:numCache>
            </c:numRef>
          </c:val>
          <c:extLst xmlns:c16r2="http://schemas.microsoft.com/office/drawing/2015/06/chart">
            <c:ext xmlns:c16="http://schemas.microsoft.com/office/drawing/2014/chart" uri="{C3380CC4-5D6E-409C-BE32-E72D297353CC}">
              <c16:uniqueId val="{00000000-613F-AF44-AA84-BB53E7A174AE}"/>
            </c:ext>
          </c:extLst>
        </c:ser>
        <c:ser>
          <c:idx val="1"/>
          <c:order val="1"/>
          <c:tx>
            <c:v>2019</c:v>
          </c:tx>
          <c:spPr>
            <a:solidFill>
              <a:schemeClr val="accent2"/>
            </a:solidFill>
            <a:ln>
              <a:noFill/>
            </a:ln>
            <a:effectLst/>
          </c:spPr>
          <c:invertIfNegative val="0"/>
          <c:cat>
            <c:strRef>
              <c:f>'dle účelu užití za celé město'!$CG$1567:$CG$1574</c:f>
              <c:strCache>
                <c:ptCount val="8"/>
                <c:pt idx="0">
                  <c:v>G</c:v>
                </c:pt>
                <c:pt idx="1">
                  <c:v>HB</c:v>
                </c:pt>
                <c:pt idx="2">
                  <c:v>CH</c:v>
                </c:pt>
                <c:pt idx="3">
                  <c:v>NE</c:v>
                </c:pt>
                <c:pt idx="4">
                  <c:v>OV</c:v>
                </c:pt>
                <c:pt idx="5">
                  <c:v>PR</c:v>
                </c:pt>
                <c:pt idx="6">
                  <c:v>RD</c:v>
                </c:pt>
                <c:pt idx="7">
                  <c:v>TV</c:v>
                </c:pt>
              </c:strCache>
            </c:strRef>
          </c:cat>
          <c:val>
            <c:numRef>
              <c:f>'dle účelu užití za celé město'!$AW$1667:$AW$1674</c:f>
              <c:numCache>
                <c:formatCode>General</c:formatCode>
                <c:ptCount val="8"/>
                <c:pt idx="0">
                  <c:v>622</c:v>
                </c:pt>
                <c:pt idx="1">
                  <c:v>1510</c:v>
                </c:pt>
                <c:pt idx="2">
                  <c:v>634</c:v>
                </c:pt>
                <c:pt idx="3">
                  <c:v>1172</c:v>
                </c:pt>
                <c:pt idx="4">
                  <c:v>637</c:v>
                </c:pt>
                <c:pt idx="5">
                  <c:v>787</c:v>
                </c:pt>
                <c:pt idx="6">
                  <c:v>808</c:v>
                </c:pt>
                <c:pt idx="7">
                  <c:v>403</c:v>
                </c:pt>
              </c:numCache>
            </c:numRef>
          </c:val>
          <c:extLst xmlns:c16r2="http://schemas.microsoft.com/office/drawing/2015/06/chart">
            <c:ext xmlns:c16="http://schemas.microsoft.com/office/drawing/2014/chart" uri="{C3380CC4-5D6E-409C-BE32-E72D297353CC}">
              <c16:uniqueId val="{00000001-613F-AF44-AA84-BB53E7A174AE}"/>
            </c:ext>
          </c:extLst>
        </c:ser>
        <c:ser>
          <c:idx val="2"/>
          <c:order val="2"/>
          <c:tx>
            <c:v>2020</c:v>
          </c:tx>
          <c:spPr>
            <a:solidFill>
              <a:schemeClr val="accent3"/>
            </a:solidFill>
            <a:ln>
              <a:noFill/>
            </a:ln>
            <a:effectLst/>
          </c:spPr>
          <c:invertIfNegative val="0"/>
          <c:cat>
            <c:strRef>
              <c:f>'dle účelu užití za celé město'!$CG$1567:$CG$1574</c:f>
              <c:strCache>
                <c:ptCount val="8"/>
                <c:pt idx="0">
                  <c:v>G</c:v>
                </c:pt>
                <c:pt idx="1">
                  <c:v>HB</c:v>
                </c:pt>
                <c:pt idx="2">
                  <c:v>CH</c:v>
                </c:pt>
                <c:pt idx="3">
                  <c:v>NE</c:v>
                </c:pt>
                <c:pt idx="4">
                  <c:v>OV</c:v>
                </c:pt>
                <c:pt idx="5">
                  <c:v>PR</c:v>
                </c:pt>
                <c:pt idx="6">
                  <c:v>RD</c:v>
                </c:pt>
                <c:pt idx="7">
                  <c:v>TV</c:v>
                </c:pt>
              </c:strCache>
            </c:strRef>
          </c:cat>
          <c:val>
            <c:numRef>
              <c:f>'dle účelu užití za celé město'!$AW$1630:$AW$1637</c:f>
              <c:numCache>
                <c:formatCode>General</c:formatCode>
                <c:ptCount val="8"/>
                <c:pt idx="0">
                  <c:v>876</c:v>
                </c:pt>
                <c:pt idx="1">
                  <c:v>2239</c:v>
                </c:pt>
                <c:pt idx="2">
                  <c:v>302</c:v>
                </c:pt>
                <c:pt idx="3">
                  <c:v>1008</c:v>
                </c:pt>
                <c:pt idx="4">
                  <c:v>2761</c:v>
                </c:pt>
                <c:pt idx="5">
                  <c:v>784</c:v>
                </c:pt>
                <c:pt idx="6">
                  <c:v>716</c:v>
                </c:pt>
                <c:pt idx="7">
                  <c:v>826</c:v>
                </c:pt>
              </c:numCache>
            </c:numRef>
          </c:val>
          <c:extLst xmlns:c16r2="http://schemas.microsoft.com/office/drawing/2015/06/chart">
            <c:ext xmlns:c16="http://schemas.microsoft.com/office/drawing/2014/chart" uri="{C3380CC4-5D6E-409C-BE32-E72D297353CC}">
              <c16:uniqueId val="{00000002-613F-AF44-AA84-BB53E7A174AE}"/>
            </c:ext>
          </c:extLst>
        </c:ser>
        <c:ser>
          <c:idx val="3"/>
          <c:order val="3"/>
          <c:tx>
            <c:v>2021</c:v>
          </c:tx>
          <c:spPr>
            <a:solidFill>
              <a:schemeClr val="accent4"/>
            </a:solidFill>
            <a:ln>
              <a:noFill/>
            </a:ln>
            <a:effectLst/>
          </c:spPr>
          <c:invertIfNegative val="0"/>
          <c:cat>
            <c:strRef>
              <c:f>'dle účelu užití za celé město'!$CG$1567:$CG$1574</c:f>
              <c:strCache>
                <c:ptCount val="8"/>
                <c:pt idx="0">
                  <c:v>G</c:v>
                </c:pt>
                <c:pt idx="1">
                  <c:v>HB</c:v>
                </c:pt>
                <c:pt idx="2">
                  <c:v>CH</c:v>
                </c:pt>
                <c:pt idx="3">
                  <c:v>NE</c:v>
                </c:pt>
                <c:pt idx="4">
                  <c:v>OV</c:v>
                </c:pt>
                <c:pt idx="5">
                  <c:v>PR</c:v>
                </c:pt>
                <c:pt idx="6">
                  <c:v>RD</c:v>
                </c:pt>
                <c:pt idx="7">
                  <c:v>TV</c:v>
                </c:pt>
              </c:strCache>
            </c:strRef>
          </c:cat>
          <c:val>
            <c:numRef>
              <c:f>'dle účelu užití za celé město'!$CE$1603:$CE$1610</c:f>
              <c:numCache>
                <c:formatCode>General</c:formatCode>
                <c:ptCount val="8"/>
                <c:pt idx="0">
                  <c:v>709</c:v>
                </c:pt>
                <c:pt idx="1">
                  <c:v>1197</c:v>
                </c:pt>
                <c:pt idx="2">
                  <c:v>556</c:v>
                </c:pt>
                <c:pt idx="3">
                  <c:v>744</c:v>
                </c:pt>
                <c:pt idx="4">
                  <c:v>1920</c:v>
                </c:pt>
                <c:pt idx="5">
                  <c:v>570</c:v>
                </c:pt>
                <c:pt idx="6">
                  <c:v>792</c:v>
                </c:pt>
                <c:pt idx="7">
                  <c:v>286</c:v>
                </c:pt>
              </c:numCache>
            </c:numRef>
          </c:val>
          <c:extLst xmlns:c16r2="http://schemas.microsoft.com/office/drawing/2015/06/chart">
            <c:ext xmlns:c16="http://schemas.microsoft.com/office/drawing/2014/chart" uri="{C3380CC4-5D6E-409C-BE32-E72D297353CC}">
              <c16:uniqueId val="{00000003-613F-AF44-AA84-BB53E7A174AE}"/>
            </c:ext>
          </c:extLst>
        </c:ser>
        <c:ser>
          <c:idx val="4"/>
          <c:order val="4"/>
          <c:tx>
            <c:v>2022</c:v>
          </c:tx>
          <c:spPr>
            <a:solidFill>
              <a:schemeClr val="accent5"/>
            </a:solidFill>
            <a:ln>
              <a:noFill/>
            </a:ln>
            <a:effectLst/>
          </c:spPr>
          <c:invertIfNegative val="0"/>
          <c:cat>
            <c:strRef>
              <c:f>'dle účelu užití za celé město'!$CG$1567:$CG$1574</c:f>
              <c:strCache>
                <c:ptCount val="8"/>
                <c:pt idx="0">
                  <c:v>G</c:v>
                </c:pt>
                <c:pt idx="1">
                  <c:v>HB</c:v>
                </c:pt>
                <c:pt idx="2">
                  <c:v>CH</c:v>
                </c:pt>
                <c:pt idx="3">
                  <c:v>NE</c:v>
                </c:pt>
                <c:pt idx="4">
                  <c:v>OV</c:v>
                </c:pt>
                <c:pt idx="5">
                  <c:v>PR</c:v>
                </c:pt>
                <c:pt idx="6">
                  <c:v>RD</c:v>
                </c:pt>
                <c:pt idx="7">
                  <c:v>TV</c:v>
                </c:pt>
              </c:strCache>
            </c:strRef>
          </c:cat>
          <c:val>
            <c:numRef>
              <c:f>'dle účelu užití za celé město'!$CE$1567:$CE$1574</c:f>
              <c:numCache>
                <c:formatCode>General</c:formatCode>
                <c:ptCount val="8"/>
                <c:pt idx="0">
                  <c:v>484</c:v>
                </c:pt>
                <c:pt idx="1">
                  <c:v>1439</c:v>
                </c:pt>
                <c:pt idx="2">
                  <c:v>830</c:v>
                </c:pt>
                <c:pt idx="3">
                  <c:v>381</c:v>
                </c:pt>
                <c:pt idx="4">
                  <c:v>3046</c:v>
                </c:pt>
                <c:pt idx="5">
                  <c:v>1240</c:v>
                </c:pt>
                <c:pt idx="6">
                  <c:v>1023</c:v>
                </c:pt>
                <c:pt idx="7">
                  <c:v>217</c:v>
                </c:pt>
              </c:numCache>
            </c:numRef>
          </c:val>
          <c:extLst xmlns:c16r2="http://schemas.microsoft.com/office/drawing/2015/06/chart">
            <c:ext xmlns:c16="http://schemas.microsoft.com/office/drawing/2014/chart" uri="{C3380CC4-5D6E-409C-BE32-E72D297353CC}">
              <c16:uniqueId val="{00000004-613F-AF44-AA84-BB53E7A174AE}"/>
            </c:ext>
          </c:extLst>
        </c:ser>
        <c:dLbls>
          <c:showLegendKey val="0"/>
          <c:showVal val="0"/>
          <c:showCatName val="0"/>
          <c:showSerName val="0"/>
          <c:showPercent val="0"/>
          <c:showBubbleSize val="0"/>
        </c:dLbls>
        <c:gapWidth val="219"/>
        <c:overlap val="-27"/>
        <c:axId val="172382464"/>
        <c:axId val="172392448"/>
      </c:barChart>
      <c:catAx>
        <c:axId val="172382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cs-CZ"/>
          </a:p>
        </c:txPr>
        <c:crossAx val="172392448"/>
        <c:crosses val="autoZero"/>
        <c:auto val="1"/>
        <c:lblAlgn val="ctr"/>
        <c:lblOffset val="100"/>
        <c:noMultiLvlLbl val="0"/>
      </c:catAx>
      <c:valAx>
        <c:axId val="1723924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cs-CZ"/>
                  <a:t>mil. Kč</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cs-CZ"/>
          </a:p>
        </c:txPr>
        <c:crossAx val="17238246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cs-CZ"/>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cs-CZ"/>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cs-CZ" sz="1600" b="1">
                <a:solidFill>
                  <a:schemeClr val="tx1"/>
                </a:solidFill>
              </a:rPr>
              <a:t>Vývoj objemu převodu pozemků v mil. Kč dle kategorií využití za město v posledních 5 letech </a:t>
            </a:r>
          </a:p>
        </c:rich>
      </c:tx>
      <c:layout/>
      <c:overlay val="0"/>
      <c:spPr>
        <a:noFill/>
        <a:ln>
          <a:noFill/>
        </a:ln>
        <a:effectLst/>
      </c:spPr>
    </c:title>
    <c:autoTitleDeleted val="0"/>
    <c:plotArea>
      <c:layout>
        <c:manualLayout>
          <c:layoutTarget val="inner"/>
          <c:xMode val="edge"/>
          <c:yMode val="edge"/>
          <c:x val="9.5831932848025159E-2"/>
          <c:y val="0.17284525210487239"/>
          <c:w val="0.90282020506819494"/>
          <c:h val="0.57270332789543066"/>
        </c:manualLayout>
      </c:layout>
      <c:barChart>
        <c:barDir val="col"/>
        <c:grouping val="clustered"/>
        <c:varyColors val="0"/>
        <c:ser>
          <c:idx val="0"/>
          <c:order val="0"/>
          <c:tx>
            <c:v>2018</c:v>
          </c:tx>
          <c:spPr>
            <a:solidFill>
              <a:schemeClr val="accent1"/>
            </a:solidFill>
            <a:ln>
              <a:noFill/>
            </a:ln>
            <a:effectLst/>
          </c:spPr>
          <c:invertIfNegative val="0"/>
          <c:cat>
            <c:strRef>
              <c:f>'dle účelu užití za celé město'!$CG$1585:$CG$1592</c:f>
              <c:strCache>
                <c:ptCount val="8"/>
                <c:pt idx="0">
                  <c:v>G</c:v>
                </c:pt>
                <c:pt idx="1">
                  <c:v>HB</c:v>
                </c:pt>
                <c:pt idx="2">
                  <c:v>CH</c:v>
                </c:pt>
                <c:pt idx="3">
                  <c:v>NE</c:v>
                </c:pt>
                <c:pt idx="4">
                  <c:v>OV</c:v>
                </c:pt>
                <c:pt idx="5">
                  <c:v>PR</c:v>
                </c:pt>
                <c:pt idx="6">
                  <c:v>RD</c:v>
                </c:pt>
                <c:pt idx="7">
                  <c:v>TV</c:v>
                </c:pt>
              </c:strCache>
            </c:strRef>
          </c:cat>
          <c:val>
            <c:numRef>
              <c:f>'dle účelu užití za celé město'!$AV$1722:$AV$1729</c:f>
              <c:numCache>
                <c:formatCode>0.00</c:formatCode>
                <c:ptCount val="8"/>
                <c:pt idx="0">
                  <c:v>0.56999999999999995</c:v>
                </c:pt>
                <c:pt idx="1">
                  <c:v>64.59</c:v>
                </c:pt>
                <c:pt idx="2">
                  <c:v>7.06</c:v>
                </c:pt>
                <c:pt idx="3">
                  <c:v>7.45</c:v>
                </c:pt>
                <c:pt idx="4">
                  <c:v>225.02</c:v>
                </c:pt>
                <c:pt idx="5">
                  <c:v>404.8</c:v>
                </c:pt>
                <c:pt idx="6">
                  <c:v>287.37</c:v>
                </c:pt>
                <c:pt idx="7">
                  <c:v>0.57999999999999996</c:v>
                </c:pt>
              </c:numCache>
            </c:numRef>
          </c:val>
          <c:extLst xmlns:c16r2="http://schemas.microsoft.com/office/drawing/2015/06/chart">
            <c:ext xmlns:c16="http://schemas.microsoft.com/office/drawing/2014/chart" uri="{C3380CC4-5D6E-409C-BE32-E72D297353CC}">
              <c16:uniqueId val="{00000000-2C3B-FA4A-8D2F-E55745CE947E}"/>
            </c:ext>
          </c:extLst>
        </c:ser>
        <c:ser>
          <c:idx val="1"/>
          <c:order val="1"/>
          <c:tx>
            <c:v>2019</c:v>
          </c:tx>
          <c:spPr>
            <a:solidFill>
              <a:schemeClr val="accent2"/>
            </a:solidFill>
            <a:ln>
              <a:noFill/>
            </a:ln>
            <a:effectLst/>
          </c:spPr>
          <c:invertIfNegative val="0"/>
          <c:cat>
            <c:strRef>
              <c:f>'dle účelu užití za celé město'!$CG$1585:$CG$1592</c:f>
              <c:strCache>
                <c:ptCount val="8"/>
                <c:pt idx="0">
                  <c:v>G</c:v>
                </c:pt>
                <c:pt idx="1">
                  <c:v>HB</c:v>
                </c:pt>
                <c:pt idx="2">
                  <c:v>CH</c:v>
                </c:pt>
                <c:pt idx="3">
                  <c:v>NE</c:v>
                </c:pt>
                <c:pt idx="4">
                  <c:v>OV</c:v>
                </c:pt>
                <c:pt idx="5">
                  <c:v>PR</c:v>
                </c:pt>
                <c:pt idx="6">
                  <c:v>RD</c:v>
                </c:pt>
                <c:pt idx="7">
                  <c:v>TV</c:v>
                </c:pt>
              </c:strCache>
            </c:strRef>
          </c:cat>
          <c:val>
            <c:numRef>
              <c:f>'dle účelu užití za celé město'!$AV$1685:$AV$1692</c:f>
              <c:numCache>
                <c:formatCode>0.00</c:formatCode>
                <c:ptCount val="8"/>
                <c:pt idx="0">
                  <c:v>2.2799999999999998</c:v>
                </c:pt>
                <c:pt idx="1">
                  <c:v>103.97</c:v>
                </c:pt>
                <c:pt idx="2">
                  <c:v>10.015000000000001</c:v>
                </c:pt>
                <c:pt idx="3">
                  <c:v>19.95</c:v>
                </c:pt>
                <c:pt idx="4">
                  <c:v>16.510000000000002</c:v>
                </c:pt>
                <c:pt idx="5">
                  <c:v>169.93</c:v>
                </c:pt>
                <c:pt idx="6">
                  <c:v>264.89</c:v>
                </c:pt>
                <c:pt idx="7">
                  <c:v>0.57999999999999996</c:v>
                </c:pt>
              </c:numCache>
            </c:numRef>
          </c:val>
          <c:extLst xmlns:c16r2="http://schemas.microsoft.com/office/drawing/2015/06/chart">
            <c:ext xmlns:c16="http://schemas.microsoft.com/office/drawing/2014/chart" uri="{C3380CC4-5D6E-409C-BE32-E72D297353CC}">
              <c16:uniqueId val="{00000001-2C3B-FA4A-8D2F-E55745CE947E}"/>
            </c:ext>
          </c:extLst>
        </c:ser>
        <c:ser>
          <c:idx val="2"/>
          <c:order val="2"/>
          <c:tx>
            <c:v>2020</c:v>
          </c:tx>
          <c:spPr>
            <a:solidFill>
              <a:schemeClr val="accent3"/>
            </a:solidFill>
            <a:ln>
              <a:noFill/>
            </a:ln>
            <a:effectLst/>
          </c:spPr>
          <c:invertIfNegative val="0"/>
          <c:cat>
            <c:strRef>
              <c:f>'dle účelu užití za celé město'!$CG$1585:$CG$1592</c:f>
              <c:strCache>
                <c:ptCount val="8"/>
                <c:pt idx="0">
                  <c:v>G</c:v>
                </c:pt>
                <c:pt idx="1">
                  <c:v>HB</c:v>
                </c:pt>
                <c:pt idx="2">
                  <c:v>CH</c:v>
                </c:pt>
                <c:pt idx="3">
                  <c:v>NE</c:v>
                </c:pt>
                <c:pt idx="4">
                  <c:v>OV</c:v>
                </c:pt>
                <c:pt idx="5">
                  <c:v>PR</c:v>
                </c:pt>
                <c:pt idx="6">
                  <c:v>RD</c:v>
                </c:pt>
                <c:pt idx="7">
                  <c:v>TV</c:v>
                </c:pt>
              </c:strCache>
            </c:strRef>
          </c:cat>
          <c:val>
            <c:numRef>
              <c:f>'dle účelu užití za celé město'!$AV$1648:$AV$1655</c:f>
              <c:numCache>
                <c:formatCode>#,##0.00</c:formatCode>
                <c:ptCount val="8"/>
                <c:pt idx="0">
                  <c:v>3.0730970000000002</c:v>
                </c:pt>
                <c:pt idx="1">
                  <c:v>141.38</c:v>
                </c:pt>
                <c:pt idx="2">
                  <c:v>4.9838630000000004</c:v>
                </c:pt>
                <c:pt idx="3">
                  <c:v>38.672029000000002</c:v>
                </c:pt>
                <c:pt idx="4">
                  <c:v>58.253242999999998</c:v>
                </c:pt>
                <c:pt idx="5">
                  <c:v>460.92123299999997</c:v>
                </c:pt>
                <c:pt idx="6">
                  <c:v>271.80366600000002</c:v>
                </c:pt>
                <c:pt idx="7">
                  <c:v>3.7981980000000002</c:v>
                </c:pt>
              </c:numCache>
            </c:numRef>
          </c:val>
          <c:extLst xmlns:c16r2="http://schemas.microsoft.com/office/drawing/2015/06/chart">
            <c:ext xmlns:c16="http://schemas.microsoft.com/office/drawing/2014/chart" uri="{C3380CC4-5D6E-409C-BE32-E72D297353CC}">
              <c16:uniqueId val="{00000002-2C3B-FA4A-8D2F-E55745CE947E}"/>
            </c:ext>
          </c:extLst>
        </c:ser>
        <c:ser>
          <c:idx val="3"/>
          <c:order val="3"/>
          <c:tx>
            <c:v>2021</c:v>
          </c:tx>
          <c:spPr>
            <a:solidFill>
              <a:schemeClr val="accent4"/>
            </a:solidFill>
            <a:ln>
              <a:noFill/>
            </a:ln>
            <a:effectLst/>
          </c:spPr>
          <c:invertIfNegative val="0"/>
          <c:cat>
            <c:strRef>
              <c:f>'dle účelu užití za celé město'!$CG$1585:$CG$1592</c:f>
              <c:strCache>
                <c:ptCount val="8"/>
                <c:pt idx="0">
                  <c:v>G</c:v>
                </c:pt>
                <c:pt idx="1">
                  <c:v>HB</c:v>
                </c:pt>
                <c:pt idx="2">
                  <c:v>CH</c:v>
                </c:pt>
                <c:pt idx="3">
                  <c:v>NE</c:v>
                </c:pt>
                <c:pt idx="4">
                  <c:v>OV</c:v>
                </c:pt>
                <c:pt idx="5">
                  <c:v>PR</c:v>
                </c:pt>
                <c:pt idx="6">
                  <c:v>RD</c:v>
                </c:pt>
                <c:pt idx="7">
                  <c:v>TV</c:v>
                </c:pt>
              </c:strCache>
            </c:strRef>
          </c:cat>
          <c:val>
            <c:numRef>
              <c:f>'dle účelu užití za celé město'!$CD$1621:$CD$1628</c:f>
              <c:numCache>
                <c:formatCode>0.00</c:formatCode>
                <c:ptCount val="8"/>
                <c:pt idx="0">
                  <c:v>0.49</c:v>
                </c:pt>
                <c:pt idx="1">
                  <c:v>77.09</c:v>
                </c:pt>
                <c:pt idx="2">
                  <c:v>14.81</c:v>
                </c:pt>
                <c:pt idx="3">
                  <c:v>9.58</c:v>
                </c:pt>
                <c:pt idx="4">
                  <c:v>34.53</c:v>
                </c:pt>
                <c:pt idx="5">
                  <c:v>90.59</c:v>
                </c:pt>
                <c:pt idx="6">
                  <c:v>350.93</c:v>
                </c:pt>
                <c:pt idx="7">
                  <c:v>3.08</c:v>
                </c:pt>
              </c:numCache>
            </c:numRef>
          </c:val>
          <c:extLst xmlns:c16r2="http://schemas.microsoft.com/office/drawing/2015/06/chart">
            <c:ext xmlns:c16="http://schemas.microsoft.com/office/drawing/2014/chart" uri="{C3380CC4-5D6E-409C-BE32-E72D297353CC}">
              <c16:uniqueId val="{00000003-2C3B-FA4A-8D2F-E55745CE947E}"/>
            </c:ext>
          </c:extLst>
        </c:ser>
        <c:ser>
          <c:idx val="4"/>
          <c:order val="4"/>
          <c:tx>
            <c:v>2022</c:v>
          </c:tx>
          <c:spPr>
            <a:solidFill>
              <a:schemeClr val="accent5"/>
            </a:solidFill>
            <a:ln>
              <a:noFill/>
            </a:ln>
            <a:effectLst/>
          </c:spPr>
          <c:invertIfNegative val="0"/>
          <c:cat>
            <c:strRef>
              <c:f>'dle účelu užití za celé město'!$CG$1585:$CG$1592</c:f>
              <c:strCache>
                <c:ptCount val="8"/>
                <c:pt idx="0">
                  <c:v>G</c:v>
                </c:pt>
                <c:pt idx="1">
                  <c:v>HB</c:v>
                </c:pt>
                <c:pt idx="2">
                  <c:v>CH</c:v>
                </c:pt>
                <c:pt idx="3">
                  <c:v>NE</c:v>
                </c:pt>
                <c:pt idx="4">
                  <c:v>OV</c:v>
                </c:pt>
                <c:pt idx="5">
                  <c:v>PR</c:v>
                </c:pt>
                <c:pt idx="6">
                  <c:v>RD</c:v>
                </c:pt>
                <c:pt idx="7">
                  <c:v>TV</c:v>
                </c:pt>
              </c:strCache>
            </c:strRef>
          </c:cat>
          <c:val>
            <c:numRef>
              <c:f>'dle účelu užití za celé město'!$CD$1585:$CD$1592</c:f>
              <c:numCache>
                <c:formatCode>0.00</c:formatCode>
                <c:ptCount val="8"/>
                <c:pt idx="0">
                  <c:v>2.214</c:v>
                </c:pt>
                <c:pt idx="1">
                  <c:v>217.28299999999999</c:v>
                </c:pt>
                <c:pt idx="2">
                  <c:v>23.338000000000001</c:v>
                </c:pt>
                <c:pt idx="3">
                  <c:v>19.155999999999999</c:v>
                </c:pt>
                <c:pt idx="4">
                  <c:v>205.58699999999999</c:v>
                </c:pt>
                <c:pt idx="5">
                  <c:v>377.60599999999999</c:v>
                </c:pt>
                <c:pt idx="6">
                  <c:v>480.01100000000002</c:v>
                </c:pt>
                <c:pt idx="7">
                  <c:v>2.161</c:v>
                </c:pt>
              </c:numCache>
            </c:numRef>
          </c:val>
          <c:extLst xmlns:c16r2="http://schemas.microsoft.com/office/drawing/2015/06/chart">
            <c:ext xmlns:c16="http://schemas.microsoft.com/office/drawing/2014/chart" uri="{C3380CC4-5D6E-409C-BE32-E72D297353CC}">
              <c16:uniqueId val="{00000004-2C3B-FA4A-8D2F-E55745CE947E}"/>
            </c:ext>
          </c:extLst>
        </c:ser>
        <c:dLbls>
          <c:showLegendKey val="0"/>
          <c:showVal val="0"/>
          <c:showCatName val="0"/>
          <c:showSerName val="0"/>
          <c:showPercent val="0"/>
          <c:showBubbleSize val="0"/>
        </c:dLbls>
        <c:gapWidth val="219"/>
        <c:overlap val="-27"/>
        <c:axId val="172436864"/>
        <c:axId val="172450944"/>
      </c:barChart>
      <c:catAx>
        <c:axId val="172436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cs-CZ"/>
          </a:p>
        </c:txPr>
        <c:crossAx val="172450944"/>
        <c:crosses val="autoZero"/>
        <c:auto val="1"/>
        <c:lblAlgn val="ctr"/>
        <c:lblOffset val="100"/>
        <c:noMultiLvlLbl val="0"/>
      </c:catAx>
      <c:valAx>
        <c:axId val="1724509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cs-CZ"/>
                  <a:t>mil. Kč</a:t>
                </a:r>
              </a:p>
            </c:rich>
          </c:tx>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cs-CZ"/>
          </a:p>
        </c:txPr>
        <c:crossAx val="17243686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cs-CZ"/>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cs-CZ"/>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77DA3-8277-44C3-B9CF-1B983F99A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999</TotalTime>
  <Pages>31</Pages>
  <Words>9750</Words>
  <Characters>52111</Characters>
  <Application>Microsoft Office Word</Application>
  <DocSecurity>0</DocSecurity>
  <Lines>434</Lines>
  <Paragraphs>123</Paragraphs>
  <ScaleCrop>false</ScaleCrop>
  <HeadingPairs>
    <vt:vector size="2" baseType="variant">
      <vt:variant>
        <vt:lpstr>Název</vt:lpstr>
      </vt:variant>
      <vt:variant>
        <vt:i4>1</vt:i4>
      </vt:variant>
    </vt:vector>
  </HeadingPairs>
  <TitlesOfParts>
    <vt:vector size="1" baseType="lpstr">
      <vt:lpstr>CENOVÁ MAPA STAVEBNÍCH POZEMKŮ MĚSTA OSTRAVY</vt:lpstr>
    </vt:vector>
  </TitlesOfParts>
  <Company>OAS</Company>
  <LinksUpToDate>false</LinksUpToDate>
  <CharactersWithSpaces>61738</CharactersWithSpaces>
  <SharedDoc>false</SharedDoc>
  <HLinks>
    <vt:vector size="6" baseType="variant">
      <vt:variant>
        <vt:i4>3866729</vt:i4>
      </vt:variant>
      <vt:variant>
        <vt:i4>0</vt:i4>
      </vt:variant>
      <vt:variant>
        <vt:i4>0</vt:i4>
      </vt:variant>
      <vt:variant>
        <vt:i4>5</vt:i4>
      </vt:variant>
      <vt:variant>
        <vt:lpwstr>http://mapy.ostrava.cz/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CENOVÁ MAPA STAVEBNÍCH POZEMKŮ MĚSTA OSTRAVY</dc:title>
  <dc:creator>franta</dc:creator>
  <cp:lastModifiedBy>fulnecek</cp:lastModifiedBy>
  <cp:revision>40</cp:revision>
  <cp:lastPrinted>2022-11-11T09:25:00Z</cp:lastPrinted>
  <dcterms:created xsi:type="dcterms:W3CDTF">2022-11-10T06:09:00Z</dcterms:created>
  <dcterms:modified xsi:type="dcterms:W3CDTF">2022-11-11T11:56:00Z</dcterms:modified>
</cp:coreProperties>
</file>