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8BA7" w14:textId="77777777" w:rsidR="0095282F" w:rsidRPr="0095282F" w:rsidRDefault="0095282F" w:rsidP="0095282F">
      <w:pPr>
        <w:pStyle w:val="Zkladntext"/>
        <w:jc w:val="center"/>
        <w:rPr>
          <w:rFonts w:ascii="Times New Roman" w:hAnsi="Times New Roman" w:cs="Times New Roman"/>
          <w:sz w:val="28"/>
          <w:szCs w:val="28"/>
        </w:rPr>
      </w:pPr>
      <w:r w:rsidRPr="0095282F">
        <w:rPr>
          <w:rStyle w:val="Siln"/>
          <w:rFonts w:ascii="Times New Roman" w:hAnsi="Times New Roman" w:cs="Times New Roman"/>
          <w:sz w:val="28"/>
          <w:szCs w:val="28"/>
        </w:rPr>
        <w:t>Obecně závazná vyhláška obce Zlatníky-Hodkovice č. 1/2026</w:t>
      </w:r>
    </w:p>
    <w:p w14:paraId="391D8678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Style w:val="Siln"/>
          <w:rFonts w:ascii="Times New Roman" w:hAnsi="Times New Roman" w:cs="Times New Roman"/>
        </w:rPr>
        <w:t>kterou se nařizuje provedení speciální ochranné deratizace na území obce Zlatníky-Hodkovice</w:t>
      </w:r>
    </w:p>
    <w:p w14:paraId="3CBC8CB9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  <w:highlight w:val="yellow"/>
        </w:rPr>
      </w:pPr>
      <w:r w:rsidRPr="0095282F">
        <w:rPr>
          <w:rFonts w:ascii="Times New Roman" w:hAnsi="Times New Roman" w:cs="Times New Roman"/>
        </w:rPr>
        <w:t>Zastupitelstvo obce Zlatníky-Hodkovice se na svém zasedání dne  12.05.2026 usnesením č. 12/02/2026 usneslo vydat na základě § 96 zákona č. 258/2000 Sb., o ochraně veřejného zdraví a o změně některých souvisejících zákonů, ve znění pozdějších předpisů, a v souladu s § 10 písm. d) a § 84 odst. 2 písm. h) zákona č. 128/2000 Sb., o obcích (obecní zřízení), ve znění pozdějších předpisů, tuto obecně závaznou vyhlášku:</w:t>
      </w:r>
    </w:p>
    <w:p w14:paraId="286F7AF6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1</w:t>
      </w:r>
    </w:p>
    <w:p w14:paraId="57CCFC78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Předmět a účel úpravy</w:t>
      </w:r>
    </w:p>
    <w:p w14:paraId="6DFE5DE9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 xml:space="preserve">(1) Touto obecně závaznou vyhláškou se k ochraně zdraví před vznikem a šířením infekčních onemocnění nařizuje provedení speciální ochranné deratizace na území obce Zlatníky-Hodkovice. </w:t>
      </w:r>
    </w:p>
    <w:p w14:paraId="52659713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(2) Účelem této obecně závazné vyhlášky je omezit zvýšený výskyt škodlivých a epidemiologicky významných hlodavců, zejména potkana obecného a myši domácí, a tím předcházet ohrožení veřejného zdraví.</w:t>
      </w:r>
    </w:p>
    <w:p w14:paraId="1E618F3E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2</w:t>
      </w:r>
    </w:p>
    <w:p w14:paraId="1FC1011C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Rozsah území a doba provedení speciální ochranné deratizace</w:t>
      </w:r>
    </w:p>
    <w:p w14:paraId="4A5462DE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Style w:val="Siln"/>
          <w:rFonts w:ascii="Times New Roman" w:hAnsi="Times New Roman" w:cs="Times New Roman"/>
        </w:rPr>
        <w:t>celé území obce:</w:t>
      </w:r>
    </w:p>
    <w:p w14:paraId="2261B45E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(1) Speciální ochranná deratizace se nařizuje na celém území obce Zlatníky-Hodkovice.</w:t>
      </w:r>
    </w:p>
    <w:p w14:paraId="19514C33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(2) Speciální ochranná deratizace bude provedena v době od 01.06.2026 do 31.07.2026.</w:t>
      </w:r>
    </w:p>
    <w:p w14:paraId="5EE4F008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(3) Ochranná opatření podle této vyhlášky se vztahují zejména na obytné budovy, hospodářské budovy, stavby pro chov zvířat, sklepy, půdy, garáže, dvory, zahrady, sklady, zařízení pro ukládání krmiv a steliva, kanalizační vpusti a další místa, kde lze předpokládat zvýšený výskyt hlodavců.</w:t>
      </w:r>
    </w:p>
    <w:p w14:paraId="0FD942E5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3</w:t>
      </w:r>
    </w:p>
    <w:p w14:paraId="1CE7F275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Povinné osoby</w:t>
      </w:r>
    </w:p>
    <w:p w14:paraId="094D2CE0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(1) Povinnost zajistit provedení speciální ochranné deratizace mají osoby uvedené v § 57 odst. 2 zákona č. 258/2000 Sb.</w:t>
      </w:r>
    </w:p>
    <w:p w14:paraId="70BF53F4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lastRenderedPageBreak/>
        <w:t>(2) Jde-li o obytné místnosti, pobytové místnosti a nebytové prostory nesloužící k podnikání, má povinnost podle odstavce 1 zejména vlastník nemovitosti nebo společenství vlastníků jednotek.</w:t>
      </w:r>
    </w:p>
    <w:p w14:paraId="7704BBE3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(3) Fyzické osoby, které na území obce chovají hospodářská zvířata nebo jiná zvířata, jsou povinny zajistit, aby místa chovu, skladování krmiv, podestýlky, odpadů a vedlejších živočišných produktů nebyla zdrojem zvýšeného výskytu hlodavců, a v rozsahu dotčeném touto vyhláškou zajistit provedení speciální ochranné deratizace také v těchto prostorách.</w:t>
      </w:r>
    </w:p>
    <w:p w14:paraId="0BA8E43C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4</w:t>
      </w:r>
    </w:p>
    <w:p w14:paraId="69489382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Způsob provedení speciální ochranné deratizace</w:t>
      </w:r>
    </w:p>
    <w:p w14:paraId="204FC788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(1) Speciální ochranná deratizace musí být provedena v souladu se zákonem č. 258/2000 Sb.</w:t>
      </w:r>
    </w:p>
    <w:p w14:paraId="2FA67610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(2) Speciální ochrannou deratizaci může provádět pouze fyzická osoba odborně způsobilá podle § 58 zákona č. 258/2000 Sb., popřípadě právnická nebo podnikající fyzická osoba, která zajistí výkon této činnosti takto odborně způsobilou osobou.</w:t>
      </w:r>
    </w:p>
    <w:p w14:paraId="200C0C7F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(3) Při provádění speciální ochranné deratizace musí být použity pouze přípravky a postupy v souladu s § 56 zákona č. 258/2000 Sb. tak, aby bylo dosaženo účelu deratizace a nebylo ohroženo zdraví lidí, zvířat ani životní prostředí.</w:t>
      </w:r>
    </w:p>
    <w:p w14:paraId="09481EF6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(4) Osoby zajišťující provedení speciální ochranné deratizace jsou povinny přiměřeně zabezpečit, aby při jejím provádění nebylo ohroženo zdraví osob ani zvířat pohybujících se v dotčených prostorech.</w:t>
      </w:r>
    </w:p>
    <w:p w14:paraId="2ED86709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5</w:t>
      </w:r>
    </w:p>
    <w:p w14:paraId="3EF5896E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Součinnost osob</w:t>
      </w:r>
    </w:p>
    <w:p w14:paraId="6CA60D89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(1) Povinné osoby jsou povinny vytvořit podmínky pro řádné provedení speciální ochranné deratizace v objektech a na pozemcích, kterých se tato vyhláška týká.</w:t>
      </w:r>
    </w:p>
    <w:p w14:paraId="39623309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(2) Povinné osoby jsou povinny na vyžádání osoby provádějící speciální ochrannou deratizaci nebo orgánu ochrany veřejného zdraví poskytnout nezbytnou součinnost potřebnou k jejímu provedení a kontrole.</w:t>
      </w:r>
    </w:p>
    <w:p w14:paraId="074CBA43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(3) Ustanovení této vyhlášky se nedotýkají oprávnění orgánu ochrany veřejného zdraví vykonávat státní zdravotní dozor podle § 84 a § 88 zákona č. 258/2000 Sb.</w:t>
      </w:r>
    </w:p>
    <w:p w14:paraId="25925596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lastRenderedPageBreak/>
        <w:t>Čl. 6</w:t>
      </w:r>
    </w:p>
    <w:p w14:paraId="79EA2CA3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Kontrola</w:t>
      </w:r>
    </w:p>
    <w:p w14:paraId="27BF5E8E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(1) Dodržování povinností stanovených touto vyhláškou kontrolují orgány ochrany veřejného zdraví v rozsahu stanoveném zákonem č. 258/2000 Sb.</w:t>
      </w:r>
    </w:p>
    <w:p w14:paraId="739B3271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(2) Obec přijímá oznámení o možném porušení této vyhlášky a postupuje je věcně a místně příslušným orgánům; tím není dotčena působnost orgánů ochrany veřejného zdraví ani správních orgánů příslušných k projednání přestupků.</w:t>
      </w:r>
    </w:p>
    <w:p w14:paraId="23EB167C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7</w:t>
      </w:r>
    </w:p>
    <w:p w14:paraId="0CCA4939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Sankce</w:t>
      </w:r>
    </w:p>
    <w:p w14:paraId="4767CFB2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Porušení povinností stanovených touto obecně závaznou vyhláškou může být posouzeno jako přestupek podle § 4 odst. 2 zákona č. 251/2016 Sb., o některých přestupcích, ve znění pozdějších předpisů.</w:t>
      </w:r>
    </w:p>
    <w:p w14:paraId="7497BE25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</w:p>
    <w:p w14:paraId="7C669383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Čl. 8</w:t>
      </w:r>
    </w:p>
    <w:p w14:paraId="06361562" w14:textId="77777777" w:rsidR="0095282F" w:rsidRPr="0095282F" w:rsidRDefault="0095282F" w:rsidP="0095282F">
      <w:pPr>
        <w:pStyle w:val="Nadpis3"/>
        <w:rPr>
          <w:rFonts w:ascii="Times New Roman" w:hAnsi="Times New Roman" w:cs="Times New Roman"/>
          <w:b/>
          <w:bCs/>
          <w:color w:val="auto"/>
        </w:rPr>
      </w:pPr>
      <w:r w:rsidRPr="0095282F">
        <w:rPr>
          <w:rFonts w:ascii="Times New Roman" w:hAnsi="Times New Roman" w:cs="Times New Roman"/>
          <w:b/>
          <w:bCs/>
          <w:color w:val="auto"/>
        </w:rPr>
        <w:t>Účinnost</w:t>
      </w:r>
    </w:p>
    <w:p w14:paraId="63DF0FC4" w14:textId="16219B09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 xml:space="preserve">Tato obecně závazná vyhláška nabývá účinnosti dnem </w:t>
      </w:r>
      <w:r w:rsidR="001F4EDB">
        <w:rPr>
          <w:rFonts w:ascii="Times New Roman" w:hAnsi="Times New Roman" w:cs="Times New Roman"/>
        </w:rPr>
        <w:t>31</w:t>
      </w:r>
      <w:r w:rsidRPr="0095282F">
        <w:rPr>
          <w:rFonts w:ascii="Times New Roman" w:hAnsi="Times New Roman" w:cs="Times New Roman"/>
        </w:rPr>
        <w:t>.0</w:t>
      </w:r>
      <w:r w:rsidR="001F4EDB">
        <w:rPr>
          <w:rFonts w:ascii="Times New Roman" w:hAnsi="Times New Roman" w:cs="Times New Roman"/>
        </w:rPr>
        <w:t>5</w:t>
      </w:r>
      <w:r w:rsidRPr="0095282F">
        <w:rPr>
          <w:rFonts w:ascii="Times New Roman" w:hAnsi="Times New Roman" w:cs="Times New Roman"/>
        </w:rPr>
        <w:t>.2026.</w:t>
      </w:r>
    </w:p>
    <w:p w14:paraId="7F6CB0C2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</w:p>
    <w:p w14:paraId="07C60B86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>Petr Čermák, v.r.</w:t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  <w:t xml:space="preserve">Martin Kopal, v.r. </w:t>
      </w:r>
    </w:p>
    <w:p w14:paraId="53B4CFB2" w14:textId="77777777" w:rsidR="0095282F" w:rsidRPr="0095282F" w:rsidRDefault="0095282F" w:rsidP="0095282F">
      <w:pPr>
        <w:pStyle w:val="Zkladntext"/>
        <w:rPr>
          <w:rFonts w:ascii="Times New Roman" w:hAnsi="Times New Roman" w:cs="Times New Roman"/>
        </w:rPr>
      </w:pPr>
      <w:r w:rsidRPr="0095282F">
        <w:rPr>
          <w:rFonts w:ascii="Times New Roman" w:hAnsi="Times New Roman" w:cs="Times New Roman"/>
        </w:rPr>
        <w:t xml:space="preserve">Starosta </w:t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</w:r>
      <w:r w:rsidRPr="0095282F">
        <w:rPr>
          <w:rFonts w:ascii="Times New Roman" w:hAnsi="Times New Roman" w:cs="Times New Roman"/>
        </w:rPr>
        <w:tab/>
        <w:t>Místostarosta</w:t>
      </w:r>
    </w:p>
    <w:p w14:paraId="18F4C12B" w14:textId="77777777" w:rsidR="00546F83" w:rsidRPr="0095282F" w:rsidRDefault="00546F83">
      <w:pPr>
        <w:rPr>
          <w:rFonts w:ascii="Times New Roman" w:hAnsi="Times New Roman" w:cs="Times New Roman"/>
        </w:rPr>
      </w:pPr>
    </w:p>
    <w:sectPr w:rsidR="00546F83" w:rsidRPr="0095282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BF656" w14:textId="77777777" w:rsidR="00D3339A" w:rsidRDefault="00D3339A" w:rsidP="0095282F">
      <w:pPr>
        <w:spacing w:after="0" w:line="240" w:lineRule="auto"/>
      </w:pPr>
      <w:r>
        <w:separator/>
      </w:r>
    </w:p>
  </w:endnote>
  <w:endnote w:type="continuationSeparator" w:id="0">
    <w:p w14:paraId="2CE52AD4" w14:textId="77777777" w:rsidR="00D3339A" w:rsidRDefault="00D3339A" w:rsidP="0095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609990"/>
      <w:docPartObj>
        <w:docPartGallery w:val="Page Numbers (Bottom of Page)"/>
        <w:docPartUnique/>
      </w:docPartObj>
    </w:sdtPr>
    <w:sdtContent>
      <w:p w14:paraId="210C070C" w14:textId="22D36652" w:rsidR="0095282F" w:rsidRDefault="009528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4F5E45" w14:textId="77777777" w:rsidR="0095282F" w:rsidRDefault="009528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A1FC" w14:textId="77777777" w:rsidR="00D3339A" w:rsidRDefault="00D3339A" w:rsidP="0095282F">
      <w:pPr>
        <w:spacing w:after="0" w:line="240" w:lineRule="auto"/>
      </w:pPr>
      <w:r>
        <w:separator/>
      </w:r>
    </w:p>
  </w:footnote>
  <w:footnote w:type="continuationSeparator" w:id="0">
    <w:p w14:paraId="2EDFF033" w14:textId="77777777" w:rsidR="00D3339A" w:rsidRDefault="00D3339A" w:rsidP="00952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4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145"/>
      <w:gridCol w:w="5595"/>
      <w:gridCol w:w="2614"/>
    </w:tblGrid>
    <w:tr w:rsidR="0095282F" w14:paraId="7CD18E34" w14:textId="77777777" w:rsidTr="00B841C9">
      <w:trPr>
        <w:trHeight w:val="970"/>
      </w:trPr>
      <w:tc>
        <w:tcPr>
          <w:tcW w:w="2145" w:type="dxa"/>
        </w:tcPr>
        <w:p w14:paraId="47AE4E4B" w14:textId="77777777" w:rsidR="0095282F" w:rsidRDefault="0095282F" w:rsidP="0095282F">
          <w:pPr>
            <w:spacing w:line="240" w:lineRule="auto"/>
          </w:pPr>
          <w:r>
            <w:rPr>
              <w:noProof/>
            </w:rPr>
            <w:drawing>
              <wp:inline distT="0" distB="0" distL="0" distR="0" wp14:anchorId="0E494F7D" wp14:editId="2D7B25C9">
                <wp:extent cx="737571" cy="795495"/>
                <wp:effectExtent l="0" t="0" r="0" b="0"/>
                <wp:docPr id="5" name="image1.png" descr="Obsah obrázku kresba, Dětské kresby, klipart, ilustrace&#10;&#10;Obsah vygenerovaný umělou inteligencí může být nesprávný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Obsah obrázku kresba, Dětské kresby, klipart, ilustrace&#10;&#10;Obsah vygenerovaný umělou inteligencí může být nesprávný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571" cy="795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5" w:type="dxa"/>
          <w:vAlign w:val="center"/>
        </w:tcPr>
        <w:p w14:paraId="04FE6299" w14:textId="77777777" w:rsidR="0095282F" w:rsidRDefault="0095282F" w:rsidP="0095282F">
          <w:pPr>
            <w:spacing w:line="240" w:lineRule="auto"/>
            <w:jc w:val="center"/>
            <w:rPr>
              <w:rFonts w:ascii="Aptos" w:eastAsia="Aptos" w:hAnsi="Aptos" w:cs="Aptos"/>
              <w:sz w:val="40"/>
              <w:szCs w:val="40"/>
            </w:rPr>
          </w:pPr>
          <w:r>
            <w:rPr>
              <w:rFonts w:ascii="Aptos" w:eastAsia="Aptos" w:hAnsi="Aptos" w:cs="Aptos"/>
              <w:sz w:val="40"/>
              <w:szCs w:val="40"/>
            </w:rPr>
            <w:t xml:space="preserve">OBEC </w:t>
          </w:r>
        </w:p>
        <w:p w14:paraId="2E1948C5" w14:textId="77777777" w:rsidR="0095282F" w:rsidRDefault="0095282F" w:rsidP="0095282F">
          <w:pPr>
            <w:spacing w:line="240" w:lineRule="auto"/>
            <w:jc w:val="center"/>
            <w:rPr>
              <w:rFonts w:ascii="Aptos" w:eastAsia="Aptos" w:hAnsi="Aptos" w:cs="Aptos"/>
              <w:sz w:val="40"/>
              <w:szCs w:val="40"/>
            </w:rPr>
          </w:pPr>
          <w:r>
            <w:rPr>
              <w:rFonts w:ascii="Aptos" w:eastAsia="Aptos" w:hAnsi="Aptos" w:cs="Aptos"/>
              <w:sz w:val="40"/>
              <w:szCs w:val="40"/>
            </w:rPr>
            <w:t>ZLATNÍKY-HODKOVICE</w:t>
          </w:r>
        </w:p>
        <w:p w14:paraId="1B098875" w14:textId="77777777" w:rsidR="0095282F" w:rsidRDefault="0095282F" w:rsidP="0095282F">
          <w:pPr>
            <w:spacing w:line="240" w:lineRule="auto"/>
            <w:ind w:right="-111"/>
            <w:jc w:val="center"/>
            <w:rPr>
              <w:rFonts w:ascii="Aptos" w:eastAsia="Aptos" w:hAnsi="Aptos" w:cs="Aptos"/>
            </w:rPr>
          </w:pPr>
          <w:r>
            <w:rPr>
              <w:rFonts w:ascii="Aptos" w:eastAsia="Aptos" w:hAnsi="Aptos" w:cs="Aptos"/>
            </w:rPr>
            <w:t xml:space="preserve">Náves sv. Petra a Pavla 113 </w:t>
          </w:r>
        </w:p>
        <w:p w14:paraId="57C4B0A4" w14:textId="77777777" w:rsidR="0095282F" w:rsidRDefault="0095282F" w:rsidP="0095282F">
          <w:pPr>
            <w:spacing w:line="240" w:lineRule="auto"/>
            <w:jc w:val="center"/>
            <w:rPr>
              <w:rFonts w:ascii="Aptos" w:eastAsia="Aptos" w:hAnsi="Aptos" w:cs="Aptos"/>
            </w:rPr>
          </w:pPr>
          <w:r>
            <w:rPr>
              <w:rFonts w:ascii="Aptos" w:eastAsia="Aptos" w:hAnsi="Aptos" w:cs="Aptos"/>
            </w:rPr>
            <w:t>Zlatníky, 25241 Zlatníky-Hodkovice</w:t>
          </w:r>
        </w:p>
        <w:p w14:paraId="2FB97000" w14:textId="77777777" w:rsidR="0095282F" w:rsidRDefault="0095282F" w:rsidP="0095282F">
          <w:pPr>
            <w:spacing w:line="240" w:lineRule="auto"/>
            <w:jc w:val="center"/>
            <w:rPr>
              <w:rFonts w:ascii="Times New Roman" w:eastAsia="Times New Roman" w:hAnsi="Times New Roman" w:cs="Times New Roman"/>
            </w:rPr>
          </w:pPr>
        </w:p>
      </w:tc>
      <w:tc>
        <w:tcPr>
          <w:tcW w:w="2614" w:type="dxa"/>
        </w:tcPr>
        <w:p w14:paraId="780A8378" w14:textId="77777777" w:rsidR="0095282F" w:rsidRDefault="0095282F" w:rsidP="0095282F">
          <w:pPr>
            <w:spacing w:line="240" w:lineRule="auto"/>
            <w:jc w:val="right"/>
            <w:rPr>
              <w:rFonts w:ascii="Aptos" w:eastAsia="Aptos" w:hAnsi="Aptos" w:cs="Aptos"/>
              <w:sz w:val="16"/>
              <w:szCs w:val="16"/>
            </w:rPr>
          </w:pPr>
          <w:r>
            <w:rPr>
              <w:rFonts w:ascii="Aptos" w:eastAsia="Aptos" w:hAnsi="Aptos" w:cs="Aptos"/>
              <w:sz w:val="16"/>
              <w:szCs w:val="16"/>
            </w:rPr>
            <w:t>tel.: 241 931 980</w:t>
          </w:r>
        </w:p>
        <w:p w14:paraId="466279C5" w14:textId="77777777" w:rsidR="0095282F" w:rsidRDefault="0095282F" w:rsidP="0095282F">
          <w:pPr>
            <w:spacing w:line="240" w:lineRule="auto"/>
            <w:jc w:val="right"/>
            <w:rPr>
              <w:rFonts w:ascii="Aptos" w:eastAsia="Aptos" w:hAnsi="Aptos" w:cs="Aptos"/>
              <w:sz w:val="16"/>
              <w:szCs w:val="16"/>
            </w:rPr>
          </w:pPr>
          <w:r>
            <w:rPr>
              <w:rFonts w:ascii="Aptos" w:eastAsia="Aptos" w:hAnsi="Aptos" w:cs="Aptos"/>
              <w:sz w:val="16"/>
              <w:szCs w:val="16"/>
            </w:rPr>
            <w:t>IČ: 002 41 873</w:t>
          </w:r>
        </w:p>
        <w:p w14:paraId="4AE6590D" w14:textId="77777777" w:rsidR="0095282F" w:rsidRDefault="0095282F" w:rsidP="0095282F">
          <w:pPr>
            <w:spacing w:line="240" w:lineRule="auto"/>
            <w:jc w:val="right"/>
            <w:rPr>
              <w:rFonts w:ascii="Aptos" w:eastAsia="Aptos" w:hAnsi="Aptos" w:cs="Aptos"/>
              <w:sz w:val="16"/>
              <w:szCs w:val="16"/>
            </w:rPr>
          </w:pPr>
          <w:r>
            <w:rPr>
              <w:rFonts w:ascii="Aptos" w:eastAsia="Aptos" w:hAnsi="Aptos" w:cs="Aptos"/>
              <w:sz w:val="16"/>
              <w:szCs w:val="16"/>
            </w:rPr>
            <w:t>IDds: iqvbycp</w:t>
          </w:r>
        </w:p>
        <w:p w14:paraId="01F32370" w14:textId="77777777" w:rsidR="0095282F" w:rsidRDefault="0095282F" w:rsidP="0095282F">
          <w:pPr>
            <w:spacing w:line="240" w:lineRule="auto"/>
            <w:jc w:val="right"/>
            <w:rPr>
              <w:rFonts w:ascii="Aptos" w:eastAsia="Aptos" w:hAnsi="Aptos" w:cs="Aptos"/>
              <w:sz w:val="16"/>
              <w:szCs w:val="16"/>
            </w:rPr>
          </w:pPr>
          <w:hyperlink r:id="rId2">
            <w:r>
              <w:rPr>
                <w:rFonts w:ascii="Aptos" w:eastAsia="Aptos" w:hAnsi="Aptos" w:cs="Aptos"/>
                <w:color w:val="0000FF"/>
                <w:sz w:val="16"/>
                <w:szCs w:val="16"/>
                <w:u w:val="single"/>
              </w:rPr>
              <w:t>zlatniky@zlatniky.cz</w:t>
            </w:r>
          </w:hyperlink>
        </w:p>
        <w:p w14:paraId="67A33FC0" w14:textId="77777777" w:rsidR="0095282F" w:rsidRDefault="0095282F" w:rsidP="0095282F">
          <w:pPr>
            <w:spacing w:line="240" w:lineRule="auto"/>
            <w:jc w:val="right"/>
            <w:rPr>
              <w:rFonts w:ascii="Aptos" w:eastAsia="Aptos" w:hAnsi="Aptos" w:cs="Aptos"/>
              <w:sz w:val="20"/>
              <w:szCs w:val="20"/>
            </w:rPr>
          </w:pPr>
          <w:hyperlink r:id="rId3">
            <w:r>
              <w:rPr>
                <w:rFonts w:ascii="Aptos" w:eastAsia="Aptos" w:hAnsi="Aptos" w:cs="Aptos"/>
                <w:color w:val="0000FF"/>
                <w:sz w:val="16"/>
                <w:szCs w:val="16"/>
                <w:u w:val="single"/>
              </w:rPr>
              <w:t>www.zlatniky-hodkovice.eu</w:t>
            </w:r>
          </w:hyperlink>
          <w:r>
            <w:rPr>
              <w:rFonts w:ascii="Aptos" w:eastAsia="Aptos" w:hAnsi="Aptos" w:cs="Aptos"/>
              <w:sz w:val="20"/>
              <w:szCs w:val="20"/>
            </w:rPr>
            <w:t xml:space="preserve">  </w:t>
          </w:r>
        </w:p>
      </w:tc>
    </w:tr>
  </w:tbl>
  <w:p w14:paraId="4D227209" w14:textId="77777777" w:rsidR="0095282F" w:rsidRDefault="009528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82F"/>
    <w:rsid w:val="001F4EDB"/>
    <w:rsid w:val="0022027C"/>
    <w:rsid w:val="00406CBC"/>
    <w:rsid w:val="00484450"/>
    <w:rsid w:val="00546F83"/>
    <w:rsid w:val="00833245"/>
    <w:rsid w:val="0095282F"/>
    <w:rsid w:val="00AB4832"/>
    <w:rsid w:val="00D3339A"/>
    <w:rsid w:val="00E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83BF"/>
  <w15:chartTrackingRefBased/>
  <w15:docId w15:val="{47DB68F4-8AE9-42BE-BA31-84D9FB30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2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2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2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2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2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2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2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2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2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2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2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2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28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28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28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28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28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28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2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2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2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2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28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28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28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2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28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282F"/>
    <w:rPr>
      <w:b/>
      <w:bCs/>
      <w:smallCaps/>
      <w:color w:val="0F4761" w:themeColor="accent1" w:themeShade="BF"/>
      <w:spacing w:val="5"/>
    </w:rPr>
  </w:style>
  <w:style w:type="character" w:styleId="Siln">
    <w:name w:val="Strong"/>
    <w:qFormat/>
    <w:rsid w:val="0095282F"/>
    <w:rPr>
      <w:b/>
      <w:bCs/>
    </w:rPr>
  </w:style>
  <w:style w:type="paragraph" w:styleId="Zkladntext">
    <w:name w:val="Body Text"/>
    <w:basedOn w:val="Normln"/>
    <w:link w:val="ZkladntextChar"/>
    <w:rsid w:val="0095282F"/>
    <w:pPr>
      <w:widowControl w:val="0"/>
      <w:suppressAutoHyphens/>
      <w:spacing w:after="140" w:line="276" w:lineRule="auto"/>
    </w:pPr>
    <w:rPr>
      <w:rFonts w:ascii="Segoe UI;Arial;sans-serif" w:eastAsia="Segoe UI;Arial;sans-serif" w:hAnsi="Segoe UI;Arial;sans-serif" w:cs="Segoe UI;Arial;sans-serif"/>
      <w:color w:val="000000"/>
      <w:kern w:val="0"/>
      <w:sz w:val="24"/>
      <w:szCs w:val="24"/>
      <w:lang w:eastAsia="zh-CN" w:bidi="hi-IN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5282F"/>
    <w:rPr>
      <w:rFonts w:ascii="Segoe UI;Arial;sans-serif" w:eastAsia="Segoe UI;Arial;sans-serif" w:hAnsi="Segoe UI;Arial;sans-serif" w:cs="Segoe UI;Arial;sans-serif"/>
      <w:color w:val="000000"/>
      <w:kern w:val="0"/>
      <w:sz w:val="24"/>
      <w:szCs w:val="24"/>
      <w:lang w:eastAsia="zh-CN" w:bidi="hi-I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52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82F"/>
  </w:style>
  <w:style w:type="paragraph" w:styleId="Zpat">
    <w:name w:val="footer"/>
    <w:basedOn w:val="Normln"/>
    <w:link w:val="ZpatChar"/>
    <w:uiPriority w:val="99"/>
    <w:unhideWhenUsed/>
    <w:rsid w:val="00952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latniky-hodkovice.eu" TargetMode="External"/><Relationship Id="rId2" Type="http://schemas.openxmlformats.org/officeDocument/2006/relationships/hyperlink" Target="mailto:zlatniky@zlatnik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4A2159AA10714A8C468A4DD5DED946" ma:contentTypeVersion="18" ma:contentTypeDescription="Vytvoří nový dokument" ma:contentTypeScope="" ma:versionID="ea8a9572112d1527473900d9b975b20b">
  <xsd:schema xmlns:xsd="http://www.w3.org/2001/XMLSchema" xmlns:xs="http://www.w3.org/2001/XMLSchema" xmlns:p="http://schemas.microsoft.com/office/2006/metadata/properties" xmlns:ns2="1d3d18cf-79bf-4569-a826-5e6ee530a701" xmlns:ns3="bb081d19-aa75-45fa-8c64-b4cac0eb7d60" targetNamespace="http://schemas.microsoft.com/office/2006/metadata/properties" ma:root="true" ma:fieldsID="84baca1d096bc97e23a1def8b3fa3b13" ns2:_="" ns3:_="">
    <xsd:import namespace="1d3d18cf-79bf-4569-a826-5e6ee530a701"/>
    <xsd:import namespace="bb081d19-aa75-45fa-8c64-b4cac0eb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d18cf-79bf-4569-a826-5e6ee530a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bcbe22f-1533-4157-97c8-cba9b5c4e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81d19-aa75-45fa-8c64-b4cac0eb7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a6fa28-c90a-49d6-a4b5-1cbd212bee3a}" ma:internalName="TaxCatchAll" ma:showField="CatchAllData" ma:web="bb081d19-aa75-45fa-8c64-b4cac0eb7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81d19-aa75-45fa-8c64-b4cac0eb7d60" xsi:nil="true"/>
    <lcf76f155ced4ddcb4097134ff3c332f xmlns="1d3d18cf-79bf-4569-a826-5e6ee530a7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D7B50A-DFC1-4B07-974A-A51DA1E5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d18cf-79bf-4569-a826-5e6ee530a701"/>
    <ds:schemaRef ds:uri="bb081d19-aa75-45fa-8c64-b4cac0eb7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FDE11-CE4B-492A-844B-A8EE01A86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78520-6CCA-40F3-B065-CA20E6AD838B}">
  <ds:schemaRefs>
    <ds:schemaRef ds:uri="http://schemas.microsoft.com/office/2006/metadata/properties"/>
    <ds:schemaRef ds:uri="http://schemas.microsoft.com/office/infopath/2007/PartnerControls"/>
    <ds:schemaRef ds:uri="bb081d19-aa75-45fa-8c64-b4cac0eb7d60"/>
    <ds:schemaRef ds:uri="1d3d18cf-79bf-4569-a826-5e6ee530a7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Černochová</dc:creator>
  <cp:keywords/>
  <dc:description/>
  <cp:lastModifiedBy>Sylvie Černochová</cp:lastModifiedBy>
  <cp:revision>4</cp:revision>
  <dcterms:created xsi:type="dcterms:W3CDTF">2026-05-21T07:39:00Z</dcterms:created>
  <dcterms:modified xsi:type="dcterms:W3CDTF">2026-05-21T07:44:00Z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0x010100484A2159AA10714A8C468A4DD5DED946</vt:lpwstr>
  </property>
  <property fmtid="{D5CDD505-2E9C-101B-9397-08002B2CF9AE}" pid="3" name="MediaServiceImageTags">
    <vt:lpwstr/>
  </property>
</Properties>
</file>