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9645" w14:textId="77777777" w:rsidR="00B62D73" w:rsidRPr="00BE7E4C" w:rsidRDefault="00B62D73">
      <w:pPr>
        <w:pStyle w:val="Zkladntext"/>
        <w:spacing w:after="0"/>
        <w:jc w:val="center"/>
        <w:rPr>
          <w:b/>
          <w:sz w:val="32"/>
        </w:rPr>
      </w:pPr>
      <w:r w:rsidRPr="00BE7E4C">
        <w:rPr>
          <w:b/>
          <w:sz w:val="32"/>
        </w:rPr>
        <w:t xml:space="preserve">OBEC </w:t>
      </w:r>
      <w:r w:rsidR="00872D19">
        <w:rPr>
          <w:b/>
          <w:sz w:val="32"/>
        </w:rPr>
        <w:t>K</w:t>
      </w:r>
      <w:r w:rsidR="00F7686F">
        <w:rPr>
          <w:b/>
          <w:sz w:val="32"/>
        </w:rPr>
        <w:t>UKS</w:t>
      </w:r>
    </w:p>
    <w:p w14:paraId="3021B799" w14:textId="77777777" w:rsidR="00B62D73" w:rsidRDefault="00B62D73">
      <w:pPr>
        <w:pStyle w:val="Zkladntext"/>
        <w:spacing w:after="0"/>
        <w:jc w:val="center"/>
        <w:rPr>
          <w:b/>
          <w:sz w:val="32"/>
        </w:rPr>
      </w:pPr>
    </w:p>
    <w:p w14:paraId="188D3D07" w14:textId="77777777" w:rsidR="00BE7E4C" w:rsidRDefault="00B62D73" w:rsidP="00BE7E4C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7D6B0437" w14:textId="77777777" w:rsidR="00B62D73" w:rsidRPr="00BE7E4C" w:rsidRDefault="00B62D73" w:rsidP="00BE7E4C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sz w:val="32"/>
        </w:rPr>
        <w:t>kterou se vydává Požární řád obce</w:t>
      </w:r>
    </w:p>
    <w:p w14:paraId="0D8DA78C" w14:textId="77777777" w:rsidR="00B62D73" w:rsidRDefault="00B62D73">
      <w:pPr>
        <w:pStyle w:val="Zkladntextodsazen"/>
        <w:ind w:firstLine="0"/>
        <w:jc w:val="center"/>
      </w:pPr>
    </w:p>
    <w:p w14:paraId="0E615930" w14:textId="77777777" w:rsidR="00B62D73" w:rsidRDefault="00B62D73">
      <w:pPr>
        <w:pStyle w:val="Normlnweb"/>
      </w:pPr>
      <w:r>
        <w:t xml:space="preserve">Zastupitelstvo obce </w:t>
      </w:r>
      <w:r w:rsidR="00872D19">
        <w:t>Kuks</w:t>
      </w:r>
      <w:r w:rsidR="005805D7">
        <w:t xml:space="preserve"> </w:t>
      </w:r>
      <w:r>
        <w:t xml:space="preserve">se </w:t>
      </w:r>
      <w:r w:rsidR="00872D19">
        <w:t>usnesením</w:t>
      </w:r>
      <w:r w:rsidR="00063675">
        <w:t xml:space="preserve"> č.</w:t>
      </w:r>
      <w:r w:rsidR="0014169B">
        <w:t xml:space="preserve"> ZO/26/7/2025 ze dne</w:t>
      </w:r>
      <w:r w:rsidR="00C51200">
        <w:t xml:space="preserve"> </w:t>
      </w:r>
      <w:proofErr w:type="gramStart"/>
      <w:r w:rsidR="00872D19">
        <w:t>8</w:t>
      </w:r>
      <w:r w:rsidR="00C51200">
        <w:t>.</w:t>
      </w:r>
      <w:r w:rsidR="00872D19">
        <w:t>7</w:t>
      </w:r>
      <w:r w:rsidR="00C51200">
        <w:t>.20</w:t>
      </w:r>
      <w:r w:rsidR="00872D19">
        <w:t>25</w:t>
      </w:r>
      <w:r>
        <w:t xml:space="preserve">  usneslo</w:t>
      </w:r>
      <w:proofErr w:type="gramEnd"/>
      <w:r>
        <w:t xml:space="preserve"> vydat na zák</w:t>
      </w:r>
      <w:r w:rsidR="005805D7">
        <w:t>ladě § 29 odst. 1 písm. o)</w:t>
      </w:r>
      <w:r>
        <w:t xml:space="preserve"> zákona č. 133/1985 Sb., o požární ochraně, ve znění pozdějších předpisů</w:t>
      </w:r>
      <w:r w:rsidR="00F665C0">
        <w:t xml:space="preserve">, a </w:t>
      </w:r>
      <w:r w:rsidR="00F22483">
        <w:t>v souladu s</w:t>
      </w:r>
      <w:r w:rsidR="00F665C0">
        <w:t xml:space="preserve"> ustanovením § 10 písm. d) </w:t>
      </w:r>
      <w:proofErr w:type="gramStart"/>
      <w:r w:rsidR="00F665C0">
        <w:t xml:space="preserve">a </w:t>
      </w:r>
      <w:r>
        <w:t xml:space="preserve"> §</w:t>
      </w:r>
      <w:proofErr w:type="gramEnd"/>
      <w:r>
        <w:t xml:space="preserve"> 84 odst. 2 písm. </w:t>
      </w:r>
      <w:r w:rsidRPr="00F22483">
        <w:rPr>
          <w:color w:val="auto"/>
        </w:rPr>
        <w:t>h)</w:t>
      </w:r>
      <w:r>
        <w:t xml:space="preserve"> zákona č. 128/2000 Sb., o obcích (obecní zřízení), ve znění pozdějších předpisů, tuto obecně závaznou vyhlášku:</w:t>
      </w:r>
    </w:p>
    <w:p w14:paraId="47A74A2C" w14:textId="77777777" w:rsidR="00F22483" w:rsidRPr="00F22483" w:rsidRDefault="00F22483" w:rsidP="00F22483">
      <w:pPr>
        <w:pStyle w:val="Nadpis1"/>
        <w:jc w:val="center"/>
        <w:rPr>
          <w:bCs w:val="0"/>
        </w:rPr>
      </w:pPr>
      <w:r w:rsidRPr="00810094">
        <w:t>POŽÁRNÍ ŘÁD OBCE</w:t>
      </w:r>
    </w:p>
    <w:p w14:paraId="77D55B9D" w14:textId="77777777" w:rsidR="00B62D73" w:rsidRDefault="00B62D73"/>
    <w:p w14:paraId="4F2889E0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1</w:t>
      </w:r>
      <w:r>
        <w:rPr>
          <w:b/>
          <w:bCs/>
          <w:i w:val="0"/>
          <w:iCs w:val="0"/>
        </w:rPr>
        <w:br/>
        <w:t>Úvodní ustanovení</w:t>
      </w:r>
    </w:p>
    <w:p w14:paraId="613E2952" w14:textId="77777777" w:rsidR="00B62D73" w:rsidRDefault="00B62D73" w:rsidP="00872D19">
      <w:pPr>
        <w:pStyle w:val="Normlnweb"/>
        <w:ind w:firstLine="0"/>
        <w:jc w:val="center"/>
      </w:pPr>
      <w:r>
        <w:t xml:space="preserve">Požární řád </w:t>
      </w:r>
      <w:r w:rsidR="00013504">
        <w:t>obce</w:t>
      </w:r>
      <w:r w:rsidR="00872D19">
        <w:t xml:space="preserve"> Kuks</w:t>
      </w:r>
      <w:r w:rsidR="00013504">
        <w:t xml:space="preserve"> </w:t>
      </w:r>
      <w:r>
        <w:t>upravuje organizaci a zásady zabezpečení požární ochrany v obci.</w:t>
      </w:r>
    </w:p>
    <w:p w14:paraId="28C40B8D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2</w:t>
      </w:r>
      <w:r>
        <w:rPr>
          <w:b/>
          <w:bCs/>
          <w:i w:val="0"/>
          <w:iCs w:val="0"/>
        </w:rPr>
        <w:br/>
        <w:t>Vymezení činnosti osob, pověřených zabezpečováním požární ochrany v</w:t>
      </w:r>
      <w:r w:rsidR="006D013D">
        <w:rPr>
          <w:b/>
          <w:bCs/>
          <w:i w:val="0"/>
          <w:iCs w:val="0"/>
        </w:rPr>
        <w:t> </w:t>
      </w:r>
      <w:r>
        <w:rPr>
          <w:b/>
          <w:bCs/>
          <w:i w:val="0"/>
          <w:iCs w:val="0"/>
        </w:rPr>
        <w:t>obci</w:t>
      </w:r>
    </w:p>
    <w:p w14:paraId="03FBF51F" w14:textId="77777777" w:rsidR="006D013D" w:rsidRDefault="006D013D" w:rsidP="006D013D"/>
    <w:p w14:paraId="73F75204" w14:textId="77777777" w:rsidR="006D013D" w:rsidRDefault="006D013D" w:rsidP="00CA25BE">
      <w:pPr>
        <w:numPr>
          <w:ilvl w:val="0"/>
          <w:numId w:val="5"/>
        </w:numPr>
        <w:jc w:val="both"/>
      </w:pPr>
      <w:r>
        <w:t>Za požární ochranu v obci odpovídá</w:t>
      </w:r>
      <w:r w:rsidR="00F665C0">
        <w:t xml:space="preserve"> </w:t>
      </w:r>
      <w:proofErr w:type="gramStart"/>
      <w:r w:rsidR="00F665C0">
        <w:t>obec .</w:t>
      </w:r>
      <w:proofErr w:type="gramEnd"/>
    </w:p>
    <w:p w14:paraId="721266A6" w14:textId="77777777" w:rsidR="006D013D" w:rsidRDefault="006D013D" w:rsidP="006D013D">
      <w:pPr>
        <w:ind w:left="890"/>
        <w:jc w:val="both"/>
      </w:pPr>
    </w:p>
    <w:p w14:paraId="46F8F09B" w14:textId="77777777" w:rsidR="006D013D" w:rsidRDefault="006D013D" w:rsidP="006D013D">
      <w:pPr>
        <w:numPr>
          <w:ilvl w:val="0"/>
          <w:numId w:val="5"/>
        </w:numPr>
        <w:jc w:val="both"/>
      </w:pPr>
      <w:r>
        <w:t xml:space="preserve">Plnění povinností na úseku </w:t>
      </w:r>
      <w:r w:rsidRPr="00D26C18">
        <w:t xml:space="preserve">požární ochrany podle </w:t>
      </w:r>
      <w:r>
        <w:t xml:space="preserve">§ 29 odst. 1 písm. a) až h) </w:t>
      </w:r>
      <w:r w:rsidRPr="00D26C18">
        <w:t xml:space="preserve">zákona o požární ochraně pro obec </w:t>
      </w:r>
      <w:r w:rsidR="00872D19">
        <w:t xml:space="preserve">Kuks </w:t>
      </w:r>
      <w:r>
        <w:t xml:space="preserve">je </w:t>
      </w:r>
      <w:proofErr w:type="gramStart"/>
      <w:r>
        <w:t xml:space="preserve">zajištěna </w:t>
      </w:r>
      <w:r w:rsidR="00F665C0">
        <w:t>:</w:t>
      </w:r>
      <w:proofErr w:type="gramEnd"/>
      <w:r w:rsidR="00F665C0">
        <w:t xml:space="preserve"> </w:t>
      </w:r>
    </w:p>
    <w:p w14:paraId="57333F5A" w14:textId="77777777" w:rsidR="00F665C0" w:rsidRDefault="00F665C0" w:rsidP="00F665C0">
      <w:pPr>
        <w:ind w:left="890"/>
        <w:jc w:val="both"/>
      </w:pPr>
    </w:p>
    <w:p w14:paraId="64123FC0" w14:textId="77777777" w:rsidR="00F665C0" w:rsidRDefault="00F665C0" w:rsidP="00F665C0">
      <w:pPr>
        <w:ind w:left="890"/>
        <w:jc w:val="both"/>
      </w:pPr>
      <w:r>
        <w:t xml:space="preserve">a) nepřetržitou službou Hasičského záchranného </w:t>
      </w:r>
      <w:proofErr w:type="gramStart"/>
      <w:r>
        <w:t xml:space="preserve">sboru </w:t>
      </w:r>
      <w:r w:rsidR="00ED158A">
        <w:t xml:space="preserve"> </w:t>
      </w:r>
      <w:r w:rsidR="00872D19">
        <w:t>Královéhradeckého</w:t>
      </w:r>
      <w:proofErr w:type="gramEnd"/>
      <w:r w:rsidR="00872D19">
        <w:t xml:space="preserve"> kraje</w:t>
      </w:r>
    </w:p>
    <w:p w14:paraId="2B24A3B5" w14:textId="77777777" w:rsidR="00ED158A" w:rsidRDefault="00ED158A" w:rsidP="00F665C0">
      <w:pPr>
        <w:ind w:left="890"/>
        <w:jc w:val="both"/>
      </w:pPr>
    </w:p>
    <w:p w14:paraId="37A9335E" w14:textId="77777777" w:rsidR="00F665C0" w:rsidRDefault="00ED158A" w:rsidP="00872D19">
      <w:pPr>
        <w:ind w:left="890"/>
        <w:jc w:val="both"/>
      </w:pPr>
      <w:r>
        <w:t>b) akceschopností JS</w:t>
      </w:r>
      <w:r w:rsidR="00872D19">
        <w:t>D</w:t>
      </w:r>
      <w:r>
        <w:t>H</w:t>
      </w:r>
      <w:r w:rsidR="00872D19">
        <w:t>O</w:t>
      </w:r>
      <w:r>
        <w:t xml:space="preserve"> </w:t>
      </w:r>
      <w:r w:rsidR="00872D19">
        <w:t>Kuks</w:t>
      </w:r>
      <w:r w:rsidR="00F665C0">
        <w:t xml:space="preserve">              </w:t>
      </w:r>
    </w:p>
    <w:p w14:paraId="7124641A" w14:textId="77777777" w:rsidR="00F665C0" w:rsidRDefault="00F665C0" w:rsidP="00ED158A">
      <w:pPr>
        <w:ind w:left="500"/>
        <w:jc w:val="both"/>
      </w:pPr>
    </w:p>
    <w:p w14:paraId="1C213A2D" w14:textId="77777777" w:rsidR="00BB40F0" w:rsidRDefault="00BB40F0" w:rsidP="00BB40F0">
      <w:pPr>
        <w:pStyle w:val="Odstavecseseznamem"/>
      </w:pPr>
    </w:p>
    <w:p w14:paraId="41C18639" w14:textId="77777777" w:rsidR="00BB40F0" w:rsidRDefault="00BB40F0">
      <w:pPr>
        <w:pStyle w:val="Nadpis4"/>
        <w:jc w:val="center"/>
        <w:rPr>
          <w:b/>
          <w:bCs/>
          <w:i w:val="0"/>
          <w:iCs w:val="0"/>
        </w:rPr>
      </w:pPr>
    </w:p>
    <w:p w14:paraId="38470330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3</w:t>
      </w:r>
      <w:r>
        <w:rPr>
          <w:b/>
          <w:bCs/>
          <w:i w:val="0"/>
          <w:iCs w:val="0"/>
        </w:rPr>
        <w:br/>
        <w:t>Podmínky požární bezpečnosti při činnostech, v objektech nebo v době zvýšeného nebezpečí vzniku požáru se zřetelem na místní situaci</w:t>
      </w:r>
    </w:p>
    <w:p w14:paraId="1752110C" w14:textId="77777777" w:rsidR="00CA25BE" w:rsidRDefault="00CA25BE" w:rsidP="00CA25BE">
      <w:pPr>
        <w:ind w:left="851" w:hanging="284"/>
        <w:jc w:val="both"/>
      </w:pPr>
    </w:p>
    <w:p w14:paraId="4264AD36" w14:textId="77777777" w:rsidR="00872D19" w:rsidRDefault="00872D19" w:rsidP="00DD4148">
      <w:pPr>
        <w:ind w:firstLine="851"/>
        <w:jc w:val="both"/>
      </w:pPr>
      <w:r>
        <w:t xml:space="preserve">Za činnosti, při kterých hrozí nebezpečí vzniku požáru, se dle místních podmínek považuje: </w:t>
      </w:r>
    </w:p>
    <w:p w14:paraId="2B55BEC5" w14:textId="77777777" w:rsidR="00872D19" w:rsidRDefault="00872D19" w:rsidP="00872D19">
      <w:pPr>
        <w:jc w:val="both"/>
      </w:pPr>
      <w:r>
        <w:t>- Kulturní akce pořádané se souhlasem obce na k.ú. obce Kuks.</w:t>
      </w:r>
    </w:p>
    <w:p w14:paraId="1384505B" w14:textId="77777777" w:rsidR="00872D19" w:rsidRDefault="00872D19" w:rsidP="00872D19">
      <w:pPr>
        <w:jc w:val="both"/>
      </w:pPr>
      <w:r>
        <w:t>Na těchto akcích musí pořadatel zajistit příslušný počet asistenčních požárních hlídek, který doloží k žádosti minimálně 14 dnů předem.</w:t>
      </w:r>
    </w:p>
    <w:p w14:paraId="560B5CCB" w14:textId="77777777" w:rsidR="00872D19" w:rsidRDefault="00872D19" w:rsidP="00872D19">
      <w:pPr>
        <w:jc w:val="both"/>
      </w:pPr>
      <w:r>
        <w:t xml:space="preserve">- Za dobu se zvýšeným nebezpečím vzniku požáru se dle místních podmínek považuje: </w:t>
      </w:r>
    </w:p>
    <w:p w14:paraId="0CF3B842" w14:textId="77777777" w:rsidR="00872D19" w:rsidRDefault="00872D19" w:rsidP="00872D19">
      <w:pPr>
        <w:jc w:val="both"/>
      </w:pPr>
      <w:r>
        <w:t>doba od 15.3. do 15.11. kalendářního roku, a dále dle rozhodnutí vyhlášených hejtmanem Královéhradeckého kraje.</w:t>
      </w:r>
    </w:p>
    <w:p w14:paraId="7CF06DA7" w14:textId="77777777" w:rsidR="00CA63B8" w:rsidRDefault="00872D19" w:rsidP="00872D19">
      <w:pPr>
        <w:jc w:val="both"/>
      </w:pPr>
      <w:r>
        <w:t>Pálení suchého zahradního organického odpadu lze provádět jen za podmínek ustanovení zákona č. 185/2001 Sb. o odpadech a zákona č. 86/2002 Sb. o ochraně ovzduší v platném znění.</w:t>
      </w:r>
    </w:p>
    <w:p w14:paraId="2EAB89EB" w14:textId="77777777" w:rsidR="00CA63B8" w:rsidRDefault="00CA63B8" w:rsidP="00872D19">
      <w:pPr>
        <w:jc w:val="both"/>
      </w:pPr>
    </w:p>
    <w:p w14:paraId="05D6C5BB" w14:textId="77777777" w:rsidR="00872D19" w:rsidRDefault="00872D19" w:rsidP="00872D19">
      <w:pPr>
        <w:jc w:val="both"/>
      </w:pPr>
      <w:r>
        <w:t xml:space="preserve"> Za objekty se zvýšeným nebezpečím vzniku požáru se dle místních podmínek považuje: </w:t>
      </w:r>
    </w:p>
    <w:p w14:paraId="1B6C43BE" w14:textId="77777777" w:rsidR="00063675" w:rsidRDefault="00872D19" w:rsidP="00063675">
      <w:pPr>
        <w:pStyle w:val="Normlnweb"/>
      </w:pPr>
      <w:r>
        <w:lastRenderedPageBreak/>
        <w:t>1)  Objekt hospitálu Kuks čp. 81</w:t>
      </w:r>
    </w:p>
    <w:p w14:paraId="236F9B54" w14:textId="77777777" w:rsidR="00991442" w:rsidRDefault="00063675" w:rsidP="00991442">
      <w:pPr>
        <w:pStyle w:val="Normlnweb"/>
      </w:pPr>
      <w:r>
        <w:t xml:space="preserve">  </w:t>
      </w:r>
      <w:r w:rsidR="00872D19">
        <w:t>2) Objekt Obecního hostince č.p. 57</w:t>
      </w:r>
    </w:p>
    <w:p w14:paraId="0BA6AE0D" w14:textId="77777777" w:rsidR="00991442" w:rsidRDefault="00991442" w:rsidP="00991442">
      <w:pPr>
        <w:pStyle w:val="Normlnweb"/>
      </w:pPr>
      <w:r>
        <w:t xml:space="preserve"> Právnické a fyzické osoby zabezpečují požární bezpečnost při </w:t>
      </w:r>
      <w:proofErr w:type="gramStart"/>
      <w:r>
        <w:t>provozování</w:t>
      </w:r>
      <w:r w:rsidRPr="00991442">
        <w:t xml:space="preserve"> </w:t>
      </w:r>
      <w:r>
        <w:t xml:space="preserve"> své</w:t>
      </w:r>
      <w:proofErr w:type="gramEnd"/>
      <w:r>
        <w:t xml:space="preserve">                                   činnosti zřízením požární hlídky dle ustanovení § 4 zákona o požární ochraně.             </w:t>
      </w:r>
      <w:r w:rsidRPr="00991442">
        <w:t xml:space="preserve"> </w:t>
      </w:r>
      <w:r>
        <w:t xml:space="preserve">       </w:t>
      </w:r>
    </w:p>
    <w:p w14:paraId="146FD59C" w14:textId="77777777" w:rsidR="00B62D73" w:rsidRDefault="00063675" w:rsidP="00CA63B8">
      <w:pPr>
        <w:pStyle w:val="Normlnweb"/>
      </w:pPr>
      <w:r>
        <w:t xml:space="preserve">     </w:t>
      </w:r>
      <w:r w:rsidR="00ED158A">
        <w:t xml:space="preserve"> </w:t>
      </w:r>
      <w:r>
        <w:t xml:space="preserve">                                </w:t>
      </w:r>
      <w:r w:rsidR="00B62D73">
        <w:t xml:space="preserve"> </w:t>
      </w:r>
      <w:r>
        <w:t xml:space="preserve">       </w:t>
      </w:r>
    </w:p>
    <w:p w14:paraId="21626D95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4</w:t>
      </w:r>
      <w:r>
        <w:rPr>
          <w:b/>
          <w:bCs/>
          <w:i w:val="0"/>
          <w:iCs w:val="0"/>
        </w:rPr>
        <w:br/>
        <w:t xml:space="preserve">Způsob nepřetržitého zabezpečení požární ochrany </w:t>
      </w:r>
    </w:p>
    <w:p w14:paraId="5812B18A" w14:textId="77777777" w:rsidR="00BB40F0" w:rsidRDefault="00BB40F0" w:rsidP="00BB40F0">
      <w:pPr>
        <w:pStyle w:val="Normln1"/>
        <w:jc w:val="both"/>
        <w:rPr>
          <w:szCs w:val="24"/>
        </w:rPr>
      </w:pPr>
    </w:p>
    <w:p w14:paraId="6031CEC0" w14:textId="77777777" w:rsidR="00BB40F0" w:rsidRPr="00EC686E" w:rsidRDefault="00BB40F0" w:rsidP="00CA25BE">
      <w:pPr>
        <w:pStyle w:val="Normln1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Trvalá pohotovost jednotek požární ochrany</w:t>
      </w:r>
      <w:r w:rsidRPr="00EC686E">
        <w:rPr>
          <w:szCs w:val="24"/>
        </w:rPr>
        <w:t xml:space="preserve"> pro účely obce je zajištěna:</w:t>
      </w:r>
    </w:p>
    <w:p w14:paraId="71D590DC" w14:textId="77777777" w:rsidR="00BB40F0" w:rsidRDefault="00BB40F0" w:rsidP="00BB40F0">
      <w:pPr>
        <w:pStyle w:val="Normln1"/>
        <w:jc w:val="both"/>
      </w:pPr>
    </w:p>
    <w:p w14:paraId="29234474" w14:textId="77777777" w:rsidR="00BB40F0" w:rsidRDefault="00BB40F0" w:rsidP="00BB40F0">
      <w:pPr>
        <w:pStyle w:val="Normln1"/>
        <w:tabs>
          <w:tab w:val="left" w:pos="1065"/>
        </w:tabs>
        <w:ind w:left="1065" w:hanging="360"/>
      </w:pPr>
      <w:r>
        <w:t>a)</w:t>
      </w:r>
      <w:r>
        <w:tab/>
        <w:t xml:space="preserve">nepřetržitou službou Hasičského záchranného sboru </w:t>
      </w:r>
      <w:r w:rsidR="00CA63B8">
        <w:t>Královéhradeckého</w:t>
      </w:r>
      <w:r>
        <w:t xml:space="preserve"> kraje (dále jen „H</w:t>
      </w:r>
      <w:r w:rsidR="0073003C">
        <w:t xml:space="preserve">ZS kraje“) </w:t>
      </w:r>
    </w:p>
    <w:p w14:paraId="4905EBC9" w14:textId="77777777" w:rsidR="00BB40F0" w:rsidRDefault="0073003C" w:rsidP="00BB40F0">
      <w:pPr>
        <w:pStyle w:val="Normln1"/>
        <w:tabs>
          <w:tab w:val="left" w:pos="1065"/>
        </w:tabs>
        <w:ind w:left="1065" w:hanging="360"/>
        <w:jc w:val="both"/>
      </w:pPr>
      <w:r>
        <w:t>b)</w:t>
      </w:r>
      <w:r>
        <w:tab/>
        <w:t>akceschopností JS</w:t>
      </w:r>
      <w:r w:rsidR="00CA63B8">
        <w:t>D</w:t>
      </w:r>
      <w:r>
        <w:t>H</w:t>
      </w:r>
      <w:r w:rsidR="00CA63B8">
        <w:t>O</w:t>
      </w:r>
      <w:r>
        <w:t xml:space="preserve"> </w:t>
      </w:r>
      <w:r w:rsidR="00CA63B8">
        <w:t>Kuks</w:t>
      </w:r>
    </w:p>
    <w:p w14:paraId="0333491A" w14:textId="77777777" w:rsidR="00B62D73" w:rsidRDefault="00CA25BE" w:rsidP="00CA25BE">
      <w:pPr>
        <w:pStyle w:val="Normlnweb"/>
        <w:ind w:firstLine="0"/>
      </w:pPr>
      <w:r>
        <w:rPr>
          <w:color w:val="auto"/>
        </w:rPr>
        <w:t xml:space="preserve">      </w:t>
      </w:r>
      <w:r w:rsidR="00BB40F0">
        <w:rPr>
          <w:color w:val="auto"/>
        </w:rPr>
        <w:t xml:space="preserve">(2) </w:t>
      </w:r>
      <w:r w:rsidR="00B62D73">
        <w:t xml:space="preserve">Přijetí ohlášení požáru, živelní pohromy či jiné mimořádné události v katastru obce je </w:t>
      </w:r>
      <w:r>
        <w:br/>
        <w:t xml:space="preserve">            </w:t>
      </w:r>
      <w:r w:rsidR="00B62D73">
        <w:t>zabezpečeno systémem ohlašoven požáru, uvedených v čl. 7.</w:t>
      </w:r>
    </w:p>
    <w:p w14:paraId="61881E12" w14:textId="77777777" w:rsidR="00CA25BE" w:rsidRDefault="00CA25BE" w:rsidP="00ED158A">
      <w:pPr>
        <w:pStyle w:val="Normln1"/>
        <w:jc w:val="both"/>
        <w:rPr>
          <w:b/>
          <w:bCs/>
          <w:i/>
          <w:iCs/>
        </w:rPr>
      </w:pPr>
      <w:r>
        <w:t xml:space="preserve">Starosta obce je oprávněn alespoň jednou ročně, v rámci prověřovacího cvičení k prověření „Požárního řádu“ nařídit cvičný požární poplach jednotce PO obce (§ 39 </w:t>
      </w:r>
      <w:r w:rsidRPr="00E6450D">
        <w:rPr>
          <w:bCs/>
          <w:iCs/>
          <w:szCs w:val="15"/>
        </w:rPr>
        <w:t xml:space="preserve">vyhlášky </w:t>
      </w:r>
      <w:r>
        <w:rPr>
          <w:bCs/>
          <w:iCs/>
          <w:szCs w:val="15"/>
        </w:rPr>
        <w:br/>
      </w:r>
      <w:r w:rsidRPr="00E6450D">
        <w:rPr>
          <w:bCs/>
          <w:iCs/>
          <w:szCs w:val="15"/>
        </w:rPr>
        <w:t>č. 247/2001 Sb., organizaci a činnosti jednotek požární ochrany, ve znění pozdějších předpisů</w:t>
      </w:r>
      <w:r>
        <w:rPr>
          <w:bCs/>
          <w:iCs/>
          <w:szCs w:val="15"/>
        </w:rPr>
        <w:t>)</w:t>
      </w:r>
      <w:r w:rsidR="00ED158A">
        <w:t xml:space="preserve">. </w:t>
      </w:r>
    </w:p>
    <w:p w14:paraId="3DF67826" w14:textId="77777777" w:rsidR="00CA25BE" w:rsidRPr="00CA25BE" w:rsidRDefault="00CA25BE" w:rsidP="00CA25BE"/>
    <w:p w14:paraId="336C31F5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5</w:t>
      </w:r>
      <w:r>
        <w:rPr>
          <w:b/>
          <w:bCs/>
          <w:i w:val="0"/>
          <w:iCs w:val="0"/>
        </w:rPr>
        <w:br/>
        <w:t>Jednotky sboru dobrovolných hasičů obce, kategorie, početní stav a vybavení</w:t>
      </w:r>
    </w:p>
    <w:p w14:paraId="58C549E9" w14:textId="77777777" w:rsidR="00CA25BE" w:rsidRPr="00CA25BE" w:rsidRDefault="00CA25BE" w:rsidP="00CA25BE"/>
    <w:p w14:paraId="23B15B8B" w14:textId="77777777" w:rsidR="00CA25BE" w:rsidRDefault="00CA25BE" w:rsidP="00CA25BE">
      <w:pPr>
        <w:numPr>
          <w:ilvl w:val="0"/>
          <w:numId w:val="15"/>
        </w:numPr>
        <w:jc w:val="both"/>
      </w:pPr>
      <w:r>
        <w:t xml:space="preserve">Plnění povinností na úseku </w:t>
      </w:r>
      <w:r w:rsidRPr="00D26C18">
        <w:t xml:space="preserve">požární ochrany podle </w:t>
      </w:r>
      <w:r>
        <w:t xml:space="preserve">§ 29 odst. 1 písm. a) až h) </w:t>
      </w:r>
      <w:r w:rsidRPr="00D26C18">
        <w:t xml:space="preserve">zákona o požární ochraně pro obec </w:t>
      </w:r>
      <w:r w:rsidR="00CA63B8">
        <w:t>Kuks</w:t>
      </w:r>
      <w:r w:rsidR="0073003C">
        <w:t xml:space="preserve"> </w:t>
      </w:r>
      <w:r>
        <w:t>je zajištěna JSDH</w:t>
      </w:r>
      <w:r w:rsidR="00CA63B8">
        <w:t>O</w:t>
      </w:r>
      <w:r w:rsidRPr="00D26C18">
        <w:t xml:space="preserve"> </w:t>
      </w:r>
      <w:r w:rsidR="00CA63B8">
        <w:t>Kuks</w:t>
      </w:r>
    </w:p>
    <w:p w14:paraId="6611AC8D" w14:textId="77777777" w:rsidR="00B62D73" w:rsidRDefault="00CA25BE" w:rsidP="00CA25BE">
      <w:pPr>
        <w:pStyle w:val="Normlnweb"/>
        <w:ind w:left="851" w:hanging="351"/>
      </w:pPr>
      <w:r>
        <w:t xml:space="preserve">(2) </w:t>
      </w:r>
      <w:r w:rsidR="00B62D73">
        <w:t xml:space="preserve">Kategorie, početní stav a vybavení </w:t>
      </w:r>
      <w:r>
        <w:t>JSDH</w:t>
      </w:r>
      <w:r w:rsidR="00CA63B8">
        <w:t>O</w:t>
      </w:r>
      <w:r>
        <w:t xml:space="preserve"> </w:t>
      </w:r>
      <w:r w:rsidR="00CA63B8">
        <w:t>Kuks</w:t>
      </w:r>
      <w:r>
        <w:t xml:space="preserve"> </w:t>
      </w:r>
      <w:r w:rsidR="00B62D73">
        <w:t xml:space="preserve">požární technikou a věcnými prostředky požární ochrany jsou uvedeny v příloze č. 2. </w:t>
      </w:r>
    </w:p>
    <w:p w14:paraId="4F157AE2" w14:textId="77777777" w:rsidR="00CA25BE" w:rsidRDefault="00B62D73" w:rsidP="00CA25BE">
      <w:pPr>
        <w:pStyle w:val="Normlnweb"/>
        <w:jc w:val="center"/>
        <w:rPr>
          <w:b/>
          <w:bCs/>
          <w:iCs/>
        </w:rPr>
      </w:pPr>
      <w:r w:rsidRPr="00EA42D8">
        <w:rPr>
          <w:b/>
          <w:bCs/>
          <w:iCs/>
        </w:rPr>
        <w:t>Čl. 6</w:t>
      </w:r>
      <w:r w:rsidRPr="00EA42D8">
        <w:rPr>
          <w:b/>
          <w:bCs/>
          <w:iCs/>
        </w:rPr>
        <w:br/>
        <w:t>Přehled o zdrojích vody pro hašení požárů a podmínky jejich trvalé použitelnosti. Stanovení dalších zdrojů vody pro hašení požárů a podmínky pro zajištění jejich trvalé použitelnosti</w:t>
      </w:r>
    </w:p>
    <w:p w14:paraId="06180BE5" w14:textId="77777777" w:rsidR="00F87807" w:rsidRDefault="00CA25BE" w:rsidP="00A20E31">
      <w:pPr>
        <w:pStyle w:val="Normlnweb"/>
        <w:ind w:left="851" w:hanging="351"/>
      </w:pPr>
      <w:r>
        <w:t xml:space="preserve">(1) </w:t>
      </w:r>
      <w:r w:rsidR="00B62D73">
        <w:t xml:space="preserve">Obec stanovuje následující zdroje vody pro hašení požárů a další zdroje </w:t>
      </w:r>
      <w:r w:rsidR="00427A24">
        <w:t>požární vody</w:t>
      </w:r>
      <w:r w:rsidR="00B62D73">
        <w:t>, které musí svou kapacitou, umístěním a vybavením umožnit účinný požární zásah.   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835"/>
        <w:gridCol w:w="1485"/>
      </w:tblGrid>
      <w:tr w:rsidR="00F87807" w14:paraId="761AF0AF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clear" w:color="auto" w:fill="FFFFFF"/>
          </w:tcPr>
          <w:p w14:paraId="638CF0DC" w14:textId="77777777" w:rsidR="00F87807" w:rsidRPr="00A20E31" w:rsidRDefault="00F87807" w:rsidP="00F87807">
            <w:pPr>
              <w:jc w:val="both"/>
              <w:rPr>
                <w:b/>
              </w:rPr>
            </w:pPr>
            <w:r w:rsidRPr="00A20E31">
              <w:rPr>
                <w:b/>
              </w:rPr>
              <w:t>Vodní zdroj:</w:t>
            </w:r>
          </w:p>
        </w:tc>
        <w:tc>
          <w:tcPr>
            <w:tcW w:w="2126" w:type="dxa"/>
            <w:shd w:val="clear" w:color="auto" w:fill="FFFFFF"/>
          </w:tcPr>
          <w:p w14:paraId="31010941" w14:textId="77777777" w:rsidR="00F87807" w:rsidRPr="00A20E31" w:rsidRDefault="00F87807" w:rsidP="00F87807">
            <w:pPr>
              <w:jc w:val="both"/>
              <w:rPr>
                <w:b/>
              </w:rPr>
            </w:pPr>
            <w:r w:rsidRPr="00A20E31">
              <w:rPr>
                <w:b/>
              </w:rPr>
              <w:t>Čerpací stanoviště:</w:t>
            </w:r>
          </w:p>
        </w:tc>
        <w:tc>
          <w:tcPr>
            <w:tcW w:w="2835" w:type="dxa"/>
            <w:shd w:val="clear" w:color="auto" w:fill="FFFFFF"/>
          </w:tcPr>
          <w:p w14:paraId="0FCCDA95" w14:textId="77777777" w:rsidR="00F87807" w:rsidRPr="00A20E31" w:rsidRDefault="00A20E31" w:rsidP="00F87807">
            <w:pPr>
              <w:jc w:val="both"/>
              <w:rPr>
                <w:b/>
              </w:rPr>
            </w:pPr>
            <w:r w:rsidRPr="00A20E31">
              <w:rPr>
                <w:b/>
              </w:rPr>
              <w:t xml:space="preserve">Kapacita </w:t>
            </w:r>
            <w:r w:rsidR="00F87807" w:rsidRPr="00A20E31">
              <w:rPr>
                <w:b/>
              </w:rPr>
              <w:t>vodního zdroje:</w:t>
            </w:r>
          </w:p>
        </w:tc>
        <w:tc>
          <w:tcPr>
            <w:tcW w:w="1485" w:type="dxa"/>
            <w:shd w:val="clear" w:color="auto" w:fill="FFFFFF"/>
          </w:tcPr>
          <w:p w14:paraId="40EA430C" w14:textId="77777777" w:rsidR="00F87807" w:rsidRPr="00A20E31" w:rsidRDefault="00F87807" w:rsidP="00F87807">
            <w:pPr>
              <w:jc w:val="both"/>
              <w:rPr>
                <w:b/>
              </w:rPr>
            </w:pPr>
            <w:r w:rsidRPr="00A20E31">
              <w:rPr>
                <w:b/>
              </w:rPr>
              <w:t>Použitelnost:</w:t>
            </w:r>
          </w:p>
        </w:tc>
      </w:tr>
      <w:tr w:rsidR="00F87807" w14:paraId="5DFFD436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029054CD" w14:textId="77777777" w:rsidR="00F87807" w:rsidRPr="00A20E31" w:rsidRDefault="00CA63B8" w:rsidP="00817671">
            <w:pPr>
              <w:jc w:val="both"/>
              <w:rPr>
                <w:i/>
              </w:rPr>
            </w:pPr>
            <w:r>
              <w:rPr>
                <w:i/>
              </w:rPr>
              <w:t>Řeka Labe</w:t>
            </w:r>
          </w:p>
        </w:tc>
        <w:tc>
          <w:tcPr>
            <w:tcW w:w="2126" w:type="dxa"/>
          </w:tcPr>
          <w:p w14:paraId="7611ED3F" w14:textId="77777777" w:rsidR="00F87807" w:rsidRPr="00A20E31" w:rsidRDefault="00CA63B8" w:rsidP="00F87807">
            <w:pPr>
              <w:jc w:val="both"/>
              <w:rPr>
                <w:i/>
              </w:rPr>
            </w:pPr>
            <w:r>
              <w:rPr>
                <w:i/>
              </w:rPr>
              <w:t>ČOV</w:t>
            </w:r>
          </w:p>
        </w:tc>
        <w:tc>
          <w:tcPr>
            <w:tcW w:w="2835" w:type="dxa"/>
          </w:tcPr>
          <w:p w14:paraId="28C7939C" w14:textId="77777777" w:rsidR="00F87807" w:rsidRPr="00A20E31" w:rsidRDefault="00461922" w:rsidP="00F87807">
            <w:pPr>
              <w:jc w:val="both"/>
              <w:rPr>
                <w:i/>
              </w:rPr>
            </w:pPr>
            <w:r>
              <w:rPr>
                <w:i/>
              </w:rPr>
              <w:t>Neomezená</w:t>
            </w:r>
          </w:p>
        </w:tc>
        <w:tc>
          <w:tcPr>
            <w:tcW w:w="1485" w:type="dxa"/>
          </w:tcPr>
          <w:p w14:paraId="0B768CAF" w14:textId="77777777" w:rsidR="00F87807" w:rsidRPr="00A20E31" w:rsidRDefault="00F87807" w:rsidP="00F87807">
            <w:pPr>
              <w:jc w:val="both"/>
              <w:rPr>
                <w:i/>
              </w:rPr>
            </w:pPr>
            <w:r w:rsidRPr="00A20E31">
              <w:rPr>
                <w:i/>
              </w:rPr>
              <w:t>Celoročně</w:t>
            </w:r>
          </w:p>
        </w:tc>
      </w:tr>
      <w:tr w:rsidR="0073003C" w14:paraId="522C72F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3A7D1620" w14:textId="77777777" w:rsidR="0073003C" w:rsidRPr="00A20E31" w:rsidRDefault="00CA63B8" w:rsidP="00817671">
            <w:pPr>
              <w:jc w:val="both"/>
              <w:rPr>
                <w:i/>
              </w:rPr>
            </w:pPr>
            <w:r>
              <w:rPr>
                <w:i/>
              </w:rPr>
              <w:t>Požární nádrž</w:t>
            </w:r>
            <w:r w:rsidR="0073003C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14:paraId="6BC6A2CA" w14:textId="77777777" w:rsidR="0073003C" w:rsidRDefault="0073003C" w:rsidP="00F87807">
            <w:pPr>
              <w:jc w:val="both"/>
              <w:rPr>
                <w:i/>
              </w:rPr>
            </w:pPr>
            <w:r>
              <w:rPr>
                <w:i/>
              </w:rPr>
              <w:t>Na návsi</w:t>
            </w:r>
            <w:r w:rsidR="00CA63B8">
              <w:rPr>
                <w:i/>
              </w:rPr>
              <w:t xml:space="preserve"> Kašov</w:t>
            </w:r>
          </w:p>
        </w:tc>
        <w:tc>
          <w:tcPr>
            <w:tcW w:w="2835" w:type="dxa"/>
          </w:tcPr>
          <w:p w14:paraId="3E5FFF11" w14:textId="77777777" w:rsidR="0073003C" w:rsidRPr="00A20E31" w:rsidRDefault="00461922" w:rsidP="00F87807">
            <w:pPr>
              <w:jc w:val="both"/>
              <w:rPr>
                <w:i/>
              </w:rPr>
            </w:pPr>
            <w:r>
              <w:rPr>
                <w:i/>
              </w:rPr>
              <w:t>30 m3</w:t>
            </w:r>
          </w:p>
        </w:tc>
        <w:tc>
          <w:tcPr>
            <w:tcW w:w="1485" w:type="dxa"/>
          </w:tcPr>
          <w:p w14:paraId="03C9075F" w14:textId="77777777" w:rsidR="0073003C" w:rsidRPr="00A20E31" w:rsidRDefault="0073003C" w:rsidP="00F87807">
            <w:pPr>
              <w:jc w:val="both"/>
              <w:rPr>
                <w:i/>
              </w:rPr>
            </w:pPr>
            <w:r>
              <w:rPr>
                <w:i/>
              </w:rPr>
              <w:t>Celoročně</w:t>
            </w:r>
          </w:p>
        </w:tc>
      </w:tr>
      <w:tr w:rsidR="00461922" w14:paraId="2D13A63D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0E437B6C" w14:textId="77777777" w:rsidR="00461922" w:rsidRDefault="00461922" w:rsidP="00817671">
            <w:pPr>
              <w:jc w:val="both"/>
              <w:rPr>
                <w:i/>
              </w:rPr>
            </w:pPr>
            <w:r>
              <w:rPr>
                <w:i/>
              </w:rPr>
              <w:t>Hydrantová síť</w:t>
            </w:r>
          </w:p>
        </w:tc>
        <w:tc>
          <w:tcPr>
            <w:tcW w:w="2126" w:type="dxa"/>
          </w:tcPr>
          <w:p w14:paraId="4DE2A438" w14:textId="77777777" w:rsidR="00461922" w:rsidRDefault="00461922" w:rsidP="00F87807">
            <w:pPr>
              <w:jc w:val="both"/>
              <w:rPr>
                <w:i/>
              </w:rPr>
            </w:pPr>
            <w:r>
              <w:rPr>
                <w:i/>
              </w:rPr>
              <w:t>Dle</w:t>
            </w:r>
            <w:r w:rsidR="00AB5233">
              <w:rPr>
                <w:i/>
              </w:rPr>
              <w:t xml:space="preserve"> </w:t>
            </w:r>
            <w:r w:rsidR="0014169B">
              <w:rPr>
                <w:i/>
              </w:rPr>
              <w:t>vydatnosti</w:t>
            </w:r>
          </w:p>
        </w:tc>
        <w:tc>
          <w:tcPr>
            <w:tcW w:w="2835" w:type="dxa"/>
          </w:tcPr>
          <w:p w14:paraId="0AC2C4D9" w14:textId="77777777" w:rsidR="00461922" w:rsidRPr="00A20E31" w:rsidRDefault="00461922" w:rsidP="00F87807">
            <w:pPr>
              <w:jc w:val="both"/>
              <w:rPr>
                <w:i/>
              </w:rPr>
            </w:pPr>
            <w:r>
              <w:rPr>
                <w:i/>
              </w:rPr>
              <w:t>Dle vydatnosti</w:t>
            </w:r>
          </w:p>
        </w:tc>
        <w:tc>
          <w:tcPr>
            <w:tcW w:w="1485" w:type="dxa"/>
          </w:tcPr>
          <w:p w14:paraId="6D067DC3" w14:textId="77777777" w:rsidR="00461922" w:rsidRDefault="0014169B" w:rsidP="00F87807">
            <w:pPr>
              <w:jc w:val="both"/>
              <w:rPr>
                <w:i/>
              </w:rPr>
            </w:pPr>
            <w:r>
              <w:rPr>
                <w:i/>
              </w:rPr>
              <w:t>Celoročně</w:t>
            </w:r>
          </w:p>
        </w:tc>
      </w:tr>
    </w:tbl>
    <w:p w14:paraId="65DD4A80" w14:textId="77777777" w:rsidR="00B62D73" w:rsidRDefault="00B62D73">
      <w:pPr>
        <w:pStyle w:val="Normlnweb"/>
      </w:pPr>
      <w:r>
        <w:t xml:space="preserve">(2) Vyznačení zdrojů vody pro hašení požárů, čerpacích stanovišť pro požární </w:t>
      </w:r>
      <w:r w:rsidR="00427A24">
        <w:t>techniku a vhodného</w:t>
      </w:r>
      <w:r>
        <w:t xml:space="preserve"> směru příjezdu/příjezdové komunikace je promítnuto a vyznač</w:t>
      </w:r>
      <w:r w:rsidR="00427A24">
        <w:t>eno do plánku obce (příloha č. 3</w:t>
      </w:r>
      <w:r>
        <w:t xml:space="preserve">), který se v jednom vyhotovení předává jednotce požární ochrany </w:t>
      </w:r>
      <w:r w:rsidR="00427A24">
        <w:t>uvedené v článku</w:t>
      </w:r>
      <w:r w:rsidR="00A20E31">
        <w:t> 5</w:t>
      </w:r>
      <w:r w:rsidR="00F147B5">
        <w:t>.</w:t>
      </w:r>
    </w:p>
    <w:p w14:paraId="757FF041" w14:textId="77777777" w:rsidR="00B62D73" w:rsidRDefault="00B62D73">
      <w:pPr>
        <w:pStyle w:val="Normlnweb"/>
      </w:pPr>
      <w:r>
        <w:lastRenderedPageBreak/>
        <w:t>(3) Vlastník nebo uživatel zdrojů vody pro hašení je povinen, v souladu s předpisy o požární ochraně, umožnit použití požární techniky a čerpání vody pro hašení požárů, zejména udržovat trvalou použitelnost čerpacích stanovišť pro požární techniku, trvalou použitelnost zdroje</w:t>
      </w:r>
      <w:r w:rsidR="00FB2D51">
        <w:rPr>
          <w:rStyle w:val="Znakapoznpodarou"/>
        </w:rPr>
        <w:footnoteReference w:id="1"/>
      </w:r>
      <w:r w:rsidR="00013504">
        <w:t>.</w:t>
      </w:r>
    </w:p>
    <w:p w14:paraId="4830F30F" w14:textId="77777777" w:rsidR="00B62D73" w:rsidRDefault="00B62D73">
      <w:pPr>
        <w:pStyle w:val="Normlnweb"/>
      </w:pPr>
      <w:r>
        <w:t>(4) Vlastník pozemku</w:t>
      </w:r>
      <w:r w:rsidR="00013504">
        <w:t xml:space="preserve"> či </w:t>
      </w:r>
      <w:r>
        <w:t>příjezdové komunikace ke zdrojům vody pro hašení je povinen zajistit volný příjezd pro mobilní požární techniku. Vlastník převede prokazatelně tuto povinnost na další osobu (správce, nájemce, uživatele), nevykonává-li svá práva vůči pozemku nebo komunikaci sám.</w:t>
      </w:r>
    </w:p>
    <w:p w14:paraId="18E9739F" w14:textId="77777777" w:rsidR="00991442" w:rsidRDefault="00991442">
      <w:pPr>
        <w:pStyle w:val="Normlnweb"/>
      </w:pPr>
    </w:p>
    <w:p w14:paraId="4F056730" w14:textId="77777777" w:rsidR="00B62D73" w:rsidRDefault="00B62D73" w:rsidP="00C824D7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7</w:t>
      </w:r>
      <w:r>
        <w:rPr>
          <w:b/>
          <w:bCs/>
          <w:i w:val="0"/>
          <w:iCs w:val="0"/>
        </w:rPr>
        <w:br/>
        <w:t>Seznam ohlašoven požárů a dalších míst, odkud lze hlásit požár a způsob jejich označení</w:t>
      </w:r>
    </w:p>
    <w:p w14:paraId="1D5480C5" w14:textId="77777777" w:rsidR="00C824D7" w:rsidRPr="00C824D7" w:rsidRDefault="00C824D7" w:rsidP="00C824D7"/>
    <w:p w14:paraId="4DDCC15C" w14:textId="77777777" w:rsidR="00B62D73" w:rsidRPr="00427A24" w:rsidRDefault="00A20E31" w:rsidP="00CA63B8">
      <w:pPr>
        <w:pStyle w:val="Normlnweb"/>
        <w:jc w:val="center"/>
        <w:rPr>
          <w:color w:val="FF0000"/>
        </w:rPr>
      </w:pPr>
      <w:r>
        <w:t>(1) Obec</w:t>
      </w:r>
      <w:r w:rsidR="00B62D73">
        <w:t xml:space="preserve"> zřizuje následující ohlašovny požárů, které jsou trvale označeny tabulkou </w:t>
      </w:r>
      <w:r w:rsidR="00F0553A">
        <w:t xml:space="preserve">  </w:t>
      </w:r>
      <w:proofErr w:type="gramStart"/>
      <w:r w:rsidR="00F0553A">
        <w:t xml:space="preserve">   </w:t>
      </w:r>
      <w:r w:rsidR="00B62D73">
        <w:t>„</w:t>
      </w:r>
      <w:proofErr w:type="gramEnd"/>
      <w:r w:rsidR="00B62D73" w:rsidRPr="00F0553A">
        <w:rPr>
          <w:b/>
        </w:rPr>
        <w:t>Ohlašovna požárů”</w:t>
      </w:r>
    </w:p>
    <w:p w14:paraId="28F2BE51" w14:textId="77777777" w:rsidR="002B60C2" w:rsidRPr="00936486" w:rsidRDefault="00A20E31" w:rsidP="00CA63B8">
      <w:pPr>
        <w:pStyle w:val="Normlnweb"/>
        <w:rPr>
          <w:b/>
        </w:rPr>
      </w:pPr>
      <w:r>
        <w:t>(2) Obec</w:t>
      </w:r>
      <w:r w:rsidR="00B62D73">
        <w:t xml:space="preserve"> zřizuje následující další místa pro hlášení požárů, která jsou trvale označena tabulkou „Zde hlaste požár” nebo symbolem telefonního čísla „150”</w:t>
      </w:r>
      <w:r w:rsidR="00991442">
        <w:t xml:space="preserve"> nebo „112</w:t>
      </w:r>
      <w:proofErr w:type="gramStart"/>
      <w:r w:rsidR="00991442">
        <w:t>“,nebo</w:t>
      </w:r>
      <w:proofErr w:type="gramEnd"/>
      <w:r w:rsidR="00991442">
        <w:t xml:space="preserve"> na </w:t>
      </w:r>
      <w:r w:rsidR="0043644D" w:rsidRPr="00991442">
        <w:t xml:space="preserve">   </w:t>
      </w:r>
      <w:r w:rsidR="000D1075" w:rsidRPr="00991442">
        <w:t xml:space="preserve"> </w:t>
      </w:r>
      <w:r w:rsidR="00936486" w:rsidRPr="00991442">
        <w:t xml:space="preserve">č.p. </w:t>
      </w:r>
      <w:r w:rsidR="00CA63B8">
        <w:t>12 (Obecní úřad</w:t>
      </w:r>
      <w:proofErr w:type="gramStart"/>
      <w:r w:rsidR="00CA63B8">
        <w:t>),  čp.</w:t>
      </w:r>
      <w:proofErr w:type="gramEnd"/>
      <w:r w:rsidR="00CA63B8">
        <w:t xml:space="preserve"> 3 (Pošta)</w:t>
      </w:r>
    </w:p>
    <w:p w14:paraId="037BDF61" w14:textId="77777777" w:rsidR="001A22A2" w:rsidRPr="008F38D5" w:rsidRDefault="001A22A2" w:rsidP="00961F61">
      <w:pPr>
        <w:pStyle w:val="Nadpis4"/>
        <w:jc w:val="center"/>
        <w:rPr>
          <w:b/>
          <w:bCs/>
          <w:i w:val="0"/>
          <w:iCs w:val="0"/>
        </w:rPr>
      </w:pPr>
      <w:r>
        <w:br w:type="page"/>
      </w:r>
      <w:r w:rsidR="00B62D73" w:rsidRPr="008F38D5">
        <w:rPr>
          <w:b/>
          <w:i w:val="0"/>
        </w:rPr>
        <w:lastRenderedPageBreak/>
        <w:t>Čl. 8</w:t>
      </w:r>
      <w:r w:rsidR="00B62D73" w:rsidRPr="008F38D5">
        <w:rPr>
          <w:b/>
          <w:i w:val="0"/>
        </w:rPr>
        <w:br/>
        <w:t>Způsob vyhlášení požárního poplachu</w:t>
      </w:r>
    </w:p>
    <w:p w14:paraId="42353752" w14:textId="77777777" w:rsidR="00961F61" w:rsidRDefault="00961F61" w:rsidP="00961F61">
      <w:pPr>
        <w:ind w:left="360"/>
        <w:jc w:val="both"/>
      </w:pPr>
    </w:p>
    <w:p w14:paraId="0E982FA4" w14:textId="77777777" w:rsidR="001A22A2" w:rsidRDefault="001A22A2" w:rsidP="001A22A2">
      <w:pPr>
        <w:ind w:left="720"/>
        <w:jc w:val="both"/>
      </w:pPr>
    </w:p>
    <w:p w14:paraId="7F685ACD" w14:textId="77777777" w:rsidR="00854A65" w:rsidRDefault="001A22A2" w:rsidP="00CA63B8">
      <w:pPr>
        <w:jc w:val="center"/>
      </w:pPr>
      <w:r>
        <w:t>Pro</w:t>
      </w:r>
      <w:r w:rsidR="00CA63B8">
        <w:t xml:space="preserve"> vyhlášení poplachu JSDHO Kuks se použije elektronická komunikace GSM a datové zprávy. V Případě nefunkčnosti systémů je stanovena náhradní komunikace pomocí radiostanice.</w:t>
      </w:r>
      <w:r w:rsidR="00854A65">
        <w:t xml:space="preserve">     </w:t>
      </w:r>
    </w:p>
    <w:p w14:paraId="61705B76" w14:textId="77777777" w:rsidR="001A22A2" w:rsidRDefault="001A22A2" w:rsidP="001A22A2">
      <w:pPr>
        <w:ind w:left="720"/>
        <w:jc w:val="both"/>
      </w:pPr>
    </w:p>
    <w:p w14:paraId="2E71BAC6" w14:textId="77777777" w:rsidR="00B62D73" w:rsidRDefault="00B62D73"/>
    <w:p w14:paraId="5C170FE6" w14:textId="77777777" w:rsidR="00B62D73" w:rsidRDefault="00B62D73">
      <w:pPr>
        <w:pStyle w:val="Nadpis4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9</w:t>
      </w:r>
    </w:p>
    <w:p w14:paraId="7BC9DFD0" w14:textId="77777777" w:rsidR="00B62D73" w:rsidRDefault="00B62D73">
      <w:pPr>
        <w:pStyle w:val="nzevzkona"/>
        <w:autoSpaceDE/>
        <w:spacing w:before="0"/>
        <w:rPr>
          <w:szCs w:val="20"/>
        </w:rPr>
      </w:pPr>
      <w:r>
        <w:rPr>
          <w:szCs w:val="20"/>
        </w:rPr>
        <w:t>Seznam sil a prostředků jednotek požární ochrany</w:t>
      </w:r>
    </w:p>
    <w:p w14:paraId="0A9C3909" w14:textId="77777777" w:rsidR="00B62D73" w:rsidRDefault="00B62D73" w:rsidP="00E112C7">
      <w:pPr>
        <w:pStyle w:val="Normlnweb"/>
        <w:ind w:firstLine="0"/>
      </w:pPr>
      <w:r>
        <w:t>Seznam sil a prostředků jednotek požární ochrany podle výpisu z</w:t>
      </w:r>
      <w:r w:rsidR="00E112C7">
        <w:t xml:space="preserve"> požárního </w:t>
      </w:r>
      <w:r>
        <w:t xml:space="preserve">poplachového plánu </w:t>
      </w:r>
      <w:r w:rsidR="00CA63B8">
        <w:t>Královéhradeckého</w:t>
      </w:r>
      <w:r w:rsidR="00B04C72">
        <w:t xml:space="preserve"> </w:t>
      </w:r>
      <w:r>
        <w:t>kraje je uveden v příloze č. 1.</w:t>
      </w:r>
    </w:p>
    <w:p w14:paraId="2644B529" w14:textId="77777777" w:rsidR="00B62D73" w:rsidRDefault="00B62D73">
      <w:pPr>
        <w:pStyle w:val="Zkladntext"/>
        <w:spacing w:after="0"/>
        <w:jc w:val="center"/>
        <w:rPr>
          <w:b/>
        </w:rPr>
      </w:pPr>
      <w:r>
        <w:rPr>
          <w:b/>
        </w:rPr>
        <w:t>Čl. 10</w:t>
      </w:r>
    </w:p>
    <w:p w14:paraId="34E6A3C9" w14:textId="77777777" w:rsidR="00B62D73" w:rsidRDefault="002912C6" w:rsidP="002912C6">
      <w:pPr>
        <w:rPr>
          <w:b/>
          <w:bCs/>
        </w:rPr>
      </w:pPr>
      <w:r>
        <w:rPr>
          <w:b/>
          <w:bCs/>
          <w:color w:val="000000"/>
          <w:szCs w:val="20"/>
        </w:rPr>
        <w:t xml:space="preserve">                                                                    </w:t>
      </w:r>
      <w:r w:rsidR="00B62D73">
        <w:rPr>
          <w:b/>
          <w:bCs/>
        </w:rPr>
        <w:t>Účinnost</w:t>
      </w:r>
    </w:p>
    <w:p w14:paraId="0F263136" w14:textId="77777777" w:rsidR="002912C6" w:rsidRDefault="002912C6" w:rsidP="002912C6">
      <w:pPr>
        <w:rPr>
          <w:b/>
          <w:bCs/>
        </w:rPr>
      </w:pPr>
    </w:p>
    <w:p w14:paraId="473A9A44" w14:textId="77777777" w:rsidR="00B62D73" w:rsidRDefault="00B62D73">
      <w:pPr>
        <w:pStyle w:val="Seznamoslovan"/>
        <w:ind w:left="0" w:firstLine="0"/>
      </w:pPr>
      <w:r>
        <w:t>Tato obecně závazná vyhláška nabývá účinnosti 15. dnem po dni jejího vyhlášení.</w:t>
      </w:r>
    </w:p>
    <w:p w14:paraId="2E3CFEA4" w14:textId="77777777" w:rsidR="00E112C7" w:rsidRDefault="00E112C7">
      <w:pPr>
        <w:pStyle w:val="Seznamoslovan"/>
        <w:ind w:left="0" w:firstLine="0"/>
      </w:pPr>
    </w:p>
    <w:p w14:paraId="7501AE8B" w14:textId="77777777" w:rsidR="00E112C7" w:rsidRDefault="00E112C7">
      <w:pPr>
        <w:pStyle w:val="Seznamoslovan"/>
        <w:ind w:left="0" w:firstLine="0"/>
      </w:pPr>
    </w:p>
    <w:p w14:paraId="5C9209F3" w14:textId="77777777" w:rsidR="00E112C7" w:rsidRDefault="00E112C7">
      <w:pPr>
        <w:pStyle w:val="Seznamoslovan"/>
        <w:ind w:left="0" w:firstLine="0"/>
      </w:pPr>
      <w:r>
        <w:t xml:space="preserve">Datum </w:t>
      </w:r>
      <w:proofErr w:type="gramStart"/>
      <w:r>
        <w:t>vydání :</w:t>
      </w:r>
      <w:proofErr w:type="gramEnd"/>
      <w:r>
        <w:t xml:space="preserve"> </w:t>
      </w:r>
      <w:r w:rsidR="00CA63B8">
        <w:t>9.7</w:t>
      </w:r>
      <w:r>
        <w:t>.</w:t>
      </w:r>
      <w:r w:rsidR="00CA63B8">
        <w:t xml:space="preserve"> </w:t>
      </w:r>
      <w:r>
        <w:t>20</w:t>
      </w:r>
      <w:r w:rsidR="00CA63B8">
        <w:t>25</w:t>
      </w:r>
    </w:p>
    <w:p w14:paraId="69948811" w14:textId="77777777" w:rsidR="00621B71" w:rsidRDefault="00621B71">
      <w:pPr>
        <w:pStyle w:val="Nadpis5"/>
      </w:pPr>
    </w:p>
    <w:p w14:paraId="0234D763" w14:textId="77777777" w:rsidR="00621B71" w:rsidRDefault="00621B71">
      <w:pPr>
        <w:pStyle w:val="Nadpis5"/>
      </w:pPr>
    </w:p>
    <w:p w14:paraId="403790F6" w14:textId="77777777" w:rsidR="00621B71" w:rsidRDefault="00621B71">
      <w:pPr>
        <w:pStyle w:val="Nadpis5"/>
      </w:pPr>
    </w:p>
    <w:p w14:paraId="2EC0F65A" w14:textId="77777777" w:rsidR="00621B71" w:rsidRDefault="00621B71">
      <w:pPr>
        <w:pStyle w:val="Nadpis5"/>
      </w:pPr>
    </w:p>
    <w:p w14:paraId="3BB7A207" w14:textId="77777777" w:rsidR="00B62D73" w:rsidRDefault="00B62D73">
      <w:pPr>
        <w:pStyle w:val="Nadpis5"/>
      </w:pPr>
      <w:r>
        <w:tab/>
      </w:r>
    </w:p>
    <w:p w14:paraId="0ECFBD63" w14:textId="77777777" w:rsidR="00B62D73" w:rsidRDefault="00CA63B8" w:rsidP="00CA63B8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</w:t>
      </w:r>
      <w:r w:rsidR="00E112C7">
        <w:rPr>
          <w:color w:val="000000"/>
        </w:rPr>
        <w:t>J</w:t>
      </w:r>
      <w:r>
        <w:rPr>
          <w:color w:val="000000"/>
        </w:rPr>
        <w:t>iří Roleček</w:t>
      </w:r>
      <w:r w:rsidR="00B62D73">
        <w:rPr>
          <w:color w:val="000000"/>
        </w:rPr>
        <w:tab/>
      </w:r>
      <w:r>
        <w:rPr>
          <w:color w:val="000000"/>
        </w:rPr>
        <w:t xml:space="preserve">           Jiří Beran   </w:t>
      </w:r>
    </w:p>
    <w:p w14:paraId="52A14672" w14:textId="77777777" w:rsidR="00B62D73" w:rsidRDefault="00B62D73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ab/>
      </w:r>
    </w:p>
    <w:p w14:paraId="10186832" w14:textId="77777777" w:rsidR="00B62D73" w:rsidRDefault="000D1075" w:rsidP="00C51200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</w:t>
      </w:r>
      <w:r w:rsidR="00C51200">
        <w:rPr>
          <w:color w:val="000000"/>
        </w:rPr>
        <w:t xml:space="preserve"> místostarost</w:t>
      </w:r>
      <w:r>
        <w:rPr>
          <w:color w:val="000000"/>
        </w:rPr>
        <w:t>a</w:t>
      </w:r>
      <w:r w:rsidR="00B62D73">
        <w:rPr>
          <w:color w:val="000000"/>
        </w:rPr>
        <w:tab/>
      </w:r>
      <w:r w:rsidR="00C51200">
        <w:rPr>
          <w:color w:val="000000"/>
        </w:rPr>
        <w:t xml:space="preserve">          </w:t>
      </w:r>
      <w:r w:rsidR="00B62D73">
        <w:rPr>
          <w:color w:val="000000"/>
        </w:rPr>
        <w:t>starosta obce</w:t>
      </w:r>
    </w:p>
    <w:p w14:paraId="13620568" w14:textId="77777777" w:rsidR="00B62D73" w:rsidRDefault="00B62D73">
      <w:pPr>
        <w:pStyle w:val="Zkladntext"/>
        <w:rPr>
          <w:i/>
          <w:iCs/>
        </w:rPr>
      </w:pPr>
    </w:p>
    <w:p w14:paraId="327625F2" w14:textId="77777777" w:rsidR="00FB2D51" w:rsidRDefault="00B62D73">
      <w:pPr>
        <w:pStyle w:val="Textparagrafu"/>
        <w:tabs>
          <w:tab w:val="left" w:pos="2977"/>
        </w:tabs>
        <w:ind w:firstLine="0"/>
      </w:pPr>
      <w:r>
        <w:t>Vyvěšeno na úřední desce dne:</w:t>
      </w:r>
      <w:r w:rsidR="0064013E">
        <w:t xml:space="preserve"> </w:t>
      </w:r>
    </w:p>
    <w:p w14:paraId="799A9378" w14:textId="77777777" w:rsidR="00B62D73" w:rsidRDefault="00B62D73">
      <w:pPr>
        <w:pStyle w:val="Textparagrafu"/>
        <w:tabs>
          <w:tab w:val="left" w:pos="2977"/>
        </w:tabs>
        <w:ind w:firstLine="0"/>
      </w:pPr>
      <w:r>
        <w:t>Sejmuto z úřední desky dne:</w:t>
      </w:r>
      <w:r w:rsidR="002912C6">
        <w:t xml:space="preserve"> </w:t>
      </w:r>
    </w:p>
    <w:p w14:paraId="3A186BA3" w14:textId="77777777" w:rsidR="00B62D73" w:rsidRDefault="00FB2D51">
      <w:pPr>
        <w:pStyle w:val="Nadpis5"/>
        <w:jc w:val="righ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br w:type="page"/>
      </w:r>
      <w:r w:rsidR="00B62D73">
        <w:rPr>
          <w:b/>
          <w:bCs/>
          <w:i w:val="0"/>
          <w:iCs w:val="0"/>
        </w:rPr>
        <w:lastRenderedPageBreak/>
        <w:t xml:space="preserve">Příloha č. 1 </w:t>
      </w:r>
    </w:p>
    <w:p w14:paraId="55E62E98" w14:textId="77777777" w:rsidR="00B62D73" w:rsidRDefault="00B62D73"/>
    <w:p w14:paraId="7A966A03" w14:textId="77777777" w:rsidR="00B62D73" w:rsidRDefault="00B62D73">
      <w:pPr>
        <w:pStyle w:val="Nadpis2"/>
        <w:jc w:val="center"/>
        <w:rPr>
          <w:b/>
          <w:bCs/>
        </w:rPr>
      </w:pPr>
      <w:r>
        <w:rPr>
          <w:b/>
          <w:bCs/>
        </w:rPr>
        <w:t>Seznam sil a prostředků</w:t>
      </w:r>
      <w:r>
        <w:rPr>
          <w:b/>
          <w:bCs/>
        </w:rPr>
        <w:br/>
        <w:t>jednotek požární ochrany podle požárního poplachového plánu kraje</w:t>
      </w:r>
    </w:p>
    <w:p w14:paraId="776DEB66" w14:textId="77777777" w:rsidR="00B62D73" w:rsidRDefault="00B62D73">
      <w:pPr>
        <w:rPr>
          <w:b/>
          <w:bCs/>
        </w:rPr>
      </w:pPr>
    </w:p>
    <w:p w14:paraId="4EECA110" w14:textId="77777777" w:rsidR="00B62D73" w:rsidRDefault="00B62D73">
      <w:pPr>
        <w:pStyle w:val="Normlnweb"/>
      </w:pPr>
      <w:r>
        <w:t>(1) Seznam sil a prostředků jednotek požární ochrany pro první stupeň poplachu obdrží ohlašovny požárů obce a právnické osoby a podnikající fyzické osoby, které zřizují jednotku požární ochrany.</w:t>
      </w:r>
    </w:p>
    <w:p w14:paraId="66EBCA23" w14:textId="77777777" w:rsidR="00B62D73" w:rsidRDefault="00B62D73">
      <w:pPr>
        <w:pStyle w:val="Normlnweb"/>
      </w:pPr>
      <w:r>
        <w:t>(2) V případě vzniku požáru nebo jiné mimořádné události jsou pro poskytnutí pomoci v katastru obce určeny podle stupně požárního poplachu následující jednotky požární ochrany:</w:t>
      </w:r>
    </w:p>
    <w:tbl>
      <w:tblPr>
        <w:tblW w:w="9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7"/>
        <w:gridCol w:w="1701"/>
        <w:gridCol w:w="1972"/>
        <w:gridCol w:w="1600"/>
        <w:gridCol w:w="2200"/>
      </w:tblGrid>
      <w:tr w:rsidR="00750FF8" w14:paraId="3C4E6B51" w14:textId="77777777">
        <w:tc>
          <w:tcPr>
            <w:tcW w:w="9742" w:type="dxa"/>
            <w:gridSpan w:val="6"/>
          </w:tcPr>
          <w:p w14:paraId="7EB68D0F" w14:textId="77777777" w:rsidR="00750FF8" w:rsidRDefault="00C11473" w:rsidP="00750FF8">
            <w:pPr>
              <w:autoSpaceDE w:val="0"/>
              <w:autoSpaceDN w:val="0"/>
              <w:adjustRightInd w:val="0"/>
            </w:pPr>
            <w:r>
              <w:t>Kuks</w:t>
            </w:r>
            <w:r w:rsidR="00750FF8">
              <w:t xml:space="preserve"> – poplachový plán obce</w:t>
            </w:r>
          </w:p>
        </w:tc>
      </w:tr>
      <w:tr w:rsidR="00750FF8" w14:paraId="3D081F65" w14:textId="77777777">
        <w:tc>
          <w:tcPr>
            <w:tcW w:w="1242" w:type="dxa"/>
            <w:vMerge w:val="restart"/>
          </w:tcPr>
          <w:p w14:paraId="2777C770" w14:textId="77777777" w:rsidR="00750FF8" w:rsidRPr="00750FF8" w:rsidRDefault="00750FF8" w:rsidP="00750FF8">
            <w:pPr>
              <w:jc w:val="center"/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Katastrální</w:t>
            </w:r>
          </w:p>
          <w:p w14:paraId="392AD254" w14:textId="77777777" w:rsidR="00750FF8" w:rsidRPr="00750FF8" w:rsidRDefault="00750FF8" w:rsidP="00750FF8">
            <w:pPr>
              <w:jc w:val="center"/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území obce:</w:t>
            </w:r>
          </w:p>
        </w:tc>
        <w:tc>
          <w:tcPr>
            <w:tcW w:w="1027" w:type="dxa"/>
            <w:vMerge w:val="restart"/>
          </w:tcPr>
          <w:p w14:paraId="3AD3B4A9" w14:textId="77777777" w:rsidR="00750FF8" w:rsidRPr="00750FF8" w:rsidRDefault="00750FF8" w:rsidP="00750FF8">
            <w:pPr>
              <w:jc w:val="center"/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Stupeň</w:t>
            </w:r>
          </w:p>
          <w:p w14:paraId="66C6908F" w14:textId="77777777" w:rsidR="00750FF8" w:rsidRPr="00750FF8" w:rsidRDefault="00750FF8" w:rsidP="00750FF8">
            <w:pPr>
              <w:jc w:val="center"/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poplachu</w:t>
            </w:r>
          </w:p>
        </w:tc>
        <w:tc>
          <w:tcPr>
            <w:tcW w:w="1701" w:type="dxa"/>
          </w:tcPr>
          <w:p w14:paraId="6AA49DA1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1. jednotka</w:t>
            </w:r>
          </w:p>
        </w:tc>
        <w:tc>
          <w:tcPr>
            <w:tcW w:w="1972" w:type="dxa"/>
          </w:tcPr>
          <w:p w14:paraId="484027F8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2. jednotka</w:t>
            </w:r>
          </w:p>
        </w:tc>
        <w:tc>
          <w:tcPr>
            <w:tcW w:w="1600" w:type="dxa"/>
          </w:tcPr>
          <w:p w14:paraId="604A1FF2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3. jednotka</w:t>
            </w:r>
          </w:p>
        </w:tc>
        <w:tc>
          <w:tcPr>
            <w:tcW w:w="2200" w:type="dxa"/>
          </w:tcPr>
          <w:p w14:paraId="16B8725D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4. jednotka</w:t>
            </w:r>
          </w:p>
        </w:tc>
      </w:tr>
      <w:tr w:rsidR="00750FF8" w14:paraId="33155BFC" w14:textId="77777777">
        <w:tc>
          <w:tcPr>
            <w:tcW w:w="1242" w:type="dxa"/>
            <w:vMerge/>
          </w:tcPr>
          <w:p w14:paraId="7BA935B6" w14:textId="77777777" w:rsidR="00750FF8" w:rsidRPr="00750FF8" w:rsidRDefault="00750FF8" w:rsidP="00B31C70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257E8706" w14:textId="77777777" w:rsidR="00750FF8" w:rsidRPr="00750FF8" w:rsidRDefault="00750FF8" w:rsidP="00B31C7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EA70F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název JPO</w:t>
            </w:r>
          </w:p>
        </w:tc>
        <w:tc>
          <w:tcPr>
            <w:tcW w:w="1972" w:type="dxa"/>
          </w:tcPr>
          <w:p w14:paraId="072B8E92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název JPO</w:t>
            </w:r>
          </w:p>
        </w:tc>
        <w:tc>
          <w:tcPr>
            <w:tcW w:w="1600" w:type="dxa"/>
          </w:tcPr>
          <w:p w14:paraId="2D091949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název JPO</w:t>
            </w:r>
          </w:p>
        </w:tc>
        <w:tc>
          <w:tcPr>
            <w:tcW w:w="2200" w:type="dxa"/>
          </w:tcPr>
          <w:p w14:paraId="511BD05D" w14:textId="77777777" w:rsidR="00750FF8" w:rsidRPr="00750FF8" w:rsidRDefault="00750FF8" w:rsidP="00B31C70">
            <w:pPr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název JPO</w:t>
            </w:r>
          </w:p>
        </w:tc>
      </w:tr>
      <w:tr w:rsidR="00750FF8" w14:paraId="4B5125B0" w14:textId="77777777">
        <w:trPr>
          <w:trHeight w:val="430"/>
        </w:trPr>
        <w:tc>
          <w:tcPr>
            <w:tcW w:w="1242" w:type="dxa"/>
            <w:vMerge w:val="restart"/>
            <w:vAlign w:val="center"/>
          </w:tcPr>
          <w:p w14:paraId="5576ACC2" w14:textId="77777777" w:rsidR="00750FF8" w:rsidRPr="00750FF8" w:rsidRDefault="00C11473" w:rsidP="0075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Kuks</w:t>
            </w:r>
          </w:p>
        </w:tc>
        <w:tc>
          <w:tcPr>
            <w:tcW w:w="1027" w:type="dxa"/>
            <w:vAlign w:val="center"/>
          </w:tcPr>
          <w:p w14:paraId="44CE82FD" w14:textId="77777777" w:rsidR="00750FF8" w:rsidRPr="00750FF8" w:rsidRDefault="00750FF8" w:rsidP="00750FF8">
            <w:pPr>
              <w:jc w:val="center"/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14:paraId="41840F0F" w14:textId="77777777" w:rsidR="00750FF8" w:rsidRPr="00750FF8" w:rsidRDefault="00C11473" w:rsidP="00750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Kuks</w:t>
            </w:r>
            <w:r w:rsidR="00CD6FEE" w:rsidRPr="00750FF8">
              <w:rPr>
                <w:sz w:val="20"/>
                <w:szCs w:val="20"/>
              </w:rPr>
              <w:t xml:space="preserve"> JSDH</w:t>
            </w:r>
          </w:p>
        </w:tc>
        <w:tc>
          <w:tcPr>
            <w:tcW w:w="1972" w:type="dxa"/>
            <w:vAlign w:val="center"/>
          </w:tcPr>
          <w:p w14:paraId="0242828D" w14:textId="77777777" w:rsidR="00750FF8" w:rsidRPr="00750FF8" w:rsidRDefault="00511013" w:rsidP="0075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HZS Dvůr Králové</w:t>
            </w:r>
          </w:p>
        </w:tc>
        <w:tc>
          <w:tcPr>
            <w:tcW w:w="1600" w:type="dxa"/>
            <w:vAlign w:val="center"/>
          </w:tcPr>
          <w:p w14:paraId="4C97155E" w14:textId="77777777" w:rsidR="00750FF8" w:rsidRPr="00750FF8" w:rsidRDefault="00511013" w:rsidP="0075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HZSJaroměř</w:t>
            </w:r>
            <w:r w:rsidR="002912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14:paraId="5B1B8F31" w14:textId="77777777" w:rsidR="00750FF8" w:rsidRPr="00750FF8" w:rsidRDefault="00511013" w:rsidP="0075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 Ch. Hradiště</w:t>
            </w:r>
            <w:r w:rsidR="002912C6">
              <w:rPr>
                <w:sz w:val="20"/>
                <w:szCs w:val="20"/>
              </w:rPr>
              <w:t xml:space="preserve"> </w:t>
            </w:r>
          </w:p>
        </w:tc>
      </w:tr>
      <w:tr w:rsidR="00750FF8" w14:paraId="3A92BE3C" w14:textId="77777777">
        <w:tc>
          <w:tcPr>
            <w:tcW w:w="1242" w:type="dxa"/>
            <w:vMerge/>
            <w:vAlign w:val="center"/>
          </w:tcPr>
          <w:p w14:paraId="031FB772" w14:textId="77777777" w:rsidR="00750FF8" w:rsidRPr="00750FF8" w:rsidRDefault="00750FF8" w:rsidP="00750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72CD301B" w14:textId="77777777" w:rsidR="00750FF8" w:rsidRPr="00750FF8" w:rsidRDefault="00750FF8" w:rsidP="00750FF8">
            <w:pPr>
              <w:jc w:val="center"/>
              <w:rPr>
                <w:sz w:val="20"/>
                <w:szCs w:val="20"/>
              </w:rPr>
            </w:pPr>
            <w:r w:rsidRPr="00750FF8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14:paraId="44BB75A5" w14:textId="77777777" w:rsidR="00750FF8" w:rsidRPr="00750FF8" w:rsidRDefault="00511013" w:rsidP="00750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JPO Žireč</w:t>
            </w:r>
          </w:p>
        </w:tc>
        <w:tc>
          <w:tcPr>
            <w:tcW w:w="1972" w:type="dxa"/>
            <w:vAlign w:val="center"/>
          </w:tcPr>
          <w:p w14:paraId="669D12D5" w14:textId="77777777" w:rsidR="00750FF8" w:rsidRPr="00750FF8" w:rsidRDefault="00750FF8" w:rsidP="00CD6F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2E851B1" w14:textId="77777777" w:rsidR="00750FF8" w:rsidRPr="00750FF8" w:rsidRDefault="00750FF8" w:rsidP="00750FF8">
            <w:pPr>
              <w:pStyle w:val="Normlnweb"/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14:paraId="1592C4C0" w14:textId="77777777" w:rsidR="00750FF8" w:rsidRPr="00750FF8" w:rsidRDefault="00750FF8" w:rsidP="00750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98DE63" w14:textId="77777777" w:rsidR="00B62D73" w:rsidRDefault="00B62D73">
      <w:pPr>
        <w:pStyle w:val="Normlnweb"/>
      </w:pPr>
    </w:p>
    <w:p w14:paraId="45984698" w14:textId="77777777" w:rsidR="00B62D73" w:rsidRDefault="00B62D73">
      <w:pPr>
        <w:pStyle w:val="Hlava"/>
        <w:spacing w:before="0"/>
        <w:jc w:val="left"/>
      </w:pPr>
    </w:p>
    <w:p w14:paraId="7DD90BC2" w14:textId="77777777" w:rsidR="00B62D73" w:rsidRDefault="00B62D73">
      <w:pPr>
        <w:pStyle w:val="Hlava"/>
        <w:spacing w:before="0"/>
        <w:jc w:val="left"/>
      </w:pPr>
    </w:p>
    <w:p w14:paraId="0AA509D1" w14:textId="77777777" w:rsidR="00B62D73" w:rsidRDefault="00B62D73">
      <w:pPr>
        <w:pStyle w:val="Hlava"/>
        <w:spacing w:before="0"/>
        <w:jc w:val="right"/>
        <w:rPr>
          <w:b/>
          <w:bCs/>
        </w:rPr>
      </w:pPr>
      <w:r>
        <w:rPr>
          <w:b/>
          <w:bCs/>
        </w:rPr>
        <w:t>Příloha č. 2</w:t>
      </w:r>
    </w:p>
    <w:p w14:paraId="78763F9C" w14:textId="77777777" w:rsidR="00B62D73" w:rsidRDefault="00B62D73">
      <w:pPr>
        <w:pStyle w:val="Hlava"/>
        <w:spacing w:before="0"/>
        <w:jc w:val="right"/>
        <w:rPr>
          <w:b/>
          <w:bCs/>
        </w:rPr>
      </w:pPr>
    </w:p>
    <w:p w14:paraId="6B7335B6" w14:textId="77777777" w:rsidR="00B62D73" w:rsidRDefault="00750FF8" w:rsidP="00750FF8">
      <w:pPr>
        <w:pStyle w:val="Nadpis2"/>
        <w:jc w:val="center"/>
        <w:rPr>
          <w:b/>
          <w:bCs/>
        </w:rPr>
      </w:pPr>
      <w:r w:rsidRPr="00750FF8">
        <w:rPr>
          <w:b/>
          <w:bCs/>
        </w:rPr>
        <w:t xml:space="preserve">Kategorie, početní stav a vybavení JSDH </w:t>
      </w:r>
      <w:r w:rsidR="00C11473">
        <w:rPr>
          <w:b/>
          <w:bCs/>
        </w:rPr>
        <w:t>Kuks</w:t>
      </w:r>
      <w:r w:rsidRPr="00750FF8">
        <w:rPr>
          <w:b/>
          <w:bCs/>
        </w:rPr>
        <w:t xml:space="preserve"> požární technikou a věcnými prostředky požární ochrany</w:t>
      </w:r>
    </w:p>
    <w:p w14:paraId="3DE072A4" w14:textId="77777777" w:rsidR="00B62D73" w:rsidRDefault="00B62D73">
      <w:pPr>
        <w:pStyle w:val="Hlava"/>
        <w:spacing w:before="0"/>
        <w:jc w:val="right"/>
        <w:rPr>
          <w:b/>
          <w:bCs/>
        </w:rPr>
      </w:pPr>
    </w:p>
    <w:p w14:paraId="669ACA3A" w14:textId="77777777" w:rsidR="00F1371D" w:rsidRPr="00E6450D" w:rsidRDefault="00F1371D" w:rsidP="00F1371D">
      <w:pPr>
        <w:jc w:val="both"/>
        <w:rPr>
          <w:b/>
          <w:bCs/>
          <w:spacing w:val="-4"/>
          <w:sz w:val="28"/>
          <w:szCs w:val="47"/>
        </w:rPr>
      </w:pPr>
      <w:r w:rsidRPr="00E6450D">
        <w:rPr>
          <w:spacing w:val="-3"/>
        </w:rPr>
        <w:t>Katego</w:t>
      </w:r>
      <w:r w:rsidRPr="00E6450D">
        <w:rPr>
          <w:spacing w:val="2"/>
        </w:rPr>
        <w:t xml:space="preserve">rie, početní stav a vybavení požární technikou a věcnými prostředky PO </w:t>
      </w:r>
      <w:r>
        <w:rPr>
          <w:spacing w:val="2"/>
        </w:rPr>
        <w:t>JSDH</w:t>
      </w:r>
      <w:r>
        <w:rPr>
          <w:spacing w:val="3"/>
        </w:rPr>
        <w:t xml:space="preserve"> </w:t>
      </w:r>
      <w:r w:rsidR="000D1075">
        <w:rPr>
          <w:spacing w:val="3"/>
        </w:rPr>
        <w:t>Cep</w:t>
      </w:r>
      <w:r>
        <w:rPr>
          <w:spacing w:val="3"/>
        </w:rPr>
        <w:t xml:space="preserve"> je v souladu</w:t>
      </w:r>
      <w:r w:rsidRPr="00E6450D">
        <w:rPr>
          <w:spacing w:val="3"/>
        </w:rPr>
        <w:t xml:space="preserve"> </w:t>
      </w:r>
      <w:r>
        <w:rPr>
          <w:bCs/>
          <w:iCs/>
          <w:szCs w:val="15"/>
        </w:rPr>
        <w:t>s přílohou č.</w:t>
      </w:r>
      <w:r w:rsidRPr="00E6450D">
        <w:rPr>
          <w:bCs/>
          <w:iCs/>
          <w:szCs w:val="15"/>
        </w:rPr>
        <w:t xml:space="preserve"> 4 vyhlášky č. 247/2001 Sb., organizaci a činnosti jednotek požární ochrany, ve znění pozdějších předpisů:</w:t>
      </w:r>
    </w:p>
    <w:p w14:paraId="5B4D0C4E" w14:textId="77777777" w:rsidR="00F1371D" w:rsidRPr="00F1371D" w:rsidRDefault="00F1371D" w:rsidP="00F1371D">
      <w:pPr>
        <w:tabs>
          <w:tab w:val="num" w:pos="360"/>
        </w:tabs>
        <w:spacing w:line="360" w:lineRule="atLeast"/>
        <w:ind w:left="357" w:right="-102" w:hanging="357"/>
        <w:jc w:val="both"/>
      </w:pPr>
      <w:r>
        <w:t xml:space="preserve">Kategorie jednotky PO: </w:t>
      </w:r>
      <w:r w:rsidR="00C11473">
        <w:t>III/1</w:t>
      </w:r>
    </w:p>
    <w:p w14:paraId="35DDE221" w14:textId="77777777" w:rsidR="00F1371D" w:rsidRDefault="00F1371D" w:rsidP="00F1371D">
      <w:pPr>
        <w:pStyle w:val="Zkladntext"/>
        <w:rPr>
          <w:bCs/>
        </w:rPr>
      </w:pPr>
      <w:r>
        <w:rPr>
          <w:bCs/>
        </w:rPr>
        <w:t>Minimální počet</w:t>
      </w:r>
      <w:r w:rsidRPr="00F9761A">
        <w:rPr>
          <w:bCs/>
        </w:rPr>
        <w:t xml:space="preserve"> členů </w:t>
      </w:r>
      <w:r>
        <w:rPr>
          <w:bCs/>
        </w:rPr>
        <w:t>JSDH</w:t>
      </w:r>
      <w:r w:rsidR="00C11473">
        <w:rPr>
          <w:bCs/>
        </w:rPr>
        <w:t>O</w:t>
      </w:r>
      <w:r>
        <w:rPr>
          <w:bCs/>
        </w:rPr>
        <w:t xml:space="preserve"> </w:t>
      </w:r>
      <w:r w:rsidR="00C11473">
        <w:rPr>
          <w:bCs/>
        </w:rPr>
        <w:t>Kuks</w:t>
      </w:r>
      <w:r w:rsidRPr="00F9761A">
        <w:rPr>
          <w:bCs/>
        </w:rPr>
        <w:t xml:space="preserve">: </w:t>
      </w:r>
      <w:r w:rsidR="00C11473">
        <w:rPr>
          <w:bCs/>
        </w:rPr>
        <w:t>13</w:t>
      </w:r>
      <w:r>
        <w:rPr>
          <w:bCs/>
        </w:rPr>
        <w:br/>
        <w:t>Minimálním počet</w:t>
      </w:r>
      <w:r w:rsidRPr="00F9761A">
        <w:rPr>
          <w:bCs/>
        </w:rPr>
        <w:t xml:space="preserve"> členů </w:t>
      </w:r>
      <w:r>
        <w:rPr>
          <w:bCs/>
        </w:rPr>
        <w:t>JSDH</w:t>
      </w:r>
      <w:r w:rsidR="00C11473">
        <w:rPr>
          <w:bCs/>
        </w:rPr>
        <w:t>O</w:t>
      </w:r>
      <w:r>
        <w:rPr>
          <w:bCs/>
        </w:rPr>
        <w:t xml:space="preserve"> </w:t>
      </w:r>
      <w:r w:rsidR="00C11473">
        <w:rPr>
          <w:bCs/>
        </w:rPr>
        <w:t>Kuks</w:t>
      </w:r>
      <w:r w:rsidRPr="00F9761A">
        <w:rPr>
          <w:bCs/>
        </w:rPr>
        <w:t xml:space="preserve"> v pohotovosti pro výjezd: 4</w:t>
      </w:r>
      <w:r>
        <w:rPr>
          <w:bCs/>
        </w:rPr>
        <w:br/>
        <w:t>Vybavení:</w:t>
      </w: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9"/>
        <w:gridCol w:w="1392"/>
      </w:tblGrid>
      <w:tr w:rsidR="00F1371D" w:rsidRPr="00810094" w14:paraId="6053F7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8E501" w14:textId="77777777" w:rsidR="00F1371D" w:rsidRPr="00810094" w:rsidRDefault="00F1371D" w:rsidP="00B31C70">
            <w:pPr>
              <w:jc w:val="center"/>
              <w:rPr>
                <w:b/>
                <w:bCs/>
                <w:i/>
                <w:iCs/>
              </w:rPr>
            </w:pPr>
            <w:r w:rsidRPr="00810094">
              <w:rPr>
                <w:b/>
                <w:bCs/>
                <w:i/>
                <w:iCs/>
                <w:szCs w:val="15"/>
              </w:rPr>
              <w:t xml:space="preserve">Požární technika a věcné prostředky PO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291C" w14:textId="77777777" w:rsidR="00F1371D" w:rsidRPr="00810094" w:rsidRDefault="00F1371D" w:rsidP="00B31C70">
            <w:pPr>
              <w:jc w:val="center"/>
              <w:rPr>
                <w:b/>
                <w:bCs/>
                <w:i/>
                <w:iCs/>
              </w:rPr>
            </w:pPr>
            <w:r w:rsidRPr="00810094">
              <w:rPr>
                <w:b/>
                <w:bCs/>
                <w:i/>
                <w:iCs/>
                <w:szCs w:val="15"/>
              </w:rPr>
              <w:t>Počet</w:t>
            </w:r>
          </w:p>
        </w:tc>
      </w:tr>
      <w:tr w:rsidR="00F1371D" w:rsidRPr="00C13F13" w14:paraId="34838A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BE683" w14:textId="77777777" w:rsidR="00F1371D" w:rsidRPr="00C13F13" w:rsidRDefault="00F1371D" w:rsidP="00B31C70">
            <w:pPr>
              <w:pStyle w:val="Normlnweb"/>
              <w:tabs>
                <w:tab w:val="left" w:pos="2910"/>
              </w:tabs>
              <w:spacing w:before="0" w:after="0"/>
              <w:rPr>
                <w:szCs w:val="15"/>
              </w:rPr>
            </w:pPr>
            <w:r w:rsidRPr="00C13F13">
              <w:rPr>
                <w:szCs w:val="15"/>
              </w:rPr>
              <w:t>CAS 2</w:t>
            </w:r>
            <w:r w:rsidR="00C11473">
              <w:rPr>
                <w:szCs w:val="15"/>
              </w:rPr>
              <w:t>0 3200/</w:t>
            </w:r>
            <w:proofErr w:type="gramStart"/>
            <w:r w:rsidR="00C11473">
              <w:rPr>
                <w:szCs w:val="15"/>
              </w:rPr>
              <w:t>400-S2Z</w:t>
            </w:r>
            <w:proofErr w:type="gramEnd"/>
            <w:r w:rsidR="00C11473">
              <w:rPr>
                <w:szCs w:val="15"/>
              </w:rPr>
              <w:t xml:space="preserve"> Mercedes UNIMOG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6FBB7" w14:textId="77777777" w:rsidR="00F1371D" w:rsidRPr="00C13F13" w:rsidRDefault="00F1371D" w:rsidP="00B31C70">
            <w:r w:rsidRPr="00C13F13">
              <w:t>1</w:t>
            </w:r>
          </w:p>
        </w:tc>
      </w:tr>
      <w:tr w:rsidR="00F1371D" w:rsidRPr="00C13F13" w14:paraId="36744E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D7840" w14:textId="77777777" w:rsidR="00F1371D" w:rsidRPr="00C13F13" w:rsidRDefault="00C11473" w:rsidP="00B31C70">
            <w:pPr>
              <w:pStyle w:val="Normlnweb"/>
              <w:tabs>
                <w:tab w:val="left" w:pos="2910"/>
              </w:tabs>
              <w:spacing w:before="0" w:after="0"/>
              <w:rPr>
                <w:szCs w:val="15"/>
              </w:rPr>
            </w:pPr>
            <w:r>
              <w:rPr>
                <w:szCs w:val="15"/>
              </w:rPr>
              <w:t>DA L1Z Ford Tranzit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B05A4" w14:textId="77777777" w:rsidR="00F1371D" w:rsidRPr="00C13F13" w:rsidRDefault="00F1371D" w:rsidP="00B31C70">
            <w:r>
              <w:t>1</w:t>
            </w:r>
          </w:p>
        </w:tc>
      </w:tr>
      <w:tr w:rsidR="00F1371D" w:rsidRPr="00C13F13" w14:paraId="064848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6A3F7" w14:textId="77777777" w:rsidR="00F1371D" w:rsidRPr="00C13F13" w:rsidRDefault="00C11473" w:rsidP="00B31C70">
            <w:pPr>
              <w:pStyle w:val="Normlnweb"/>
              <w:tabs>
                <w:tab w:val="left" w:pos="2910"/>
              </w:tabs>
              <w:spacing w:before="0" w:after="0"/>
              <w:rPr>
                <w:szCs w:val="15"/>
              </w:rPr>
            </w:pPr>
            <w:r>
              <w:rPr>
                <w:szCs w:val="15"/>
              </w:rPr>
              <w:t>Kalové čerpadlo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CF7B9" w14:textId="77777777" w:rsidR="00F1371D" w:rsidRPr="00C13F13" w:rsidRDefault="00F1371D" w:rsidP="00B31C70">
            <w:r w:rsidRPr="00C13F13">
              <w:t>1</w:t>
            </w:r>
          </w:p>
        </w:tc>
      </w:tr>
      <w:tr w:rsidR="00F1371D" w:rsidRPr="00C13F13" w14:paraId="6264F2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23D9B" w14:textId="77777777" w:rsidR="00F1371D" w:rsidRPr="00C13F13" w:rsidRDefault="00C11473" w:rsidP="00B31C70">
            <w:pPr>
              <w:pStyle w:val="Normlnweb"/>
              <w:tabs>
                <w:tab w:val="left" w:pos="2910"/>
              </w:tabs>
              <w:spacing w:before="0" w:after="0"/>
              <w:rPr>
                <w:szCs w:val="15"/>
              </w:rPr>
            </w:pPr>
            <w:r>
              <w:rPr>
                <w:szCs w:val="15"/>
              </w:rPr>
              <w:t>Elektrocentrála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21463" w14:textId="77777777" w:rsidR="00F1371D" w:rsidRPr="00C13F13" w:rsidRDefault="00F1371D" w:rsidP="00B31C70">
            <w:r>
              <w:t>2</w:t>
            </w:r>
          </w:p>
        </w:tc>
      </w:tr>
      <w:tr w:rsidR="00F1371D" w:rsidRPr="00C13F13" w14:paraId="1088DB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49930" w14:textId="77777777" w:rsidR="00F1371D" w:rsidRPr="00C13F13" w:rsidRDefault="00F1371D" w:rsidP="00B31C70">
            <w:pPr>
              <w:pStyle w:val="Normlnweb"/>
              <w:tabs>
                <w:tab w:val="left" w:pos="2910"/>
              </w:tabs>
              <w:spacing w:before="0" w:after="0"/>
              <w:rPr>
                <w:szCs w:val="15"/>
              </w:rPr>
            </w:pPr>
            <w:r w:rsidRPr="00C13F13">
              <w:rPr>
                <w:szCs w:val="15"/>
              </w:rPr>
              <w:t xml:space="preserve">Izolační dýchací přístroj </w:t>
            </w:r>
            <w:r w:rsidR="00C11473">
              <w:rPr>
                <w:szCs w:val="15"/>
              </w:rPr>
              <w:t>PLUTO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5AF09" w14:textId="77777777" w:rsidR="00F1371D" w:rsidRPr="00C13F13" w:rsidRDefault="00C11473" w:rsidP="00B31C70">
            <w:r>
              <w:t>3</w:t>
            </w:r>
          </w:p>
        </w:tc>
      </w:tr>
      <w:tr w:rsidR="00F1371D" w:rsidRPr="00C13F13" w14:paraId="4E04D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4C27" w14:textId="77777777" w:rsidR="00F1371D" w:rsidRPr="00C13F13" w:rsidRDefault="00F1371D" w:rsidP="00B31C70">
            <w:pPr>
              <w:pStyle w:val="Normlnweb"/>
              <w:tabs>
                <w:tab w:val="left" w:pos="2910"/>
              </w:tabs>
              <w:spacing w:before="0" w:after="0"/>
              <w:rPr>
                <w:szCs w:val="15"/>
              </w:rPr>
            </w:pPr>
            <w:r w:rsidRPr="00C13F13">
              <w:rPr>
                <w:szCs w:val="15"/>
              </w:rPr>
              <w:t>Vozidlová radiostanice požární ochrany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6CCD" w14:textId="77777777" w:rsidR="00F1371D" w:rsidRPr="00C13F13" w:rsidRDefault="00F1371D" w:rsidP="00B31C70">
            <w:r>
              <w:t>2</w:t>
            </w:r>
          </w:p>
        </w:tc>
      </w:tr>
      <w:tr w:rsidR="00F1371D" w:rsidRPr="00C13F13" w14:paraId="47A19B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7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B0753" w14:textId="77777777" w:rsidR="00F1371D" w:rsidRPr="00C13F13" w:rsidRDefault="00F1371D" w:rsidP="00B31C70">
            <w:pPr>
              <w:pStyle w:val="Normlnweb"/>
              <w:tabs>
                <w:tab w:val="left" w:pos="2910"/>
              </w:tabs>
              <w:spacing w:before="0" w:after="0"/>
              <w:rPr>
                <w:szCs w:val="15"/>
              </w:rPr>
            </w:pPr>
            <w:r w:rsidRPr="00C13F13">
              <w:rPr>
                <w:szCs w:val="15"/>
              </w:rPr>
              <w:t>Přenosná radiostanice požární ochrany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4C8A1" w14:textId="77777777" w:rsidR="00F1371D" w:rsidRPr="00C13F13" w:rsidRDefault="00F1371D" w:rsidP="00B31C70">
            <w:r>
              <w:t>5</w:t>
            </w:r>
          </w:p>
        </w:tc>
      </w:tr>
    </w:tbl>
    <w:p w14:paraId="1DCF0E59" w14:textId="77777777" w:rsidR="00F1371D" w:rsidRDefault="00F1371D" w:rsidP="00F1371D">
      <w:pPr>
        <w:pStyle w:val="Zkladntext"/>
        <w:rPr>
          <w:bCs/>
        </w:rPr>
      </w:pPr>
    </w:p>
    <w:p w14:paraId="2B66231B" w14:textId="77777777" w:rsidR="00F1371D" w:rsidRPr="00427A24" w:rsidRDefault="00F1371D" w:rsidP="00F1371D">
      <w:pPr>
        <w:rPr>
          <w:bCs/>
        </w:rPr>
      </w:pPr>
    </w:p>
    <w:p w14:paraId="085D942F" w14:textId="77777777" w:rsidR="00B62D73" w:rsidRDefault="00B62D73" w:rsidP="00F1371D">
      <w:pPr>
        <w:pStyle w:val="Hlava"/>
        <w:spacing w:before="0"/>
        <w:jc w:val="left"/>
        <w:rPr>
          <w:b/>
          <w:bCs/>
        </w:rPr>
      </w:pPr>
    </w:p>
    <w:p w14:paraId="090A8C98" w14:textId="77777777" w:rsidR="00B62D73" w:rsidRDefault="00B62D73">
      <w:pPr>
        <w:pStyle w:val="Hlava"/>
        <w:spacing w:before="0"/>
        <w:rPr>
          <w:b/>
          <w:bCs/>
        </w:rPr>
      </w:pPr>
    </w:p>
    <w:p w14:paraId="74C05B90" w14:textId="77777777" w:rsidR="00FB2D51" w:rsidRDefault="00FB2D51" w:rsidP="00FB2D51">
      <w:pPr>
        <w:jc w:val="right"/>
        <w:rPr>
          <w:b/>
        </w:rPr>
      </w:pPr>
    </w:p>
    <w:p w14:paraId="128593EF" w14:textId="77777777" w:rsidR="00FB2D51" w:rsidRPr="00FB2D51" w:rsidRDefault="00FB2D51" w:rsidP="00FB2D51">
      <w:pPr>
        <w:jc w:val="right"/>
        <w:rPr>
          <w:b/>
        </w:rPr>
      </w:pPr>
    </w:p>
    <w:p w14:paraId="2988EB9A" w14:textId="77777777" w:rsidR="00B62D73" w:rsidRDefault="00FB2D51" w:rsidP="00427A24">
      <w:pPr>
        <w:pStyle w:val="Hlava"/>
        <w:spacing w:before="0"/>
        <w:rPr>
          <w:b/>
          <w:bCs/>
          <w:u w:val="single"/>
        </w:rPr>
      </w:pPr>
      <w:r w:rsidRPr="00FB2D51">
        <w:rPr>
          <w:b/>
          <w:bCs/>
          <w:u w:val="single"/>
        </w:rPr>
        <w:lastRenderedPageBreak/>
        <w:t>Vyznačení zdrojů vody pro hašení požárů, čerpacích stanovišť pro požární techniku a vhodného směru příjezdu/příjezdové komunikace</w:t>
      </w:r>
    </w:p>
    <w:p w14:paraId="04C33A22" w14:textId="77777777" w:rsidR="00F87807" w:rsidRDefault="00F87807" w:rsidP="00FB2D51">
      <w:pPr>
        <w:pStyle w:val="Hlava"/>
        <w:spacing w:before="0"/>
        <w:jc w:val="left"/>
        <w:rPr>
          <w:b/>
          <w:bCs/>
          <w:u w:val="single"/>
        </w:rPr>
      </w:pPr>
    </w:p>
    <w:p w14:paraId="5099CCE5" w14:textId="77777777" w:rsidR="00B62D73" w:rsidRDefault="00C51200">
      <w:r>
        <w:t xml:space="preserve"> mapka</w:t>
      </w:r>
    </w:p>
    <w:p w14:paraId="37563CEA" w14:textId="77777777" w:rsidR="00F1371D" w:rsidRDefault="00F1371D"/>
    <w:p w14:paraId="026BC10B" w14:textId="77777777" w:rsidR="00E03B26" w:rsidRDefault="00E03B26"/>
    <w:p w14:paraId="7AD962EA" w14:textId="77777777" w:rsidR="00E03B26" w:rsidRDefault="00E03B26"/>
    <w:p w14:paraId="00B49364" w14:textId="77777777" w:rsidR="00E03B26" w:rsidRDefault="00E03B26"/>
    <w:p w14:paraId="2A87086B" w14:textId="77777777" w:rsidR="00E03B26" w:rsidRDefault="00E03B26"/>
    <w:p w14:paraId="195AC758" w14:textId="77777777" w:rsidR="00E03B26" w:rsidRDefault="00E03B26"/>
    <w:p w14:paraId="4A9E2B1C" w14:textId="77777777" w:rsidR="00E03B26" w:rsidRDefault="00E03B26"/>
    <w:p w14:paraId="30E8B2D8" w14:textId="77777777" w:rsidR="00E03B26" w:rsidRDefault="00E03B26"/>
    <w:p w14:paraId="6A21C635" w14:textId="77777777" w:rsidR="00E03B26" w:rsidRDefault="00E03B26"/>
    <w:p w14:paraId="2CBDD2DF" w14:textId="77777777" w:rsidR="00E03B26" w:rsidRDefault="00E03B26"/>
    <w:p w14:paraId="094F72E8" w14:textId="77777777" w:rsidR="00E03B26" w:rsidRDefault="00E03B26"/>
    <w:p w14:paraId="47F7E31B" w14:textId="77777777" w:rsidR="00E03B26" w:rsidRDefault="00E03B26"/>
    <w:p w14:paraId="0BD05ED3" w14:textId="77777777" w:rsidR="00E03B26" w:rsidRDefault="00E03B26"/>
    <w:p w14:paraId="53D27A3A" w14:textId="77777777" w:rsidR="00E03B26" w:rsidRDefault="00E03B26"/>
    <w:p w14:paraId="4CA7D80A" w14:textId="77777777" w:rsidR="00E03B26" w:rsidRDefault="00E03B26"/>
    <w:p w14:paraId="5E17D0B9" w14:textId="77777777" w:rsidR="00E03B26" w:rsidRDefault="00E03B26"/>
    <w:p w14:paraId="52AF21EC" w14:textId="77777777" w:rsidR="00E03B26" w:rsidRDefault="00E03B26"/>
    <w:p w14:paraId="23B536F9" w14:textId="77777777" w:rsidR="00E03B26" w:rsidRDefault="00E03B26"/>
    <w:p w14:paraId="7A0AB8EF" w14:textId="77777777" w:rsidR="00E03B26" w:rsidRDefault="00E03B26"/>
    <w:p w14:paraId="086597CC" w14:textId="77777777" w:rsidR="00E03B26" w:rsidRDefault="00E03B26"/>
    <w:p w14:paraId="3C7D2109" w14:textId="77777777" w:rsidR="00E03B26" w:rsidRDefault="00E03B26"/>
    <w:p w14:paraId="27692B64" w14:textId="77777777" w:rsidR="00E03B26" w:rsidRDefault="00E03B26"/>
    <w:p w14:paraId="08B25BFF" w14:textId="77777777" w:rsidR="00E03B26" w:rsidRPr="00E03B26" w:rsidRDefault="00E03B26">
      <w:pPr>
        <w:rPr>
          <w:b/>
          <w:sz w:val="40"/>
          <w:szCs w:val="40"/>
        </w:rPr>
      </w:pPr>
    </w:p>
    <w:p w14:paraId="3D7FEFBF" w14:textId="77777777" w:rsidR="00E03B26" w:rsidRDefault="00E03B26"/>
    <w:sectPr w:rsidR="00E03B26" w:rsidSect="00FB2D51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8CC5" w14:textId="77777777" w:rsidR="0028423C" w:rsidRDefault="0028423C">
      <w:r>
        <w:separator/>
      </w:r>
    </w:p>
  </w:endnote>
  <w:endnote w:type="continuationSeparator" w:id="0">
    <w:p w14:paraId="3BAB87A7" w14:textId="77777777" w:rsidR="0028423C" w:rsidRDefault="0028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C8CF" w14:textId="77777777" w:rsidR="0028423C" w:rsidRDefault="0028423C">
      <w:r>
        <w:separator/>
      </w:r>
    </w:p>
  </w:footnote>
  <w:footnote w:type="continuationSeparator" w:id="0">
    <w:p w14:paraId="7C0E4676" w14:textId="77777777" w:rsidR="0028423C" w:rsidRDefault="0028423C">
      <w:r>
        <w:continuationSeparator/>
      </w:r>
    </w:p>
  </w:footnote>
  <w:footnote w:id="1">
    <w:p w14:paraId="7F738EF7" w14:textId="77777777" w:rsidR="00C51200" w:rsidRDefault="00C51200">
      <w:pPr>
        <w:pStyle w:val="Textpoznpodarou"/>
      </w:pPr>
      <w:r>
        <w:rPr>
          <w:rStyle w:val="Znakapoznpodarou"/>
        </w:rPr>
        <w:footnoteRef/>
      </w:r>
      <w:r>
        <w:t xml:space="preserve"> § 7 odst. 1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8B0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8398E"/>
    <w:multiLevelType w:val="hybridMultilevel"/>
    <w:tmpl w:val="06286CEA"/>
    <w:lvl w:ilvl="0" w:tplc="520022B0">
      <w:start w:val="1"/>
      <w:numFmt w:val="decimal"/>
      <w:lvlText w:val="(%1)"/>
      <w:lvlJc w:val="left"/>
      <w:pPr>
        <w:ind w:left="8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8304901"/>
    <w:multiLevelType w:val="hybridMultilevel"/>
    <w:tmpl w:val="55BED86A"/>
    <w:lvl w:ilvl="0" w:tplc="9FD665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94006"/>
    <w:multiLevelType w:val="hybridMultilevel"/>
    <w:tmpl w:val="21508650"/>
    <w:lvl w:ilvl="0" w:tplc="2794D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61EF"/>
    <w:multiLevelType w:val="hybridMultilevel"/>
    <w:tmpl w:val="35BA8FD8"/>
    <w:lvl w:ilvl="0" w:tplc="057257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F52E4"/>
    <w:multiLevelType w:val="hybridMultilevel"/>
    <w:tmpl w:val="06286CEA"/>
    <w:lvl w:ilvl="0" w:tplc="520022B0">
      <w:start w:val="1"/>
      <w:numFmt w:val="decimal"/>
      <w:lvlText w:val="(%1)"/>
      <w:lvlJc w:val="left"/>
      <w:pPr>
        <w:ind w:left="8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86936AD"/>
    <w:multiLevelType w:val="hybridMultilevel"/>
    <w:tmpl w:val="14D8E200"/>
    <w:lvl w:ilvl="0" w:tplc="09460D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D4EEA"/>
    <w:multiLevelType w:val="hybridMultilevel"/>
    <w:tmpl w:val="B56C69E6"/>
    <w:lvl w:ilvl="0" w:tplc="27EAC1B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C2A4F"/>
    <w:multiLevelType w:val="hybridMultilevel"/>
    <w:tmpl w:val="06286CEA"/>
    <w:lvl w:ilvl="0" w:tplc="520022B0">
      <w:start w:val="1"/>
      <w:numFmt w:val="decimal"/>
      <w:lvlText w:val="(%1)"/>
      <w:lvlJc w:val="left"/>
      <w:pPr>
        <w:ind w:left="8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548B2413"/>
    <w:multiLevelType w:val="hybridMultilevel"/>
    <w:tmpl w:val="8D765572"/>
    <w:lvl w:ilvl="0" w:tplc="3C8A0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E285E"/>
    <w:multiLevelType w:val="hybridMultilevel"/>
    <w:tmpl w:val="38C66DCC"/>
    <w:lvl w:ilvl="0" w:tplc="BE6EF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00C29"/>
    <w:multiLevelType w:val="hybridMultilevel"/>
    <w:tmpl w:val="958490AE"/>
    <w:lvl w:ilvl="0" w:tplc="29506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E1A05"/>
    <w:multiLevelType w:val="hybridMultilevel"/>
    <w:tmpl w:val="A5FC269C"/>
    <w:lvl w:ilvl="0" w:tplc="FB5EC6A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B8C2329"/>
    <w:multiLevelType w:val="hybridMultilevel"/>
    <w:tmpl w:val="7286EF2C"/>
    <w:lvl w:ilvl="0" w:tplc="A40CF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739"/>
    <w:multiLevelType w:val="hybridMultilevel"/>
    <w:tmpl w:val="BFA83318"/>
    <w:lvl w:ilvl="0" w:tplc="C55A8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99511">
    <w:abstractNumId w:val="0"/>
  </w:num>
  <w:num w:numId="2" w16cid:durableId="1462646646">
    <w:abstractNumId w:val="7"/>
  </w:num>
  <w:num w:numId="3" w16cid:durableId="15664534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800238">
    <w:abstractNumId w:val="9"/>
  </w:num>
  <w:num w:numId="5" w16cid:durableId="177282319">
    <w:abstractNumId w:val="8"/>
  </w:num>
  <w:num w:numId="6" w16cid:durableId="302731779">
    <w:abstractNumId w:val="4"/>
  </w:num>
  <w:num w:numId="7" w16cid:durableId="1922911780">
    <w:abstractNumId w:val="2"/>
  </w:num>
  <w:num w:numId="8" w16cid:durableId="2053537536">
    <w:abstractNumId w:val="14"/>
  </w:num>
  <w:num w:numId="9" w16cid:durableId="1984852634">
    <w:abstractNumId w:val="6"/>
  </w:num>
  <w:num w:numId="10" w16cid:durableId="1552305018">
    <w:abstractNumId w:val="11"/>
  </w:num>
  <w:num w:numId="11" w16cid:durableId="1016805390">
    <w:abstractNumId w:val="12"/>
  </w:num>
  <w:num w:numId="12" w16cid:durableId="1125270917">
    <w:abstractNumId w:val="10"/>
  </w:num>
  <w:num w:numId="13" w16cid:durableId="979185989">
    <w:abstractNumId w:val="3"/>
  </w:num>
  <w:num w:numId="14" w16cid:durableId="1825271295">
    <w:abstractNumId w:val="1"/>
  </w:num>
  <w:num w:numId="15" w16cid:durableId="595485884">
    <w:abstractNumId w:val="5"/>
  </w:num>
  <w:num w:numId="16" w16cid:durableId="1416854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3"/>
    <w:rsid w:val="0001153E"/>
    <w:rsid w:val="00013504"/>
    <w:rsid w:val="00063675"/>
    <w:rsid w:val="00065EAC"/>
    <w:rsid w:val="000958C7"/>
    <w:rsid w:val="000D1075"/>
    <w:rsid w:val="000E786F"/>
    <w:rsid w:val="0014169B"/>
    <w:rsid w:val="001853B4"/>
    <w:rsid w:val="001A1F83"/>
    <w:rsid w:val="001A22A2"/>
    <w:rsid w:val="001C13CA"/>
    <w:rsid w:val="001D67C1"/>
    <w:rsid w:val="00261A05"/>
    <w:rsid w:val="0028423C"/>
    <w:rsid w:val="002912C6"/>
    <w:rsid w:val="002B60C2"/>
    <w:rsid w:val="003130B1"/>
    <w:rsid w:val="00330B52"/>
    <w:rsid w:val="00347A31"/>
    <w:rsid w:val="00396D84"/>
    <w:rsid w:val="003C4061"/>
    <w:rsid w:val="003C6BAF"/>
    <w:rsid w:val="00427A24"/>
    <w:rsid w:val="0043644D"/>
    <w:rsid w:val="00444F09"/>
    <w:rsid w:val="00461922"/>
    <w:rsid w:val="004B291F"/>
    <w:rsid w:val="004C5874"/>
    <w:rsid w:val="004D3738"/>
    <w:rsid w:val="004E2DC6"/>
    <w:rsid w:val="00511013"/>
    <w:rsid w:val="00543956"/>
    <w:rsid w:val="005805D7"/>
    <w:rsid w:val="0059722F"/>
    <w:rsid w:val="00621B71"/>
    <w:rsid w:val="0064013E"/>
    <w:rsid w:val="006450A6"/>
    <w:rsid w:val="0065097C"/>
    <w:rsid w:val="0068600D"/>
    <w:rsid w:val="006C153C"/>
    <w:rsid w:val="006D013D"/>
    <w:rsid w:val="006D5B91"/>
    <w:rsid w:val="006E6F2B"/>
    <w:rsid w:val="00707324"/>
    <w:rsid w:val="0073003C"/>
    <w:rsid w:val="00750FF8"/>
    <w:rsid w:val="00787A13"/>
    <w:rsid w:val="007A4751"/>
    <w:rsid w:val="00817671"/>
    <w:rsid w:val="00854A65"/>
    <w:rsid w:val="00872D19"/>
    <w:rsid w:val="008A5003"/>
    <w:rsid w:val="008D1F31"/>
    <w:rsid w:val="008E2719"/>
    <w:rsid w:val="008F38D5"/>
    <w:rsid w:val="00935A15"/>
    <w:rsid w:val="00935E10"/>
    <w:rsid w:val="00936486"/>
    <w:rsid w:val="00961F61"/>
    <w:rsid w:val="00965C40"/>
    <w:rsid w:val="00967000"/>
    <w:rsid w:val="00991442"/>
    <w:rsid w:val="009A4539"/>
    <w:rsid w:val="009F7D02"/>
    <w:rsid w:val="00A20E31"/>
    <w:rsid w:val="00AB1AE0"/>
    <w:rsid w:val="00AB5233"/>
    <w:rsid w:val="00AD2030"/>
    <w:rsid w:val="00AF59A1"/>
    <w:rsid w:val="00B04C72"/>
    <w:rsid w:val="00B31C70"/>
    <w:rsid w:val="00B42F2B"/>
    <w:rsid w:val="00B62D73"/>
    <w:rsid w:val="00B75962"/>
    <w:rsid w:val="00B868EC"/>
    <w:rsid w:val="00BA171D"/>
    <w:rsid w:val="00BB40F0"/>
    <w:rsid w:val="00BC6DF9"/>
    <w:rsid w:val="00BE7E4C"/>
    <w:rsid w:val="00BF0B06"/>
    <w:rsid w:val="00C073CA"/>
    <w:rsid w:val="00C11473"/>
    <w:rsid w:val="00C51200"/>
    <w:rsid w:val="00C63A4D"/>
    <w:rsid w:val="00C6403F"/>
    <w:rsid w:val="00C7617C"/>
    <w:rsid w:val="00C824D7"/>
    <w:rsid w:val="00CA25BE"/>
    <w:rsid w:val="00CA63B8"/>
    <w:rsid w:val="00CD6FEE"/>
    <w:rsid w:val="00CF0B6D"/>
    <w:rsid w:val="00D351AB"/>
    <w:rsid w:val="00D36E48"/>
    <w:rsid w:val="00DC37A2"/>
    <w:rsid w:val="00DD4148"/>
    <w:rsid w:val="00E03B26"/>
    <w:rsid w:val="00E112C7"/>
    <w:rsid w:val="00E53E2A"/>
    <w:rsid w:val="00EA42D8"/>
    <w:rsid w:val="00ED158A"/>
    <w:rsid w:val="00EF15E4"/>
    <w:rsid w:val="00F0553A"/>
    <w:rsid w:val="00F06338"/>
    <w:rsid w:val="00F1371D"/>
    <w:rsid w:val="00F147B5"/>
    <w:rsid w:val="00F22483"/>
    <w:rsid w:val="00F3551B"/>
    <w:rsid w:val="00F64C03"/>
    <w:rsid w:val="00F665C0"/>
    <w:rsid w:val="00F679F4"/>
    <w:rsid w:val="00F7686F"/>
    <w:rsid w:val="00F87807"/>
    <w:rsid w:val="00FB10B2"/>
    <w:rsid w:val="00FB2D51"/>
    <w:rsid w:val="00FE7592"/>
    <w:rsid w:val="00FF365E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90DC"/>
  <w15:chartTrackingRefBased/>
  <w15:docId w15:val="{8CA09F9B-1002-4438-BBD4-DD26CB3B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22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  <w:ind w:firstLine="500"/>
      <w:jc w:val="both"/>
    </w:pPr>
    <w:rPr>
      <w:color w:val="000000"/>
    </w:rPr>
  </w:style>
  <w:style w:type="character" w:styleId="Hypertextovodkaz">
    <w:name w:val="Hyperlink"/>
    <w:rPr>
      <w:color w:val="3366FF"/>
      <w:u w:val="singl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nzevzkona">
    <w:name w:val="název zákona"/>
    <w:basedOn w:val="Nzev"/>
    <w:pPr>
      <w:autoSpaceDE w:val="0"/>
      <w:autoSpaceDN w:val="0"/>
      <w:spacing w:before="120"/>
    </w:pPr>
    <w:rPr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Textpoznpodarou">
    <w:name w:val="footnote text"/>
    <w:basedOn w:val="Normln"/>
    <w:semiHidden/>
    <w:rsid w:val="00FB2D51"/>
    <w:rPr>
      <w:sz w:val="20"/>
      <w:szCs w:val="20"/>
    </w:rPr>
  </w:style>
  <w:style w:type="character" w:styleId="Znakapoznpodarou">
    <w:name w:val="footnote reference"/>
    <w:semiHidden/>
    <w:rsid w:val="00FB2D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D013D"/>
    <w:pPr>
      <w:ind w:left="708"/>
    </w:pPr>
  </w:style>
  <w:style w:type="paragraph" w:customStyle="1" w:styleId="Normln1">
    <w:name w:val="Normální1"/>
    <w:basedOn w:val="Normln"/>
    <w:rsid w:val="00BB40F0"/>
    <w:pPr>
      <w:widowControl w:val="0"/>
      <w:suppressAutoHyphens/>
    </w:pPr>
    <w:rPr>
      <w:szCs w:val="20"/>
      <w:lang w:eastAsia="ar-SA"/>
    </w:rPr>
  </w:style>
  <w:style w:type="table" w:styleId="Mkatabulky">
    <w:name w:val="Table Grid"/>
    <w:basedOn w:val="Normlntabulka"/>
    <w:rsid w:val="0075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F2248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obce, kterou se vydává Požární řád obce</vt:lpstr>
    </vt:vector>
  </TitlesOfParts>
  <Company>MV ČR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obce, kterou se vydává Požární řád obce</dc:title>
  <dc:subject/>
  <dc:creator>Standard</dc:creator>
  <cp:keywords/>
  <cp:lastModifiedBy>Wolková</cp:lastModifiedBy>
  <cp:revision>2</cp:revision>
  <cp:lastPrinted>2025-07-11T06:54:00Z</cp:lastPrinted>
  <dcterms:created xsi:type="dcterms:W3CDTF">2025-07-11T06:54:00Z</dcterms:created>
  <dcterms:modified xsi:type="dcterms:W3CDTF">2025-07-11T06:54:00Z</dcterms:modified>
</cp:coreProperties>
</file>