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3544" w:leader="none"/>
        </w:tabs>
        <w:jc w:val="center"/>
        <w:rPr>
          <w:rFonts w:ascii="Arial" w:hAnsi="Arial" w:cs="Arial"/>
          <w:b/>
          <w:bCs/>
        </w:rPr>
      </w:pPr>
      <w:r>
        <w:rPr>
          <w:rFonts w:cs="Arial" w:ascii="Arial" w:hAnsi="Arial"/>
          <w:b/>
          <w:bCs/>
        </w:rPr>
        <w:t>OBEC STARÉ BŘÍŠTĚ</w:t>
      </w:r>
    </w:p>
    <w:p>
      <w:pPr>
        <w:pStyle w:val="Normal"/>
        <w:spacing w:lineRule="auto" w:line="276"/>
        <w:jc w:val="center"/>
        <w:rPr>
          <w:rFonts w:ascii="Arial" w:hAnsi="Arial" w:cs="Arial"/>
          <w:b/>
        </w:rPr>
      </w:pPr>
      <w:r>
        <w:rPr>
          <w:rFonts w:cs="Arial" w:ascii="Arial" w:hAnsi="Arial"/>
          <w:b/>
          <w:bCs/>
        </w:rPr>
        <w:t>Zastupitelstvo obce Staré Bříště</w:t>
      </w:r>
    </w:p>
    <w:p>
      <w:pPr>
        <w:pStyle w:val="Normal"/>
        <w:spacing w:lineRule="auto" w:line="276"/>
        <w:jc w:val="center"/>
        <w:rPr>
          <w:rFonts w:ascii="Arial" w:hAnsi="Arial" w:cs="Arial"/>
          <w:b/>
        </w:rPr>
      </w:pPr>
      <w:r>
        <w:rPr>
          <w:rFonts w:cs="Arial" w:ascii="Arial" w:hAnsi="Arial"/>
          <w:b/>
        </w:rPr>
        <w:t>Obecně závazná vyhláška obce Staré Bříště</w:t>
      </w:r>
    </w:p>
    <w:p>
      <w:pPr>
        <w:pStyle w:val="NormlnIMP"/>
        <w:spacing w:lineRule="auto" w:line="240"/>
        <w:jc w:val="center"/>
        <w:rPr>
          <w:rFonts w:ascii="Arial" w:hAnsi="Arial" w:cs="Arial"/>
          <w:b/>
          <w:color w:val="000000"/>
          <w:sz w:val="22"/>
          <w:szCs w:val="22"/>
        </w:rPr>
      </w:pPr>
      <w:r>
        <w:rPr>
          <w:rFonts w:cs="Arial" w:ascii="Arial" w:hAnsi="Arial"/>
          <w:b/>
          <w:color w:val="000000"/>
          <w:sz w:val="22"/>
          <w:szCs w:val="22"/>
        </w:rPr>
      </w:r>
    </w:p>
    <w:p>
      <w:pPr>
        <w:pStyle w:val="Normal"/>
        <w:spacing w:before="0" w:after="120"/>
        <w:jc w:val="center"/>
        <w:rPr>
          <w:rFonts w:ascii="Arial" w:hAnsi="Arial" w:cs="Arial"/>
          <w:b/>
        </w:rPr>
      </w:pPr>
      <w:r>
        <w:rPr>
          <w:rFonts w:cs="Arial" w:ascii="Arial" w:hAnsi="Arial"/>
          <w:b/>
        </w:rPr>
        <w:t>o nočním klidu</w:t>
      </w:r>
    </w:p>
    <w:p>
      <w:pPr>
        <w:pStyle w:val="Normal"/>
        <w:rPr>
          <w:rFonts w:ascii="Arial" w:hAnsi="Arial" w:cs="Arial"/>
          <w:b/>
          <w:sz w:val="22"/>
          <w:szCs w:val="22"/>
          <w:u w:val="single"/>
        </w:rPr>
      </w:pPr>
      <w:r>
        <w:rPr>
          <w:rFonts w:cs="Arial" w:ascii="Arial" w:hAnsi="Arial"/>
          <w:b/>
          <w:sz w:val="22"/>
          <w:szCs w:val="22"/>
          <w:u w:val="single"/>
        </w:rPr>
      </w:r>
    </w:p>
    <w:p>
      <w:pPr>
        <w:pStyle w:val="Normal"/>
        <w:spacing w:before="0" w:after="120"/>
        <w:jc w:val="both"/>
        <w:rPr>
          <w:rFonts w:ascii="Arial" w:hAnsi="Arial" w:cs="Arial"/>
          <w:sz w:val="22"/>
          <w:szCs w:val="22"/>
        </w:rPr>
      </w:pPr>
      <w:r>
        <w:rPr>
          <w:rFonts w:cs="Arial" w:ascii="Arial" w:hAnsi="Arial"/>
          <w:sz w:val="22"/>
          <w:szCs w:val="22"/>
        </w:rPr>
        <w:t>Zastupitelstvo obce Staré Bříště se na svém zasedání dne 28.12.2023 usnesením č. 3 usneslo vydat 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w:t>
      </w:r>
    </w:p>
    <w:p>
      <w:pPr>
        <w:pStyle w:val="Normal"/>
        <w:jc w:val="center"/>
        <w:rPr>
          <w:rFonts w:ascii="Arial" w:hAnsi="Arial" w:cs="Arial"/>
          <w:b/>
          <w:sz w:val="22"/>
          <w:szCs w:val="22"/>
        </w:rPr>
      </w:pPr>
      <w:r>
        <w:rPr>
          <w:rFonts w:cs="Arial" w:ascii="Arial" w:hAnsi="Arial"/>
          <w:b/>
          <w:sz w:val="22"/>
          <w:szCs w:val="22"/>
        </w:rPr>
      </w:r>
    </w:p>
    <w:p>
      <w:pPr>
        <w:pStyle w:val="Normal"/>
        <w:jc w:val="center"/>
        <w:rPr>
          <w:rFonts w:ascii="Arial" w:hAnsi="Arial" w:cs="Arial"/>
          <w:b/>
          <w:sz w:val="22"/>
          <w:szCs w:val="22"/>
        </w:rPr>
      </w:pPr>
      <w:r>
        <w:rPr>
          <w:rFonts w:cs="Arial" w:ascii="Arial" w:hAnsi="Arial"/>
          <w:b/>
          <w:sz w:val="22"/>
          <w:szCs w:val="22"/>
        </w:rPr>
        <w:t>Čl. 1</w:t>
      </w:r>
    </w:p>
    <w:p>
      <w:pPr>
        <w:pStyle w:val="Normal"/>
        <w:jc w:val="center"/>
        <w:rPr>
          <w:rFonts w:ascii="Arial" w:hAnsi="Arial" w:cs="Arial"/>
          <w:b/>
          <w:sz w:val="22"/>
          <w:szCs w:val="22"/>
        </w:rPr>
      </w:pPr>
      <w:r>
        <w:rPr>
          <w:rFonts w:cs="Arial" w:ascii="Arial" w:hAnsi="Arial"/>
          <w:b/>
          <w:sz w:val="22"/>
          <w:szCs w:val="22"/>
        </w:rPr>
        <w:t xml:space="preserve">Předmět </w:t>
      </w:r>
    </w:p>
    <w:p>
      <w:pPr>
        <w:pStyle w:val="Normal"/>
        <w:spacing w:before="0" w:after="120"/>
        <w:jc w:val="both"/>
        <w:rPr>
          <w:rFonts w:ascii="Arial" w:hAnsi="Arial" w:cs="Arial"/>
          <w:sz w:val="22"/>
          <w:szCs w:val="22"/>
        </w:rPr>
      </w:pPr>
      <w:r>
        <w:rPr>
          <w:rFonts w:cs="Arial" w:ascii="Arial" w:hAnsi="Arial"/>
          <w:sz w:val="22"/>
          <w:szCs w:val="22"/>
        </w:rPr>
        <w:t>Předmětem této obecně závazné vyhlášky je stanovení výjimečných případů, při nichž nemusí být doba nočního klidu dodržována.</w:t>
      </w:r>
    </w:p>
    <w:p>
      <w:pPr>
        <w:pStyle w:val="Normal"/>
        <w:widowControl w:val="false"/>
        <w:jc w:val="both"/>
        <w:rPr>
          <w:rFonts w:ascii="Arial" w:hAnsi="Arial" w:cs="Arial"/>
          <w:i/>
          <w:i/>
          <w:sz w:val="20"/>
          <w:szCs w:val="20"/>
        </w:rPr>
      </w:pPr>
      <w:r>
        <w:rPr>
          <w:rFonts w:cs="Arial" w:ascii="Arial" w:hAnsi="Arial"/>
          <w:i/>
          <w:sz w:val="20"/>
          <w:szCs w:val="20"/>
        </w:rPr>
      </w:r>
    </w:p>
    <w:p>
      <w:pPr>
        <w:pStyle w:val="Normal"/>
        <w:jc w:val="center"/>
        <w:rPr>
          <w:rFonts w:ascii="Arial" w:hAnsi="Arial" w:cs="Arial"/>
          <w:b/>
          <w:sz w:val="22"/>
          <w:szCs w:val="22"/>
        </w:rPr>
      </w:pPr>
      <w:r>
        <w:rPr>
          <w:rFonts w:cs="Arial" w:ascii="Arial" w:hAnsi="Arial"/>
          <w:b/>
          <w:sz w:val="22"/>
          <w:szCs w:val="22"/>
        </w:rPr>
        <w:t>Čl. 2</w:t>
      </w:r>
    </w:p>
    <w:p>
      <w:pPr>
        <w:pStyle w:val="Normal"/>
        <w:jc w:val="center"/>
        <w:rPr>
          <w:rFonts w:ascii="Arial" w:hAnsi="Arial" w:cs="Arial"/>
          <w:b/>
          <w:sz w:val="22"/>
          <w:szCs w:val="22"/>
        </w:rPr>
      </w:pPr>
      <w:r>
        <w:rPr>
          <w:rFonts w:cs="Arial" w:ascii="Arial" w:hAnsi="Arial"/>
          <w:b/>
          <w:sz w:val="22"/>
          <w:szCs w:val="22"/>
        </w:rPr>
        <w:t>Doba nočního klidu</w:t>
      </w:r>
    </w:p>
    <w:p>
      <w:pPr>
        <w:pStyle w:val="Normal"/>
        <w:spacing w:before="0" w:after="120"/>
        <w:jc w:val="both"/>
        <w:rPr>
          <w:rFonts w:ascii="Arial" w:hAnsi="Arial" w:cs="Arial"/>
          <w:sz w:val="22"/>
          <w:szCs w:val="22"/>
        </w:rPr>
      </w:pPr>
      <w:r>
        <w:rPr>
          <w:rFonts w:cs="Arial" w:ascii="Arial" w:hAnsi="Arial"/>
          <w:sz w:val="22"/>
          <w:szCs w:val="22"/>
        </w:rPr>
        <w:t>Dobou nočního klidu se rozumí doba od dvacáté druhé do šesté hodiny.</w:t>
      </w:r>
      <w:r>
        <w:rPr>
          <w:rStyle w:val="FootnoteReference"/>
          <w:rFonts w:cs="Arial" w:ascii="Arial" w:hAnsi="Arial"/>
          <w:sz w:val="22"/>
          <w:szCs w:val="22"/>
        </w:rPr>
        <w:footnoteReference w:id="2"/>
      </w:r>
    </w:p>
    <w:p>
      <w:pPr>
        <w:pStyle w:val="Normal"/>
        <w:jc w:val="center"/>
        <w:rPr>
          <w:rFonts w:ascii="Arial" w:hAnsi="Arial" w:cs="Arial"/>
          <w:b/>
          <w:sz w:val="22"/>
          <w:szCs w:val="22"/>
        </w:rPr>
      </w:pPr>
      <w:r>
        <w:rPr>
          <w:rFonts w:cs="Arial" w:ascii="Arial" w:hAnsi="Arial"/>
          <w:b/>
          <w:sz w:val="22"/>
          <w:szCs w:val="22"/>
        </w:rPr>
      </w:r>
    </w:p>
    <w:p>
      <w:pPr>
        <w:pStyle w:val="Normal"/>
        <w:jc w:val="center"/>
        <w:rPr>
          <w:rFonts w:ascii="Arial" w:hAnsi="Arial" w:cs="Arial"/>
          <w:b/>
          <w:sz w:val="22"/>
          <w:szCs w:val="22"/>
        </w:rPr>
      </w:pPr>
      <w:r>
        <w:rPr>
          <w:rFonts w:cs="Arial" w:ascii="Arial" w:hAnsi="Arial"/>
          <w:b/>
          <w:sz w:val="22"/>
          <w:szCs w:val="22"/>
        </w:rPr>
        <w:t>Čl. 3</w:t>
      </w:r>
    </w:p>
    <w:p>
      <w:pPr>
        <w:pStyle w:val="Normal"/>
        <w:jc w:val="center"/>
        <w:rPr>
          <w:rFonts w:ascii="Arial" w:hAnsi="Arial" w:cs="Arial"/>
          <w:b/>
          <w:sz w:val="22"/>
          <w:szCs w:val="22"/>
        </w:rPr>
      </w:pPr>
      <w:r>
        <w:rPr>
          <w:rFonts w:cs="Arial" w:ascii="Arial" w:hAnsi="Arial"/>
          <w:b/>
          <w:sz w:val="22"/>
          <w:szCs w:val="22"/>
        </w:rPr>
        <w:t>Stanovení výjimečných případů, při nichž nemusí být doba nočního klidu dodržována</w:t>
      </w:r>
    </w:p>
    <w:p>
      <w:pPr>
        <w:pStyle w:val="Normal"/>
        <w:tabs>
          <w:tab w:val="clear" w:pos="708"/>
          <w:tab w:val="left" w:pos="284" w:leader="none"/>
        </w:tabs>
        <w:spacing w:before="0" w:after="120"/>
        <w:rPr>
          <w:rFonts w:ascii="Arial" w:hAnsi="Arial" w:cs="Arial"/>
          <w:sz w:val="22"/>
          <w:szCs w:val="22"/>
        </w:rPr>
      </w:pPr>
      <w:r>
        <w:rPr>
          <w:rFonts w:cs="Arial" w:ascii="Arial" w:hAnsi="Arial"/>
          <w:sz w:val="22"/>
          <w:szCs w:val="22"/>
        </w:rPr>
      </w:r>
    </w:p>
    <w:p>
      <w:pPr>
        <w:pStyle w:val="Normal"/>
        <w:tabs>
          <w:tab w:val="clear" w:pos="708"/>
          <w:tab w:val="left" w:pos="284" w:leader="none"/>
        </w:tabs>
        <w:spacing w:before="0" w:after="120"/>
        <w:rPr>
          <w:rFonts w:ascii="Arial" w:hAnsi="Arial" w:cs="Arial"/>
          <w:sz w:val="22"/>
          <w:szCs w:val="22"/>
        </w:rPr>
      </w:pPr>
      <w:r>
        <w:rPr>
          <w:rFonts w:cs="Arial" w:ascii="Arial" w:hAnsi="Arial"/>
          <w:sz w:val="22"/>
          <w:szCs w:val="22"/>
        </w:rPr>
        <w:t>1) Doba nočního klidu nemusí být dodržována:</w:t>
      </w:r>
    </w:p>
    <w:p>
      <w:pPr>
        <w:pStyle w:val="Normal"/>
        <w:tabs>
          <w:tab w:val="clear" w:pos="708"/>
          <w:tab w:val="left" w:pos="284" w:leader="none"/>
        </w:tabs>
        <w:spacing w:before="0" w:after="120"/>
        <w:rPr>
          <w:rFonts w:ascii="Arial" w:hAnsi="Arial" w:cs="Arial"/>
          <w:sz w:val="22"/>
          <w:szCs w:val="22"/>
        </w:rPr>
      </w:pPr>
      <w:r>
        <w:rPr>
          <w:rFonts w:cs="Arial" w:ascii="Arial" w:hAnsi="Arial"/>
          <w:sz w:val="22"/>
          <w:szCs w:val="22"/>
        </w:rPr>
        <w:t>a) v noci z 31. prosince na 1. ledna z důvodu konání oslav příchodu nového roku</w:t>
      </w:r>
    </w:p>
    <w:p>
      <w:pPr>
        <w:pStyle w:val="Normal"/>
        <w:tabs>
          <w:tab w:val="clear" w:pos="708"/>
          <w:tab w:val="left" w:pos="284" w:leader="none"/>
        </w:tabs>
        <w:spacing w:before="0" w:after="120"/>
        <w:jc w:val="both"/>
        <w:rPr>
          <w:rFonts w:ascii="Arial" w:hAnsi="Arial" w:cs="Arial"/>
          <w:sz w:val="22"/>
          <w:szCs w:val="22"/>
        </w:rPr>
      </w:pPr>
      <w:r>
        <w:rPr>
          <w:rFonts w:cs="Arial" w:ascii="Arial" w:hAnsi="Arial"/>
          <w:sz w:val="22"/>
          <w:szCs w:val="22"/>
        </w:rPr>
        <w:t>b) v noci ze dne konání tradiční akce Letní parket na den následující konané druhý červnový víkend z pátku na sobotu</w:t>
      </w:r>
    </w:p>
    <w:p>
      <w:pPr>
        <w:pStyle w:val="Normal"/>
        <w:tabs>
          <w:tab w:val="clear" w:pos="708"/>
          <w:tab w:val="left" w:pos="284" w:leader="none"/>
        </w:tabs>
        <w:spacing w:before="0" w:after="120"/>
        <w:jc w:val="both"/>
        <w:rPr>
          <w:rFonts w:ascii="Arial" w:hAnsi="Arial" w:cs="Arial"/>
          <w:sz w:val="22"/>
          <w:szCs w:val="22"/>
        </w:rPr>
      </w:pPr>
      <w:r>
        <w:rPr>
          <w:rFonts w:cs="Arial" w:ascii="Arial" w:hAnsi="Arial"/>
          <w:sz w:val="22"/>
          <w:szCs w:val="22"/>
        </w:rPr>
        <w:t>e) v noci ze dne konání tradiční akce Starobříšťská zabijačka na den následující konané třetí lednový víkend v noci z pátku na sobotu</w:t>
      </w:r>
    </w:p>
    <w:p>
      <w:pPr>
        <w:pStyle w:val="Normal"/>
        <w:jc w:val="center"/>
        <w:rPr>
          <w:rFonts w:ascii="Arial" w:hAnsi="Arial" w:cs="Arial"/>
          <w:b/>
          <w:sz w:val="22"/>
          <w:szCs w:val="22"/>
        </w:rPr>
      </w:pPr>
      <w:r>
        <w:rPr>
          <w:rFonts w:cs="Arial" w:ascii="Arial" w:hAnsi="Arial"/>
          <w:b/>
          <w:sz w:val="22"/>
          <w:szCs w:val="22"/>
        </w:rPr>
        <w:t>Čl. 4</w:t>
      </w:r>
    </w:p>
    <w:p>
      <w:pPr>
        <w:pStyle w:val="Normal"/>
        <w:jc w:val="center"/>
        <w:rPr>
          <w:rFonts w:ascii="Arial" w:hAnsi="Arial" w:cs="Arial"/>
          <w:b/>
          <w:sz w:val="22"/>
          <w:szCs w:val="22"/>
        </w:rPr>
      </w:pPr>
      <w:r>
        <w:rPr>
          <w:rFonts w:cs="Arial" w:ascii="Arial" w:hAnsi="Arial"/>
          <w:b/>
          <w:sz w:val="22"/>
          <w:szCs w:val="22"/>
        </w:rPr>
        <w:t>Zrušovací ustanovení</w:t>
      </w:r>
    </w:p>
    <w:p>
      <w:pPr>
        <w:pStyle w:val="Normal"/>
        <w:spacing w:lineRule="auto" w:line="288" w:before="120" w:after="0"/>
        <w:jc w:val="both"/>
        <w:rPr>
          <w:rFonts w:ascii="Arial" w:hAnsi="Arial" w:cs="Arial"/>
        </w:rPr>
      </w:pPr>
      <w:bookmarkStart w:id="0" w:name="_Hlk54595723"/>
      <w:r>
        <w:rPr>
          <w:rFonts w:cs="Arial" w:ascii="Arial" w:hAnsi="Arial"/>
          <w:sz w:val="22"/>
          <w:szCs w:val="22"/>
        </w:rPr>
        <w:t xml:space="preserve">Zrušuje se obecně závazná vyhláška </w:t>
      </w:r>
      <w:bookmarkEnd w:id="0"/>
      <w:r>
        <w:rPr>
          <w:rFonts w:cs="Arial" w:ascii="Arial" w:hAnsi="Arial"/>
          <w:sz w:val="22"/>
          <w:szCs w:val="22"/>
        </w:rPr>
        <w:t>č. 1/2016, ze dne 28.12.2016.</w:t>
      </w:r>
    </w:p>
    <w:p>
      <w:pPr>
        <w:pStyle w:val="Normal"/>
        <w:tabs>
          <w:tab w:val="clear" w:pos="708"/>
          <w:tab w:val="left" w:pos="284" w:leader="none"/>
        </w:tabs>
        <w:spacing w:before="0" w:after="120"/>
        <w:rPr>
          <w:rFonts w:ascii="Arial" w:hAnsi="Arial" w:cs="Arial"/>
          <w:i/>
          <w:i/>
          <w:color w:val="FF0000"/>
          <w:sz w:val="22"/>
          <w:szCs w:val="22"/>
        </w:rPr>
      </w:pPr>
      <w:r>
        <w:rPr>
          <w:rFonts w:cs="Arial" w:ascii="Arial" w:hAnsi="Arial"/>
          <w:i/>
          <w:color w:val="FF0000"/>
          <w:sz w:val="22"/>
          <w:szCs w:val="22"/>
        </w:rPr>
      </w:r>
    </w:p>
    <w:p>
      <w:pPr>
        <w:pStyle w:val="Normal"/>
        <w:jc w:val="center"/>
        <w:rPr>
          <w:rFonts w:ascii="Arial" w:hAnsi="Arial" w:cs="Arial"/>
          <w:b/>
          <w:sz w:val="22"/>
          <w:szCs w:val="22"/>
        </w:rPr>
      </w:pPr>
      <w:r>
        <w:rPr>
          <w:rFonts w:cs="Arial" w:ascii="Arial" w:hAnsi="Arial"/>
          <w:b/>
          <w:sz w:val="22"/>
          <w:szCs w:val="22"/>
        </w:rPr>
        <w:t>Čl. 5</w:t>
      </w:r>
    </w:p>
    <w:p>
      <w:pPr>
        <w:pStyle w:val="Normal"/>
        <w:jc w:val="center"/>
        <w:rPr>
          <w:rFonts w:ascii="Arial" w:hAnsi="Arial" w:cs="Arial"/>
          <w:b/>
          <w:sz w:val="22"/>
          <w:szCs w:val="22"/>
        </w:rPr>
      </w:pPr>
      <w:r>
        <w:rPr>
          <w:rFonts w:cs="Arial" w:ascii="Arial" w:hAnsi="Arial"/>
          <w:b/>
          <w:sz w:val="22"/>
          <w:szCs w:val="22"/>
        </w:rPr>
        <w:t>Účinnost</w:t>
      </w:r>
    </w:p>
    <w:p>
      <w:pPr>
        <w:pStyle w:val="Normal"/>
        <w:jc w:val="both"/>
        <w:rPr>
          <w:rFonts w:ascii="Arial" w:hAnsi="Arial" w:cs="Arial"/>
          <w:sz w:val="22"/>
          <w:szCs w:val="22"/>
        </w:rPr>
      </w:pPr>
      <w:r>
        <w:rPr>
          <w:rFonts w:cs="Arial" w:ascii="Arial" w:hAnsi="Arial"/>
          <w:sz w:val="22"/>
          <w:szCs w:val="22"/>
        </w:rPr>
        <w:t>Tato obecně závazná vyhláška nabývá účinnosti počátkem patnáctého dne následujícího po dni jejího vyhlášení.</w:t>
      </w:r>
    </w:p>
    <w:p>
      <w:pPr>
        <w:pStyle w:val="Normal"/>
        <w:spacing w:before="0" w:after="120"/>
        <w:rPr>
          <w:rFonts w:ascii="Arial" w:hAnsi="Arial" w:cs="Arial"/>
          <w:sz w:val="22"/>
          <w:szCs w:val="22"/>
        </w:rPr>
      </w:pPr>
      <w:r>
        <w:rPr>
          <w:rFonts w:cs="Arial" w:ascii="Arial" w:hAnsi="Arial"/>
          <w:sz w:val="22"/>
          <w:szCs w:val="22"/>
        </w:rPr>
      </w:r>
    </w:p>
    <w:p>
      <w:pPr>
        <w:pStyle w:val="Normal"/>
        <w:spacing w:before="0" w:after="120"/>
        <w:rPr>
          <w:rFonts w:ascii="Arial" w:hAnsi="Arial" w:cs="Arial"/>
          <w:i/>
          <w:i/>
          <w:sz w:val="22"/>
          <w:szCs w:val="22"/>
        </w:rPr>
      </w:pPr>
      <w:r>
        <w:rPr>
          <w:rFonts w:cs="Arial" w:ascii="Arial" w:hAnsi="Arial"/>
          <w:sz w:val="22"/>
          <w:szCs w:val="22"/>
        </w:rPr>
        <w:t xml:space="preserve">      </w:t>
      </w:r>
      <w:r>
        <w:rPr>
          <w:rFonts w:cs="Arial" w:ascii="Arial" w:hAnsi="Arial"/>
          <w:i/>
          <w:sz w:val="22"/>
          <w:szCs w:val="22"/>
        </w:rPr>
        <w:tab/>
        <w:tab/>
        <w:tab/>
        <w:tab/>
        <w:tab/>
        <w:tab/>
        <w:tab/>
        <w:tab/>
      </w:r>
    </w:p>
    <w:p>
      <w:pPr>
        <w:pStyle w:val="Normal"/>
        <w:spacing w:before="0" w:after="120"/>
        <w:rPr>
          <w:rFonts w:ascii="Arial" w:hAnsi="Arial" w:cs="Arial"/>
          <w:sz w:val="22"/>
          <w:szCs w:val="22"/>
        </w:rPr>
      </w:pPr>
      <w:r>
        <w:rPr>
          <w:rFonts w:cs="Arial" w:ascii="Arial" w:hAnsi="Arial"/>
          <w:sz w:val="22"/>
          <w:szCs w:val="22"/>
        </w:rPr>
        <w:t>.............................</w:t>
        <w:tab/>
        <w:tab/>
        <w:tab/>
        <w:tab/>
        <w:tab/>
        <w:tab/>
        <w:t>...................................</w:t>
      </w:r>
    </w:p>
    <w:p>
      <w:pPr>
        <w:pStyle w:val="Normal"/>
        <w:spacing w:before="0" w:after="120"/>
        <w:rPr>
          <w:rFonts w:ascii="Arial" w:hAnsi="Arial" w:cs="Arial"/>
          <w:sz w:val="22"/>
          <w:szCs w:val="22"/>
        </w:rPr>
      </w:pPr>
      <w:r>
        <w:rPr>
          <w:rFonts w:cs="Arial" w:ascii="Arial" w:hAnsi="Arial"/>
          <w:sz w:val="22"/>
          <w:szCs w:val="22"/>
        </w:rPr>
        <w:t xml:space="preserve">  </w:t>
      </w:r>
      <w:r>
        <w:rPr>
          <w:rFonts w:cs="Arial" w:ascii="Arial" w:hAnsi="Arial"/>
          <w:sz w:val="22"/>
          <w:szCs w:val="22"/>
        </w:rPr>
        <w:t>Robert Vacata</w:t>
      </w:r>
      <w:r>
        <w:rPr>
          <w:rFonts w:cs="Arial" w:ascii="Arial" w:hAnsi="Arial"/>
          <w:sz w:val="22"/>
          <w:szCs w:val="22"/>
        </w:rPr>
        <w:tab/>
        <w:tab/>
        <w:tab/>
        <w:tab/>
        <w:tab/>
        <w:tab/>
        <w:t xml:space="preserve">      </w:t>
      </w:r>
      <w:r>
        <w:rPr>
          <w:rFonts w:cs="Arial" w:ascii="Arial" w:hAnsi="Arial"/>
          <w:sz w:val="22"/>
          <w:szCs w:val="22"/>
        </w:rPr>
        <w:t>Václav Honzl</w:t>
      </w:r>
    </w:p>
    <w:p>
      <w:pPr>
        <w:pStyle w:val="Normal"/>
        <w:spacing w:before="0" w:after="120"/>
        <w:rPr>
          <w:rFonts w:ascii="Arial" w:hAnsi="Arial" w:cs="Arial"/>
          <w:sz w:val="22"/>
          <w:szCs w:val="22"/>
        </w:rPr>
      </w:pPr>
      <w:r>
        <w:rPr>
          <w:rFonts w:cs="Arial" w:ascii="Arial" w:hAnsi="Arial"/>
          <w:sz w:val="22"/>
          <w:szCs w:val="22"/>
        </w:rPr>
        <w:t xml:space="preserve">   </w:t>
      </w:r>
      <w:r>
        <w:rPr>
          <w:rFonts w:cs="Arial" w:ascii="Arial" w:hAnsi="Arial"/>
          <w:sz w:val="22"/>
          <w:szCs w:val="22"/>
        </w:rPr>
        <w:t>místostarosta</w:t>
        <w:tab/>
        <w:tab/>
        <w:tab/>
        <w:tab/>
        <w:tab/>
        <w:tab/>
        <w:tab/>
        <w:t>starosta</w:t>
      </w:r>
    </w:p>
    <w:p>
      <w:pPr>
        <w:pStyle w:val="Normal"/>
        <w:rPr>
          <w:b/>
        </w:rPr>
      </w:pPr>
      <w:r>
        <w:rPr>
          <w:b/>
        </w:rPr>
        <w:t>_________________________________________________________________________</w:t>
      </w:r>
    </w:p>
    <w:p>
      <w:pPr>
        <w:pStyle w:val="Normal"/>
        <w:tabs>
          <w:tab w:val="clear" w:pos="708"/>
          <w:tab w:val="left" w:pos="284" w:leader="none"/>
        </w:tabs>
        <w:jc w:val="both"/>
        <w:rPr>
          <w:rFonts w:ascii="Arial" w:hAnsi="Arial" w:cs="Arial"/>
          <w:b/>
          <w:color w:val="FF0000"/>
          <w:sz w:val="22"/>
          <w:szCs w:val="22"/>
          <w:u w:val="single"/>
        </w:rPr>
      </w:pPr>
      <w:r>
        <w:rPr>
          <w:rFonts w:cs="Arial" w:ascii="Arial" w:hAnsi="Arial"/>
          <w:b/>
          <w:color w:val="FF0000"/>
          <w:sz w:val="22"/>
          <w:szCs w:val="22"/>
          <w:u w:val="single"/>
        </w:rPr>
      </w:r>
    </w:p>
    <w:p>
      <w:pPr>
        <w:pStyle w:val="Normal"/>
        <w:tabs>
          <w:tab w:val="clear" w:pos="708"/>
          <w:tab w:val="left" w:pos="3780" w:leader="none"/>
        </w:tabs>
        <w:jc w:val="both"/>
        <w:rPr>
          <w:rFonts w:ascii="Arial" w:hAnsi="Arial" w:cs="Arial"/>
          <w:i/>
          <w:i/>
          <w:color w:val="0070C0"/>
          <w:sz w:val="20"/>
          <w:szCs w:val="20"/>
        </w:rPr>
      </w:pPr>
      <w:bookmarkStart w:id="1" w:name="_GoBack"/>
      <w:bookmarkEnd w:id="1"/>
      <w:r>
        <w:rPr>
          <w:rFonts w:cs="Arial" w:ascii="Arial" w:hAnsi="Arial"/>
          <w:i/>
          <w:color w:val="0070C0"/>
          <w:sz w:val="20"/>
          <w:szCs w:val="20"/>
          <w:u w:val="single"/>
        </w:rPr>
        <w:t>Pozn. pro obec</w:t>
      </w:r>
      <w:r>
        <w:rPr>
          <w:rFonts w:cs="Arial" w:ascii="Arial" w:hAnsi="Arial"/>
          <w:i/>
          <w:color w:val="0070C0"/>
          <w:sz w:val="20"/>
          <w:szCs w:val="20"/>
        </w:rPr>
        <w:t xml:space="preserve">: Do Sbírky právních předpisů územních samosprávných celků a některých správních úřadů se vkládá elektronická verze vyhlášky, kdy je místo podpisu za jménem a příjmením uvedena doložka v. r. </w:t>
      </w:r>
    </w:p>
    <w:p>
      <w:pPr>
        <w:pStyle w:val="Normal"/>
        <w:tabs>
          <w:tab w:val="clear" w:pos="708"/>
          <w:tab w:val="left" w:pos="3780" w:leader="none"/>
        </w:tabs>
        <w:jc w:val="both"/>
        <w:rPr>
          <w:rFonts w:ascii="Arial" w:hAnsi="Arial" w:cs="Arial"/>
          <w:i/>
          <w:i/>
          <w:color w:val="0070C0"/>
          <w:sz w:val="20"/>
          <w:szCs w:val="20"/>
        </w:rPr>
      </w:pPr>
      <w:r>
        <w:rPr>
          <w:rFonts w:cs="Arial" w:ascii="Arial" w:hAnsi="Arial"/>
          <w:i/>
          <w:color w:val="0070C0"/>
          <w:sz w:val="20"/>
          <w:szCs w:val="20"/>
        </w:rPr>
      </w:r>
    </w:p>
    <w:p>
      <w:pPr>
        <w:pStyle w:val="Normal"/>
        <w:tabs>
          <w:tab w:val="clear" w:pos="708"/>
          <w:tab w:val="left" w:pos="3780" w:leader="none"/>
        </w:tabs>
        <w:jc w:val="both"/>
        <w:rPr>
          <w:rFonts w:ascii="Arial" w:hAnsi="Arial" w:cs="Arial"/>
          <w:sz w:val="22"/>
          <w:szCs w:val="22"/>
        </w:rPr>
      </w:pPr>
      <w:r>
        <w:rPr>
          <w:rFonts w:cs="Arial" w:ascii="Arial" w:hAnsi="Arial"/>
          <w:i/>
          <w:color w:val="0070C0"/>
          <w:sz w:val="20"/>
          <w:szCs w:val="20"/>
          <w:u w:val="single"/>
        </w:rPr>
        <w:t>Upozornění</w:t>
      </w:r>
      <w:r>
        <w:rPr>
          <w:rFonts w:cs="Arial" w:ascii="Arial" w:hAnsi="Arial"/>
          <w:i/>
          <w:color w:val="0070C0"/>
          <w:sz w:val="20"/>
          <w:szCs w:val="20"/>
        </w:rPr>
        <w:t>: Obec má ve smyslu § 3 odst. 2 zákona č. 35/2021 Sb., o Sbírce právních předpisů územních samosprávných celků a některých správních úřadů, povinnost po obdržení vyrozumění ze strany Ministerstva vnitra zveřejnit na své úřední desce po dobu alespoň 15 dnů oznámení o vyhlášení vyhlášky ve Sbírce právních předpisů územních samosprávných celků a některých správních úřadů.</w:t>
      </w:r>
    </w:p>
    <w:sectPr>
      <w:footnotePr>
        <w:numFmt w:val="decimal"/>
      </w:footnotePr>
      <w:type w:val="nextPage"/>
      <w:pgSz w:w="11906" w:h="16838"/>
      <w:pgMar w:left="1417" w:right="1417" w:gutter="0" w:header="0" w:top="709" w:footer="0" w:bottom="99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roman"/>
    <w:pitch w:val="variable"/>
  </w:font>
  <w:font w:name="Tahoma">
    <w:charset w:val="00"/>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rFonts w:ascii="Arial" w:hAnsi="Arial" w:cs="Arial"/>
          <w:i/>
          <w:i/>
        </w:rPr>
      </w:pPr>
      <w:r>
        <w:rPr>
          <w:rStyle w:val="Znakypropoznmkupodarou"/>
        </w:rPr>
        <w:footnoteRef/>
      </w:r>
      <w:r>
        <w:rPr/>
        <w:t xml:space="preserve"> </w:t>
      </w:r>
      <w:r>
        <w:rPr>
          <w:rFonts w:cs="Arial" w:ascii="Arial" w:hAnsi="Arial"/>
        </w:rPr>
        <w:t xml:space="preserve">dle ustanovení § 5 odst. 7 zákona č. 251/2016 Sb., o některých přestupcích, ve znění pozdějších předpisů, platí, že: </w:t>
      </w:r>
      <w:r>
        <w:rPr>
          <w:rFonts w:cs="Arial" w:ascii="Arial" w:hAnsi="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pPr>
        <w:pStyle w:val="FootnoteText"/>
        <w:jc w:val="both"/>
        <w:rPr/>
      </w:pPr>
      <w:r>
        <w:rPr/>
      </w:r>
    </w:p>
  </w:footnote>
</w:footnotes>
</file>

<file path=word/settings.xml><?xml version="1.0" encoding="utf-8"?>
<w:settings xmlns:w="http://schemas.openxmlformats.org/wordprocessingml/2006/main">
  <w:zoom w:percent="120"/>
  <w:embedSystemFonts/>
  <w:defaultTabStop w:val="708"/>
  <w:autoHyphenation w:val="true"/>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s-CZ" w:eastAsia="cs-CZ"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cs-CZ" w:eastAsia="cs-CZ" w:bidi="ar-SA"/>
    </w:rPr>
  </w:style>
  <w:style w:type="paragraph" w:styleId="Heading2">
    <w:name w:val="Heading 2"/>
    <w:basedOn w:val="Normal"/>
    <w:next w:val="Normal"/>
    <w:qFormat/>
    <w:pPr>
      <w:keepNext w:val="true"/>
      <w:jc w:val="both"/>
      <w:outlineLvl w:val="1"/>
    </w:pPr>
    <w:rPr>
      <w:szCs w:val="20"/>
      <w:u w:val="single"/>
    </w:rPr>
  </w:style>
  <w:style w:type="character" w:styleId="DefaultParagraphFont" w:default="1">
    <w:name w:val="Default Paragraph Font"/>
    <w:uiPriority w:val="1"/>
    <w:semiHidden/>
    <w:unhideWhenUsed/>
    <w:qFormat/>
    <w:rPr/>
  </w:style>
  <w:style w:type="character" w:styleId="Znakypropoznmkupodarou">
    <w:name w:val="Znaky pro poznámku pod čarou"/>
    <w:uiPriority w:val="99"/>
    <w:semiHidden/>
    <w:qFormat/>
    <w:rPr>
      <w:vertAlign w:val="superscript"/>
    </w:rPr>
  </w:style>
  <w:style w:type="character" w:styleId="FootnoteReference">
    <w:name w:val="Footnote Reference"/>
    <w:rPr>
      <w:vertAlign w:val="superscript"/>
    </w:rPr>
  </w:style>
  <w:style w:type="character" w:styleId="Annotationreference">
    <w:name w:val="annotation reference"/>
    <w:semiHidden/>
    <w:qFormat/>
    <w:rPr>
      <w:sz w:val="16"/>
      <w:szCs w:val="16"/>
    </w:rPr>
  </w:style>
  <w:style w:type="character" w:styleId="ZkladntextChar" w:customStyle="1">
    <w:name w:val="Základní text Char"/>
    <w:qFormat/>
    <w:rsid w:val="008928e7"/>
    <w:rPr>
      <w:sz w:val="24"/>
    </w:rPr>
  </w:style>
  <w:style w:type="character" w:styleId="TextpoznpodarouChar" w:customStyle="1">
    <w:name w:val="Text pozn. pod čarou Char"/>
    <w:uiPriority w:val="99"/>
    <w:qFormat/>
    <w:rsid w:val="005545d7"/>
    <w:rPr/>
  </w:style>
  <w:style w:type="character" w:styleId="TextChar" w:customStyle="1">
    <w:name w:val="Text Char"/>
    <w:link w:val="Text"/>
    <w:qFormat/>
    <w:locked/>
    <w:rsid w:val="00191966"/>
    <w:rPr>
      <w:rFonts w:ascii="Arial" w:hAnsi="Arial" w:cs="Arial"/>
      <w:sz w:val="24"/>
      <w:szCs w:val="24"/>
    </w:rPr>
  </w:style>
  <w:style w:type="character" w:styleId="Znakyprovysvtlivky">
    <w:name w:val="Znaky pro vysvětlivky"/>
    <w:qFormat/>
    <w:rPr>
      <w:vertAlign w:val="superscript"/>
    </w:rPr>
  </w:style>
  <w:style w:type="character" w:styleId="EndnoteReference">
    <w:name w:val="Endnote Reference"/>
    <w:rPr>
      <w:vertAlign w:val="superscript"/>
    </w:rPr>
  </w:style>
  <w:style w:type="paragraph" w:styleId="Nadpis">
    <w:name w:val="Nadpis"/>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ZkladntextChar"/>
    <w:pPr>
      <w:spacing w:before="0" w:after="120"/>
    </w:pPr>
    <w:rPr>
      <w:szCs w:val="20"/>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BodyTextIndent">
    <w:name w:val="Body Text Indent"/>
    <w:basedOn w:val="Normal"/>
    <w:pPr>
      <w:ind w:firstLine="357" w:left="708"/>
      <w:jc w:val="both"/>
    </w:pPr>
    <w:rPr>
      <w:szCs w:val="20"/>
    </w:rPr>
  </w:style>
  <w:style w:type="paragraph" w:styleId="BodyTextIndent2">
    <w:name w:val="Body Text Indent 2"/>
    <w:basedOn w:val="Normal"/>
    <w:qFormat/>
    <w:pPr>
      <w:ind w:firstLine="360" w:left="708"/>
      <w:jc w:val="both"/>
    </w:pPr>
    <w:rPr>
      <w:bCs/>
      <w:szCs w:val="20"/>
    </w:rPr>
  </w:style>
  <w:style w:type="paragraph" w:styleId="Zhlavazpat">
    <w:name w:val="Záhlaví a zápatí"/>
    <w:basedOn w:val="Normal"/>
    <w:qFormat/>
    <w:pPr/>
    <w:rPr/>
  </w:style>
  <w:style w:type="paragraph" w:styleId="Header">
    <w:name w:val="Header"/>
    <w:basedOn w:val="Normal"/>
    <w:pPr>
      <w:tabs>
        <w:tab w:val="clear" w:pos="708"/>
        <w:tab w:val="center" w:pos="4536" w:leader="none"/>
        <w:tab w:val="right" w:pos="9072" w:leader="none"/>
      </w:tabs>
    </w:pPr>
    <w:rPr>
      <w:szCs w:val="20"/>
    </w:rPr>
  </w:style>
  <w:style w:type="paragraph" w:styleId="FootnoteText">
    <w:name w:val="Footnote Text"/>
    <w:basedOn w:val="Normal"/>
    <w:link w:val="TextpoznpodarouChar"/>
    <w:uiPriority w:val="99"/>
    <w:pPr/>
    <w:rPr>
      <w:sz w:val="20"/>
      <w:szCs w:val="20"/>
    </w:rPr>
  </w:style>
  <w:style w:type="paragraph" w:styleId="NormlnIMP" w:customStyle="1">
    <w:name w:val="Normální_IMP"/>
    <w:basedOn w:val="Normal"/>
    <w:qFormat/>
    <w:pPr>
      <w:suppressAutoHyphens w:val="true"/>
      <w:overflowPunct w:val="true"/>
      <w:spacing w:lineRule="auto" w:line="228"/>
      <w:jc w:val="both"/>
      <w:textAlignment w:val="baseline"/>
    </w:pPr>
    <w:rPr>
      <w:szCs w:val="20"/>
    </w:rPr>
  </w:style>
  <w:style w:type="paragraph" w:styleId="Annotationtext">
    <w:name w:val="annotation text"/>
    <w:basedOn w:val="Normal"/>
    <w:semiHidden/>
    <w:qFormat/>
    <w:pPr/>
    <w:rPr>
      <w:sz w:val="20"/>
      <w:szCs w:val="20"/>
    </w:rPr>
  </w:style>
  <w:style w:type="paragraph" w:styleId="BodyTextIndent3">
    <w:name w:val="Body Text Indent 3"/>
    <w:basedOn w:val="Normal"/>
    <w:qFormat/>
    <w:pPr>
      <w:widowControl w:val="false"/>
      <w:tabs>
        <w:tab w:val="clear" w:pos="708"/>
        <w:tab w:val="left" w:pos="540" w:leader="none"/>
      </w:tabs>
      <w:ind w:hanging="540" w:left="540"/>
      <w:jc w:val="both"/>
    </w:pPr>
    <w:rPr>
      <w:bCs/>
    </w:rPr>
  </w:style>
  <w:style w:type="paragraph" w:styleId="BalloonText">
    <w:name w:val="Balloon Text"/>
    <w:basedOn w:val="Normal"/>
    <w:semiHidden/>
    <w:qFormat/>
    <w:pPr/>
    <w:rPr>
      <w:rFonts w:ascii="Tahoma" w:hAnsi="Tahoma" w:cs="Tahoma"/>
      <w:sz w:val="16"/>
      <w:szCs w:val="16"/>
    </w:rPr>
  </w:style>
  <w:style w:type="paragraph" w:styleId="ListParagraph">
    <w:name w:val="List Paragraph"/>
    <w:basedOn w:val="Normal"/>
    <w:uiPriority w:val="34"/>
    <w:qFormat/>
    <w:rsid w:val="005545d7"/>
    <w:pPr>
      <w:spacing w:before="0" w:after="0"/>
      <w:ind w:left="720"/>
      <w:contextualSpacing/>
    </w:pPr>
    <w:rPr/>
  </w:style>
  <w:style w:type="paragraph" w:styleId="Text" w:customStyle="1">
    <w:name w:val="Text"/>
    <w:basedOn w:val="Normal"/>
    <w:link w:val="TextChar"/>
    <w:qFormat/>
    <w:rsid w:val="00191966"/>
    <w:pPr/>
    <w:rPr>
      <w:rFonts w:ascii="Arial" w:hAnsi="Arial" w:cs="Arial"/>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14A81-6DBF-4C0D-96A5-46FD28DCF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Application>LibreOffice/7.6.7.2$Windows_X86_64 LibreOffice_project/dd47e4b30cb7dab30588d6c79c651f218165e3c5</Application>
  <AppVersion>15.0000</AppVersion>
  <Pages>2</Pages>
  <Words>391</Words>
  <Characters>2227</Characters>
  <CharactersWithSpaces>2632</CharactersWithSpaces>
  <Paragraphs>31</Paragraphs>
  <Company>MV ČR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2022-11-14T12:37:00Z</dcterms:created>
  <dc:creator>DA210036</dc:creator>
  <dc:description/>
  <dc:language>cs-CZ</dc:language>
  <cp:lastModifiedBy/>
  <cp:lastPrinted>2007-03-05T10:30:00Z</cp:lastPrinted>
  <dcterms:modified xsi:type="dcterms:W3CDTF">2024-08-05T16:47:45Z</dcterms:modified>
  <cp:revision>8</cp:revision>
  <dc:subject/>
  <dc:title>Vzor obecně závazné vyhlášky obce o stanovení systému shromažďování, sběru, přepravy, třídění, využívání a odstraňování komuná</dc:title>
</cp:coreProperties>
</file>

<file path=docProps/custom.xml><?xml version="1.0" encoding="utf-8"?>
<Properties xmlns="http://schemas.openxmlformats.org/officeDocument/2006/custom-properties" xmlns:vt="http://schemas.openxmlformats.org/officeDocument/2006/docPropsVTypes"/>
</file>