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bookmarkStart w:id="0" w:name="_GoBack"/>
      <w:bookmarkEnd w:id="0"/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Nařízení Města Kutná Hora č. 1/2009,</w:t>
      </w: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o ochraně hnízdní populace rorýse obecného při rekonstrukcích budov</w:t>
      </w: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Rada města Kutná Hora vydává na základě § 5 odst. </w:t>
      </w:r>
      <w:smartTag w:uri="urn:schemas-microsoft-com:office:smarttags" w:element="metricconverter">
        <w:smartTagPr>
          <w:attr w:name="ProductID" w:val="1 a"/>
          <w:attr w:name="tabIndex" w:val="0"/>
          <w:attr w:name="style" w:val="BACKGROUND-IMAGE: url(res://ietag.dll/#34/#1001); BACKGROUND-REPEAT: repeat-x; BACKGROUND-POSITION: left bottom"/>
        </w:smartTagPr>
        <w:r>
          <w:rPr>
            <w:rFonts w:ascii="Verdana" w:hAnsi="Verdana" w:cs="TimesNewRomanPSMT"/>
            <w:color w:val="231F20"/>
            <w:sz w:val="20"/>
            <w:szCs w:val="20"/>
          </w:rPr>
          <w:t>1 a</w:t>
        </w:r>
      </w:smartTag>
      <w:r>
        <w:rPr>
          <w:rFonts w:ascii="Verdana" w:hAnsi="Verdana" w:cs="TimesNewRomanPSMT"/>
          <w:color w:val="231F20"/>
          <w:sz w:val="20"/>
          <w:szCs w:val="20"/>
        </w:rPr>
        <w:t xml:space="preserve"> podle § 77 odst. 1 zákona č. 114/1992 </w:t>
      </w:r>
      <w:proofErr w:type="gramStart"/>
      <w:r>
        <w:rPr>
          <w:rFonts w:ascii="Verdana" w:hAnsi="Verdana" w:cs="TimesNewRomanPSMT"/>
          <w:color w:val="231F20"/>
          <w:sz w:val="20"/>
          <w:szCs w:val="20"/>
        </w:rPr>
        <w:t>Sb.,o ochraně</w:t>
      </w:r>
      <w:proofErr w:type="gramEnd"/>
      <w:r>
        <w:rPr>
          <w:rFonts w:ascii="Verdana" w:hAnsi="Verdana" w:cs="TimesNewRomanPSMT"/>
          <w:color w:val="231F20"/>
          <w:sz w:val="20"/>
          <w:szCs w:val="20"/>
        </w:rPr>
        <w:t xml:space="preserve"> přírody a krajiny, ve znění pozdějších předpisů (dále „ZOPK“), a v souladu s § </w:t>
      </w:r>
      <w:smartTag w:uri="urn:schemas-microsoft-com:office:smarttags" w:element="metricconverter">
        <w:smartTagPr>
          <w:attr w:name="ProductID" w:val="11 a"/>
          <w:attr w:name="tabIndex" w:val="0"/>
          <w:attr w:name="style" w:val="BACKGROUND-IMAGE: url(res://ietag.dll/#34/#1001); BACKGROUND-REPEAT: repeat-x; BACKGROUND-POSITION: left bottom"/>
        </w:smartTagPr>
        <w:r>
          <w:rPr>
            <w:rFonts w:ascii="Verdana" w:hAnsi="Verdana" w:cs="TimesNewRomanPSMT"/>
            <w:color w:val="231F20"/>
            <w:sz w:val="20"/>
            <w:szCs w:val="20"/>
          </w:rPr>
          <w:t>11 a</w:t>
        </w:r>
      </w:smartTag>
      <w:r>
        <w:rPr>
          <w:rFonts w:ascii="Verdana" w:hAnsi="Verdana" w:cs="TimesNewRomanPSMT"/>
          <w:color w:val="231F20"/>
          <w:sz w:val="20"/>
          <w:szCs w:val="20"/>
        </w:rPr>
        <w:t xml:space="preserve">  § 102 odst. 2 písm. d) zákona č. 128/2000 Sb., o obcích (obecní zřízení), ve znění pozdějších předpisů, toto nařízení:</w:t>
      </w:r>
    </w:p>
    <w:p w:rsidR="008C1E66" w:rsidRDefault="008C1E66" w:rsidP="008C1E66">
      <w:pPr>
        <w:adjustRightInd w:val="0"/>
        <w:jc w:val="both"/>
        <w:rPr>
          <w:rFonts w:ascii="Verdana" w:hAnsi="Verdana" w:cs="TimesNewRomanPS-BoldMT"/>
          <w:b/>
          <w:bCs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Čl. 1</w:t>
      </w: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Základní ustanovení</w:t>
      </w:r>
    </w:p>
    <w:p w:rsidR="008C1E66" w:rsidRDefault="008C1E66" w:rsidP="008C1E66">
      <w:pPr>
        <w:adjustRightInd w:val="0"/>
        <w:jc w:val="center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>(1) Účelem tohoto nařízení je zajistit adekvátní ochranu hnízdní populace zvláště chráněného druhu živočicha – rorýse obecného při rekonstrukcích budov ve správním obvodu obce s rozšířenou působností Kutná Hora.</w:t>
      </w:r>
      <w:r>
        <w:rPr>
          <w:rFonts w:ascii="Verdana" w:hAnsi="Verdana" w:cs="TimesNewRomanPS-ItalicMT"/>
          <w:i/>
          <w:iCs/>
          <w:color w:val="231F20"/>
          <w:sz w:val="20"/>
          <w:szCs w:val="20"/>
        </w:rPr>
        <w:t xml:space="preserve"> </w:t>
      </w:r>
      <w:r>
        <w:rPr>
          <w:rFonts w:ascii="Verdana" w:hAnsi="Verdana" w:cs="TimesNewRomanPSMT"/>
          <w:color w:val="231F20"/>
          <w:sz w:val="20"/>
          <w:szCs w:val="20"/>
        </w:rPr>
        <w:t>Nařízení upravuje práva a povinnosti při provádění rekonstrukcí budov se zachovalými ventilačními průduchy v podstřeší nebo ve střešních konstrukcích budov, které bývají často uzavírány a rorýsům obecným je tak znemožněno úspěšné hnízdění na jejich tradičních hnízdištích. Rekonstrukce budov lze tedy považovat za soubor činností, které vedou nebo by mohly vést k ohrožení tohoto druhu na bytí nebo k jeho degeneraci, narušení rozmnožovacích schopností druhu či zániku populace druhu ve smyslu § 5 odst. 1 ZOPK.</w:t>
      </w: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>(2) Pro účely tohoto nařízení se rozumí:</w:t>
      </w: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a) </w:t>
      </w: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 xml:space="preserve">rekonstrukcí budovy </w:t>
      </w:r>
      <w:r>
        <w:rPr>
          <w:rFonts w:ascii="Verdana" w:hAnsi="Verdana" w:cs="TimesNewRomanPSMT"/>
          <w:color w:val="231F20"/>
          <w:sz w:val="20"/>
          <w:szCs w:val="20"/>
        </w:rPr>
        <w:t>celkové opravy a úpravy budovy, např. zateplování, nová omítka, nebo dílčí opravy a úpravy budovy spojené s uzavíráním ventilačních průduchů a navazujících dutin v podstřeší nebo ve střešních konstrukcích;</w:t>
      </w: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b) </w:t>
      </w: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 xml:space="preserve">atikou </w:t>
      </w:r>
      <w:r>
        <w:rPr>
          <w:rFonts w:ascii="Verdana" w:hAnsi="Verdana" w:cs="TimesNewRomanPSMT"/>
          <w:color w:val="231F20"/>
          <w:sz w:val="20"/>
          <w:szCs w:val="20"/>
        </w:rPr>
        <w:t>část budovy v úrovni střešní konstrukce, ve které jsou umístěny ventilační průduchy – prostor mezi horní hranou oken v posledním nadzemním podlaží budovy a pláštěm střechy/svrchním okrajem budovy.</w:t>
      </w: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Čl. 2</w:t>
      </w: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Působnost nařízení</w:t>
      </w: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(1) Nařízení ze vztahuje pouze na rekonstrukce budov ze </w:t>
      </w:r>
      <w:proofErr w:type="gramStart"/>
      <w:r>
        <w:rPr>
          <w:rFonts w:ascii="Verdana" w:hAnsi="Verdana" w:cs="TimesNewRomanPSMT"/>
          <w:color w:val="231F20"/>
          <w:sz w:val="20"/>
          <w:szCs w:val="20"/>
        </w:rPr>
        <w:t>zachovalými</w:t>
      </w:r>
      <w:proofErr w:type="gramEnd"/>
      <w:r>
        <w:rPr>
          <w:rFonts w:ascii="Verdana" w:hAnsi="Verdana" w:cs="TimesNewRomanPSMT"/>
          <w:color w:val="231F20"/>
          <w:sz w:val="20"/>
          <w:szCs w:val="20"/>
        </w:rPr>
        <w:t xml:space="preserve"> ventilačními průduchy v atikách, zejména obytných panelových a cihlových domů, ale i budov sloužících k jiným účelům (dále jen „budovy“). Nařízení se nevztahuje na rekonstrukce rodinných domů.</w:t>
      </w:r>
    </w:p>
    <w:p w:rsidR="008C1E66" w:rsidRDefault="008C1E66" w:rsidP="008C1E66">
      <w:pPr>
        <w:adjustRightInd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Čl. 3</w:t>
      </w: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Postup fyzických a právnických osob při rekonstrukcích budov</w:t>
      </w: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>(1) Rekonstrukce budov mohou být realizovány pouze při dodržení těchto podmínek:</w:t>
      </w: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a) všechny ventilační průduchy v atikách budov zůstanou zachovány a v plném rozsahu zůstane zachován i průchod do navazujících odvětrávaných prostor (dutin). Rozměr ventilačních průduchů musí být zachován nebo, je-li upravován, pak musí mít průduchy rozměry nejméně </w:t>
      </w:r>
      <w:smartTag w:uri="urn:schemas-microsoft-com:office:smarttags" w:element="metricconverter">
        <w:smartTagPr>
          <w:attr w:name="ProductID" w:val="4 cm"/>
          <w:attr w:name="tabIndex" w:val="0"/>
          <w:attr w:name="style" w:val="BACKGROUND-IMAGE: url(res://ietag.dll/#34/#1001); BACKGROUND-REPEAT: repeat-x; BACKGROUND-POSITION: left bottom"/>
        </w:smartTagPr>
        <w:r>
          <w:rPr>
            <w:rFonts w:ascii="Verdana" w:hAnsi="Verdana" w:cs="TimesNewRomanPSMT"/>
            <w:color w:val="231F20"/>
            <w:sz w:val="20"/>
            <w:szCs w:val="20"/>
          </w:rPr>
          <w:t>4 cm</w:t>
        </w:r>
      </w:smartTag>
      <w:r>
        <w:rPr>
          <w:rFonts w:ascii="Verdana" w:hAnsi="Verdana" w:cs="TimesNewRomanPSMT"/>
          <w:color w:val="231F20"/>
          <w:sz w:val="20"/>
          <w:szCs w:val="20"/>
        </w:rPr>
        <w:t xml:space="preserve"> na výšku a </w:t>
      </w:r>
      <w:smartTag w:uri="urn:schemas-microsoft-com:office:smarttags" w:element="metricconverter">
        <w:smartTagPr>
          <w:attr w:name="ProductID" w:val="7 cm"/>
          <w:attr w:name="tabIndex" w:val="0"/>
          <w:attr w:name="style" w:val="BACKGROUND-IMAGE: url(res://ietag.dll/#34/#1001); BACKGROUND-REPEAT: repeat-x; BACKGROUND-POSITION: left bottom"/>
        </w:smartTagPr>
        <w:r>
          <w:rPr>
            <w:rFonts w:ascii="Verdana" w:hAnsi="Verdana" w:cs="TimesNewRomanPSMT"/>
            <w:color w:val="231F20"/>
            <w:sz w:val="20"/>
            <w:szCs w:val="20"/>
          </w:rPr>
          <w:t>7 cm</w:t>
        </w:r>
      </w:smartTag>
      <w:r>
        <w:rPr>
          <w:rFonts w:ascii="Verdana" w:hAnsi="Verdana" w:cs="TimesNewRomanPSMT"/>
          <w:color w:val="231F20"/>
          <w:sz w:val="20"/>
          <w:szCs w:val="20"/>
        </w:rPr>
        <w:t xml:space="preserve"> na šířku;</w:t>
      </w: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b) bude zajištěna potřebná úprava ventilačních průduchů. Spodní okraj každého průduchu a následný průchod do navazujících odvětrávaných prostor (dutin) musí být dostatečně drsný z důvodu umožnění zachycení a prostupnosti pro jedince rorýse obecného. Zdrsnění je v případě použití materiálů s hladkým povrchem možné provést s pomocí ocelového kartáče či vrtačky s nástavcem – ocelovým kartáčkem, anebo provést potěr spodní části průduchu tenkou vrstvou stavebního lepidla, jež vytvoří pevný nelepivý povrch s potřebnou strukturou. Vrstva lepidla nesmí výrazně ovlivnit světlost otvorů – </w:t>
      </w:r>
      <w:proofErr w:type="gramStart"/>
      <w:r>
        <w:rPr>
          <w:rFonts w:ascii="Verdana" w:hAnsi="Verdana" w:cs="TimesNewRomanPSMT"/>
          <w:color w:val="231F20"/>
          <w:sz w:val="20"/>
          <w:szCs w:val="20"/>
        </w:rPr>
        <w:t>viz. udané</w:t>
      </w:r>
      <w:proofErr w:type="gramEnd"/>
      <w:r>
        <w:rPr>
          <w:rFonts w:ascii="Verdana" w:hAnsi="Verdana" w:cs="TimesNewRomanPSMT"/>
          <w:color w:val="231F20"/>
          <w:sz w:val="20"/>
          <w:szCs w:val="20"/>
        </w:rPr>
        <w:t xml:space="preserve"> minimální rozměry v čl. 3 odst. 1 písm. a);</w:t>
      </w: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>c) v případě instalace plastových ochranných mřížek budou odstraněny lamely ve spodní části každé mřížky tak, aby byl zachován minimální potřebný rozměr otvoru uvedený v čl. 3 odst. 1 písm. a);</w:t>
      </w:r>
    </w:p>
    <w:p w:rsidR="008C1E66" w:rsidRDefault="008C1E66" w:rsidP="008C1E66">
      <w:pPr>
        <w:adjustRightInd w:val="0"/>
        <w:jc w:val="both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lastRenderedPageBreak/>
        <w:t>d) v případě nutnosti úplného uzavření ventilačních průduchů bude na stejné budově zajištěno vytvoření náhradních hnízdních příležitostí (instalace prefabrikátů či speciálních budek pro rorýsy obecné v rozsahu/počtu odpovídajícím uzavřeným ventilačním průduchům, umístěných co nejblíže k uzavřeným ventilačním průduchům a se shodnou nebo obdobnou stranovou orientací).</w:t>
      </w:r>
    </w:p>
    <w:p w:rsidR="008C1E66" w:rsidRDefault="008C1E66" w:rsidP="008C1E66">
      <w:pPr>
        <w:adjustRightInd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Čl. 4</w:t>
      </w: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-BoldMT"/>
          <w:b/>
          <w:bCs/>
          <w:color w:val="231F20"/>
          <w:sz w:val="20"/>
          <w:szCs w:val="20"/>
        </w:rPr>
      </w:pPr>
      <w:r>
        <w:rPr>
          <w:rFonts w:ascii="Verdana" w:hAnsi="Verdana" w:cs="TimesNewRomanPS-BoldMT"/>
          <w:b/>
          <w:bCs/>
          <w:color w:val="231F20"/>
          <w:sz w:val="20"/>
          <w:szCs w:val="20"/>
        </w:rPr>
        <w:t>Účinnost</w:t>
      </w:r>
    </w:p>
    <w:p w:rsidR="008C1E66" w:rsidRDefault="008C1E66" w:rsidP="008C1E66">
      <w:pPr>
        <w:adjustRightInd w:val="0"/>
        <w:outlineLvl w:val="0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>Toto nařízení nabývá účinnosti patnáctým dnem po vyhlášení.</w:t>
      </w: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center"/>
        <w:rPr>
          <w:rFonts w:ascii="Verdana" w:hAnsi="Verdana" w:cs="TimesNewRomanPSMT"/>
          <w:b/>
          <w:color w:val="231F20"/>
          <w:sz w:val="20"/>
          <w:szCs w:val="20"/>
        </w:rPr>
      </w:pPr>
      <w:proofErr w:type="gramStart"/>
      <w:r>
        <w:rPr>
          <w:rFonts w:ascii="Verdana" w:hAnsi="Verdana" w:cs="TimesNewRomanPSMT"/>
          <w:b/>
          <w:color w:val="231F20"/>
          <w:sz w:val="20"/>
          <w:szCs w:val="20"/>
        </w:rPr>
        <w:t>Čl.5</w:t>
      </w:r>
      <w:proofErr w:type="gramEnd"/>
    </w:p>
    <w:p w:rsidR="008C1E66" w:rsidRDefault="008C1E66" w:rsidP="008C1E66">
      <w:pPr>
        <w:adjustRightInd w:val="0"/>
        <w:rPr>
          <w:rFonts w:ascii="Verdana" w:hAnsi="Verdana" w:cs="TimesNewRomanPSMT"/>
          <w:b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Toto nařízení bylo vydáno usnesením rady města Kutné Hory  č. 387/09 ze dne </w:t>
      </w:r>
      <w:proofErr w:type="gramStart"/>
      <w:r>
        <w:rPr>
          <w:rFonts w:ascii="Verdana" w:hAnsi="Verdana" w:cs="TimesNewRomanPSMT"/>
          <w:color w:val="231F20"/>
          <w:sz w:val="20"/>
          <w:szCs w:val="20"/>
        </w:rPr>
        <w:t>05.05.2009</w:t>
      </w:r>
      <w:proofErr w:type="gramEnd"/>
      <w:r>
        <w:rPr>
          <w:rFonts w:ascii="Verdana" w:hAnsi="Verdana" w:cs="TimesNewRomanPSMT"/>
          <w:color w:val="231F20"/>
          <w:sz w:val="20"/>
          <w:szCs w:val="20"/>
        </w:rPr>
        <w:t>.</w:t>
      </w: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18"/>
          <w:szCs w:val="18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18"/>
          <w:szCs w:val="18"/>
        </w:rPr>
      </w:pPr>
      <w:r>
        <w:rPr>
          <w:rFonts w:ascii="Verdana" w:hAnsi="Verdana" w:cs="TimesNewRomanPSMT"/>
          <w:color w:val="231F20"/>
          <w:sz w:val="18"/>
          <w:szCs w:val="18"/>
        </w:rPr>
        <w:t xml:space="preserve">                                                                                    </w:t>
      </w:r>
    </w:p>
    <w:p w:rsidR="008C1E66" w:rsidRDefault="008C1E66" w:rsidP="008C1E66">
      <w:pPr>
        <w:adjustRightInd w:val="0"/>
        <w:jc w:val="center"/>
        <w:outlineLvl w:val="0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Ivo </w:t>
      </w:r>
      <w:proofErr w:type="spellStart"/>
      <w:r>
        <w:rPr>
          <w:rFonts w:ascii="Verdana" w:hAnsi="Verdana" w:cs="TimesNewRomanPSMT"/>
          <w:color w:val="231F20"/>
          <w:sz w:val="20"/>
          <w:szCs w:val="20"/>
        </w:rPr>
        <w:t>Šalátek</w:t>
      </w:r>
      <w:proofErr w:type="spellEnd"/>
    </w:p>
    <w:p w:rsidR="008C1E66" w:rsidRDefault="008C1E66" w:rsidP="008C1E66">
      <w:pPr>
        <w:adjustRightInd w:val="0"/>
        <w:jc w:val="center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>starosta</w:t>
      </w:r>
    </w:p>
    <w:p w:rsidR="008C1E66" w:rsidRDefault="008C1E66" w:rsidP="008C1E66">
      <w:pPr>
        <w:adjustRightInd w:val="0"/>
        <w:jc w:val="center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ind w:right="-29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Václav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20"/>
          <w:szCs w:val="20"/>
        </w:rPr>
        <w:t xml:space="preserve">Zimmermann                                                         MVDr. Václav Vančura </w:t>
      </w:r>
    </w:p>
    <w:p w:rsidR="008C1E66" w:rsidRDefault="008C1E66" w:rsidP="008C1E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místostarosta                                                                    </w:t>
      </w:r>
      <w:r>
        <w:rPr>
          <w:rFonts w:ascii="Verdana" w:hAnsi="Verdana"/>
          <w:sz w:val="20"/>
          <w:szCs w:val="20"/>
        </w:rPr>
        <w:tab/>
        <w:t xml:space="preserve">  místostarosta</w:t>
      </w: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center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jc w:val="center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Vyvěšeno na úřední desce dne: </w:t>
      </w:r>
      <w:proofErr w:type="gramStart"/>
      <w:r>
        <w:rPr>
          <w:rFonts w:ascii="Verdana" w:hAnsi="Verdana" w:cs="TimesNewRomanPSMT"/>
          <w:color w:val="231F20"/>
          <w:sz w:val="20"/>
          <w:szCs w:val="20"/>
        </w:rPr>
        <w:t>7.5.2009</w:t>
      </w:r>
      <w:proofErr w:type="gramEnd"/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231F20"/>
          <w:sz w:val="20"/>
          <w:szCs w:val="20"/>
        </w:rPr>
      </w:pPr>
    </w:p>
    <w:p w:rsidR="008C1E66" w:rsidRDefault="008C1E66" w:rsidP="008C1E66">
      <w:pPr>
        <w:adjustRightInd w:val="0"/>
        <w:rPr>
          <w:rFonts w:ascii="Verdana" w:hAnsi="Verdana" w:cs="TimesNewRomanPSMT"/>
          <w:color w:val="000000"/>
          <w:sz w:val="20"/>
          <w:szCs w:val="20"/>
        </w:rPr>
      </w:pPr>
      <w:r>
        <w:rPr>
          <w:rFonts w:ascii="Verdana" w:hAnsi="Verdana" w:cs="TimesNewRomanPSMT"/>
          <w:color w:val="231F20"/>
          <w:sz w:val="20"/>
          <w:szCs w:val="20"/>
        </w:rPr>
        <w:t xml:space="preserve">Sejmuto z úřední desky dne: </w:t>
      </w:r>
      <w:proofErr w:type="gramStart"/>
      <w:r>
        <w:rPr>
          <w:rFonts w:ascii="Verdana" w:hAnsi="Verdana" w:cs="TimesNewRomanPSMT"/>
          <w:color w:val="231F20"/>
          <w:sz w:val="20"/>
          <w:szCs w:val="20"/>
        </w:rPr>
        <w:t>25.5.2009</w:t>
      </w:r>
      <w:proofErr w:type="gramEnd"/>
    </w:p>
    <w:p w:rsidR="008C1E66" w:rsidRDefault="008C1E66" w:rsidP="008C1E66">
      <w:pPr>
        <w:rPr>
          <w:rFonts w:ascii="Verdana" w:hAnsi="Verdana"/>
          <w:sz w:val="20"/>
          <w:szCs w:val="20"/>
        </w:rPr>
      </w:pPr>
    </w:p>
    <w:p w:rsidR="008C1E66" w:rsidRDefault="008C1E66"/>
    <w:sectPr w:rsidR="008C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charset w:val="00"/>
    <w:family w:val="auto"/>
    <w:pitch w:val="default"/>
  </w:font>
  <w:font w:name="TimesNewRomanPSMT">
    <w:charset w:val="00"/>
    <w:family w:val="auto"/>
    <w:pitch w:val="default"/>
  </w:font>
  <w:font w:name="TimesNewRomanPS-Italic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66"/>
    <w:rsid w:val="004A0F57"/>
    <w:rsid w:val="008C1E66"/>
    <w:rsid w:val="009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F682-EFF7-4905-84BF-9283DB47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Kutná Hora č</vt:lpstr>
    </vt:vector>
  </TitlesOfParts>
  <Company>Městský úřad Kutná Hora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Kutná Hora č</dc:title>
  <dc:subject/>
  <dc:creator>jirankova</dc:creator>
  <cp:keywords/>
  <dc:description/>
  <cp:lastModifiedBy>Vágnerová Kateřina</cp:lastModifiedBy>
  <cp:revision>2</cp:revision>
  <dcterms:created xsi:type="dcterms:W3CDTF">2024-12-20T05:59:00Z</dcterms:created>
  <dcterms:modified xsi:type="dcterms:W3CDTF">2024-12-20T05:59:00Z</dcterms:modified>
</cp:coreProperties>
</file>