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81AB" w14:textId="77777777" w:rsidR="006609F7" w:rsidRPr="00912396" w:rsidRDefault="006609F7" w:rsidP="006609F7">
      <w:pPr>
        <w:spacing w:line="276" w:lineRule="auto"/>
        <w:jc w:val="center"/>
        <w:rPr>
          <w:rFonts w:ascii="Arial" w:hAnsi="Arial" w:cs="Arial"/>
          <w:b/>
        </w:rPr>
      </w:pPr>
      <w:r w:rsidRPr="00912396">
        <w:rPr>
          <w:rFonts w:ascii="Arial" w:hAnsi="Arial" w:cs="Arial"/>
          <w:b/>
        </w:rPr>
        <w:t>OBEC LOUČKY</w:t>
      </w:r>
    </w:p>
    <w:p w14:paraId="717D5B74" w14:textId="77777777" w:rsidR="006609F7" w:rsidRPr="00912396" w:rsidRDefault="006609F7" w:rsidP="006609F7">
      <w:pPr>
        <w:spacing w:line="276" w:lineRule="auto"/>
        <w:jc w:val="center"/>
        <w:rPr>
          <w:rFonts w:ascii="Arial" w:hAnsi="Arial" w:cs="Arial"/>
          <w:b/>
        </w:rPr>
      </w:pPr>
      <w:r w:rsidRPr="00912396">
        <w:rPr>
          <w:rFonts w:ascii="Arial" w:hAnsi="Arial" w:cs="Arial"/>
          <w:b/>
        </w:rPr>
        <w:t>Zastupitelstvo obce LOUČKY</w:t>
      </w:r>
    </w:p>
    <w:p w14:paraId="712A6547" w14:textId="77777777" w:rsidR="006609F7" w:rsidRPr="00912396" w:rsidRDefault="006609F7" w:rsidP="006609F7">
      <w:pPr>
        <w:spacing w:line="276" w:lineRule="auto"/>
        <w:jc w:val="center"/>
        <w:rPr>
          <w:rFonts w:ascii="Arial" w:hAnsi="Arial" w:cs="Arial"/>
          <w:b/>
        </w:rPr>
      </w:pPr>
      <w:r w:rsidRPr="00912396">
        <w:rPr>
          <w:rFonts w:ascii="Arial" w:hAnsi="Arial" w:cs="Arial"/>
          <w:b/>
        </w:rPr>
        <w:t>Obecně závazná vyhláška obce Loučky č. 1/2021,</w:t>
      </w:r>
    </w:p>
    <w:p w14:paraId="027C439E" w14:textId="77777777" w:rsidR="006609F7" w:rsidRDefault="006609F7" w:rsidP="006609F7">
      <w:pPr>
        <w:jc w:val="center"/>
        <w:rPr>
          <w:rFonts w:ascii="Arial" w:hAnsi="Arial" w:cs="Arial"/>
          <w:b/>
        </w:rPr>
      </w:pPr>
      <w:r w:rsidRPr="00912396">
        <w:rPr>
          <w:rFonts w:ascii="Arial" w:hAnsi="Arial" w:cs="Arial"/>
          <w:b/>
        </w:rPr>
        <w:t>o místním poplatku za odkládání komunálního odpadu z </w:t>
      </w:r>
      <w:r>
        <w:rPr>
          <w:rFonts w:ascii="Arial" w:hAnsi="Arial" w:cs="Arial"/>
          <w:b/>
        </w:rPr>
        <w:t>ne</w:t>
      </w:r>
      <w:r w:rsidRPr="00912396">
        <w:rPr>
          <w:rFonts w:ascii="Arial" w:hAnsi="Arial" w:cs="Arial"/>
          <w:b/>
        </w:rPr>
        <w:t>movité věci</w:t>
      </w:r>
    </w:p>
    <w:p w14:paraId="743AAA62" w14:textId="77777777" w:rsidR="006609F7" w:rsidRPr="00912396" w:rsidRDefault="006609F7" w:rsidP="006609F7">
      <w:pPr>
        <w:jc w:val="center"/>
        <w:rPr>
          <w:rFonts w:ascii="Arial" w:hAnsi="Arial" w:cs="Arial"/>
          <w:b/>
        </w:rPr>
      </w:pPr>
    </w:p>
    <w:p w14:paraId="09A77555" w14:textId="42FC5358" w:rsidR="00131160" w:rsidRPr="002E0EAD" w:rsidRDefault="006609F7" w:rsidP="006609F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609F7">
        <w:rPr>
          <w:rFonts w:ascii="Arial" w:hAnsi="Arial" w:cs="Arial"/>
          <w:b w:val="0"/>
          <w:i/>
          <w:iCs/>
          <w:sz w:val="22"/>
          <w:szCs w:val="22"/>
        </w:rPr>
        <w:t>Zastupitelstvo obce Loučky se na svém zasedání dne 18.11.2021</w:t>
      </w:r>
      <w:r w:rsidRPr="006609F7">
        <w:rPr>
          <w:rFonts w:ascii="Arial" w:hAnsi="Arial" w:cs="Arial"/>
          <w:b w:val="0"/>
          <w:i/>
          <w:iCs/>
          <w:color w:val="FF0000"/>
          <w:sz w:val="22"/>
          <w:szCs w:val="22"/>
        </w:rPr>
        <w:t xml:space="preserve"> </w:t>
      </w:r>
      <w:r w:rsidRPr="001D2A33">
        <w:rPr>
          <w:rFonts w:ascii="Arial" w:hAnsi="Arial" w:cs="Arial"/>
          <w:b w:val="0"/>
          <w:i/>
          <w:iCs/>
          <w:sz w:val="22"/>
          <w:szCs w:val="22"/>
        </w:rPr>
        <w:t>usnesením č.</w:t>
      </w:r>
      <w:r w:rsidR="001D2A33" w:rsidRPr="001D2A33">
        <w:rPr>
          <w:rFonts w:ascii="Arial" w:hAnsi="Arial" w:cs="Arial"/>
          <w:b w:val="0"/>
          <w:i/>
          <w:iCs/>
          <w:sz w:val="22"/>
          <w:szCs w:val="22"/>
        </w:rPr>
        <w:t xml:space="preserve"> 7/11/2021</w:t>
      </w:r>
      <w:r w:rsidRPr="001D2A33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="00AC18A4" w:rsidRPr="006609F7">
        <w:rPr>
          <w:rFonts w:ascii="Arial" w:hAnsi="Arial" w:cs="Arial"/>
          <w:b w:val="0"/>
          <w:sz w:val="22"/>
          <w:szCs w:val="22"/>
        </w:rPr>
        <w:t>usneslo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4CEE8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A66C6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3DF847B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609F7">
        <w:rPr>
          <w:rFonts w:ascii="Arial" w:hAnsi="Arial" w:cs="Arial"/>
          <w:sz w:val="22"/>
          <w:szCs w:val="22"/>
        </w:rPr>
        <w:t>Loučky</w:t>
      </w:r>
      <w:r w:rsidR="006609F7" w:rsidRPr="002E0EAD">
        <w:rPr>
          <w:rFonts w:ascii="Arial" w:hAnsi="Arial" w:cs="Arial"/>
          <w:sz w:val="22"/>
          <w:szCs w:val="22"/>
        </w:rPr>
        <w:t xml:space="preserve"> </w:t>
      </w:r>
      <w:r w:rsidR="006609F7">
        <w:rPr>
          <w:rFonts w:ascii="Arial" w:hAnsi="Arial" w:cs="Arial"/>
          <w:sz w:val="22"/>
          <w:szCs w:val="22"/>
        </w:rPr>
        <w:t>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EA22A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609F7">
        <w:rPr>
          <w:rFonts w:ascii="Arial" w:hAnsi="Arial" w:cs="Arial"/>
          <w:sz w:val="22"/>
          <w:szCs w:val="22"/>
        </w:rPr>
        <w:t xml:space="preserve"> Loučky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140FEF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824BC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12A30FC4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4A09FF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124B88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28C8F32C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4025971B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D22C284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98D4EBE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D12B48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1A563C8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0F1D27C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824CF4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7312777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C3FB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090DC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06E205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609F7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6609F7">
        <w:rPr>
          <w:rFonts w:ascii="Arial" w:hAnsi="Arial" w:cs="Arial"/>
          <w:sz w:val="22"/>
          <w:szCs w:val="22"/>
        </w:rPr>
        <w:t xml:space="preserve"> správci poplatku ve lhůtě 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1BDBF85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0D2B456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E5D3C52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9DFD554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0B07D28F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6255FA9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D3BA9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FA96DA0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1DF4C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E95C8C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3436C9B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AA3DA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A0B936B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9235DB7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CCF1A43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6609F7">
        <w:rPr>
          <w:rFonts w:ascii="Arial" w:hAnsi="Arial" w:cs="Arial"/>
          <w:sz w:val="22"/>
          <w:szCs w:val="22"/>
        </w:rPr>
        <w:t xml:space="preserve">60 </w:t>
      </w:r>
      <w:r w:rsidR="00E26EDC">
        <w:rPr>
          <w:rFonts w:ascii="Arial" w:hAnsi="Arial" w:cs="Arial"/>
          <w:sz w:val="22"/>
          <w:szCs w:val="22"/>
        </w:rPr>
        <w:t>l</w:t>
      </w:r>
      <w:r w:rsidR="006609F7">
        <w:rPr>
          <w:rFonts w:ascii="Arial" w:hAnsi="Arial" w:cs="Arial"/>
          <w:sz w:val="22"/>
          <w:szCs w:val="22"/>
        </w:rPr>
        <w:t>.</w:t>
      </w:r>
      <w:r w:rsidR="006609F7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02F3B94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F0D824B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044C55CF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F84A283" w14:textId="7777777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609F7">
        <w:rPr>
          <w:rFonts w:ascii="Arial" w:hAnsi="Arial" w:cs="Arial"/>
          <w:sz w:val="22"/>
          <w:szCs w:val="22"/>
        </w:rPr>
        <w:t>0,75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E5B8443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7EDBDC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5"/>
      </w:r>
    </w:p>
    <w:p w14:paraId="36975BE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7ADA57A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BB21D21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B142C5E" w14:textId="77777777" w:rsid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FF6E086" w14:textId="77777777" w:rsidR="00787ABE" w:rsidRPr="00F61A95" w:rsidRDefault="00787ABE" w:rsidP="00787ABE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Příkladný přehled nabízené kapacity soustřeďované nádoby za současného dodržení jednotné sazby poplatku je  stanovena v příloze č.1</w:t>
      </w:r>
    </w:p>
    <w:p w14:paraId="1D104E5F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59B564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3489086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87ABE">
        <w:rPr>
          <w:rFonts w:ascii="Arial" w:hAnsi="Arial" w:cs="Arial"/>
          <w:sz w:val="22"/>
          <w:szCs w:val="22"/>
        </w:rPr>
        <w:t>30.4.daného kalendářního roku. Nabude li plátce postavení plátce po tomto datu, odvede vybraný poplatek správci poplatku do 15 dnů od nabytí tohoto postavení.</w:t>
      </w:r>
    </w:p>
    <w:p w14:paraId="11DD0BCC" w14:textId="77777777" w:rsidR="006323A6" w:rsidRPr="00787ABE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6E552A">
        <w:rPr>
          <w:rFonts w:ascii="Arial" w:hAnsi="Arial" w:cs="Arial"/>
          <w:sz w:val="22"/>
          <w:szCs w:val="22"/>
          <w:vertAlign w:val="superscript"/>
        </w:rPr>
        <w:t>12</w:t>
      </w:r>
    </w:p>
    <w:p w14:paraId="681A3D8B" w14:textId="77777777" w:rsidR="00787ABE" w:rsidRPr="00787ABE" w:rsidRDefault="00787ABE" w:rsidP="007B0CAB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87ABE">
        <w:rPr>
          <w:rFonts w:ascii="Arial" w:hAnsi="Arial" w:cs="Arial"/>
          <w:sz w:val="22"/>
          <w:szCs w:val="22"/>
        </w:rPr>
        <w:t>Lhůta splatnosti neskončí plátci dříve než lhůta pro podání ohlášení podle čl.4 této vyhlášky</w:t>
      </w:r>
    </w:p>
    <w:p w14:paraId="51B7E353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1698BB3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C534BE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293C0B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95550F3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90F48A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A63085B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444753C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1524108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7B95BF9F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AE5305F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57D7EDD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78894D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787ABE">
        <w:rPr>
          <w:rFonts w:ascii="Arial" w:hAnsi="Arial" w:cs="Arial"/>
        </w:rPr>
        <w:t>2</w:t>
      </w:r>
    </w:p>
    <w:p w14:paraId="3D381E7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F5D715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87ABE">
        <w:rPr>
          <w:rFonts w:ascii="Arial" w:hAnsi="Arial" w:cs="Arial"/>
          <w:sz w:val="22"/>
          <w:szCs w:val="22"/>
        </w:rPr>
        <w:t>1.1.2022</w:t>
      </w:r>
    </w:p>
    <w:p w14:paraId="6E49134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754BAF" w14:textId="77777777" w:rsidR="00787ABE" w:rsidRPr="002E0EAD" w:rsidRDefault="00787ABE" w:rsidP="00787AB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E537BE" w14:textId="77777777" w:rsidR="00787ABE" w:rsidRPr="002E0EAD" w:rsidRDefault="00787ABE" w:rsidP="00787AB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Lucie Stránská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Lenka Kvintusová</w:t>
      </w:r>
    </w:p>
    <w:p w14:paraId="4E982C38" w14:textId="77777777" w:rsidR="00787ABE" w:rsidRPr="002E0EAD" w:rsidRDefault="00787ABE" w:rsidP="00787AB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EE54306" w14:textId="77777777" w:rsidR="00131160" w:rsidRDefault="00131160" w:rsidP="00787ABE">
      <w:pPr>
        <w:pStyle w:val="Nzvylnk"/>
        <w:jc w:val="left"/>
        <w:rPr>
          <w:rFonts w:ascii="Arial" w:hAnsi="Arial" w:cs="Arial"/>
          <w:i/>
          <w:color w:val="0070C0"/>
          <w:sz w:val="20"/>
        </w:rPr>
      </w:pPr>
    </w:p>
    <w:p w14:paraId="7C491F7B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49BDE0" w14:textId="77777777" w:rsidR="00CF0B00" w:rsidRDefault="00131160" w:rsidP="00787AB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4060E85" w14:textId="65C625F9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D2A33">
        <w:rPr>
          <w:rFonts w:ascii="Arial" w:hAnsi="Arial" w:cs="Arial"/>
          <w:sz w:val="22"/>
          <w:szCs w:val="22"/>
        </w:rPr>
        <w:t xml:space="preserve"> 3.12.2021</w:t>
      </w:r>
    </w:p>
    <w:p w14:paraId="0767DD7C" w14:textId="77777777" w:rsidR="00787ABE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6A8975E" w14:textId="77777777" w:rsidR="00787ABE" w:rsidRPr="00787ABE" w:rsidRDefault="00787ABE" w:rsidP="00787ABE"/>
    <w:p w14:paraId="7CC3C943" w14:textId="77777777" w:rsidR="00787ABE" w:rsidRPr="00787ABE" w:rsidRDefault="00787ABE" w:rsidP="00787ABE"/>
    <w:p w14:paraId="7E0D008E" w14:textId="77777777" w:rsidR="00787ABE" w:rsidRDefault="00787ABE" w:rsidP="00787ABE"/>
    <w:p w14:paraId="53DB331B" w14:textId="77777777" w:rsidR="00A05EA6" w:rsidRDefault="00787ABE" w:rsidP="00787ABE">
      <w:pPr>
        <w:tabs>
          <w:tab w:val="left" w:pos="7680"/>
        </w:tabs>
      </w:pPr>
      <w:r>
        <w:tab/>
      </w:r>
    </w:p>
    <w:p w14:paraId="1B4485D3" w14:textId="77777777" w:rsidR="00787ABE" w:rsidRDefault="00787ABE" w:rsidP="00787ABE">
      <w:pPr>
        <w:tabs>
          <w:tab w:val="left" w:pos="7680"/>
        </w:tabs>
      </w:pPr>
    </w:p>
    <w:p w14:paraId="2ECEC286" w14:textId="77777777" w:rsidR="00787ABE" w:rsidRDefault="00787ABE" w:rsidP="00787ABE">
      <w:pPr>
        <w:tabs>
          <w:tab w:val="left" w:pos="7680"/>
        </w:tabs>
      </w:pPr>
    </w:p>
    <w:p w14:paraId="4D096479" w14:textId="77777777" w:rsidR="00787ABE" w:rsidRDefault="00787ABE" w:rsidP="00787AB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Příloha č.1 </w:t>
      </w:r>
    </w:p>
    <w:p w14:paraId="7C604EF8" w14:textId="77777777" w:rsidR="00787ABE" w:rsidRDefault="00787ABE" w:rsidP="00787ABE">
      <w:pPr>
        <w:rPr>
          <w:rFonts w:ascii="Arial" w:hAnsi="Arial" w:cs="Arial"/>
          <w:b/>
          <w:sz w:val="22"/>
          <w:szCs w:val="22"/>
          <w:u w:val="single"/>
        </w:rPr>
      </w:pPr>
      <w:r w:rsidRPr="00D04323">
        <w:rPr>
          <w:rFonts w:ascii="Arial" w:hAnsi="Arial" w:cs="Arial"/>
          <w:b/>
          <w:bCs/>
          <w:sz w:val="22"/>
          <w:szCs w:val="22"/>
          <w:u w:val="single"/>
        </w:rPr>
        <w:t>Místní poplatky za odkládání komunálního odpadu z nemovité věci dle kapacity soustřeďovacích</w:t>
      </w:r>
      <w:r w:rsidRPr="00D04323">
        <w:rPr>
          <w:rFonts w:ascii="Arial" w:hAnsi="Arial" w:cs="Arial"/>
          <w:b/>
          <w:sz w:val="28"/>
          <w:szCs w:val="28"/>
        </w:rPr>
        <w:t xml:space="preserve"> </w:t>
      </w:r>
      <w:r w:rsidRPr="00D04323">
        <w:rPr>
          <w:rFonts w:ascii="Arial" w:hAnsi="Arial" w:cs="Arial"/>
          <w:b/>
          <w:sz w:val="22"/>
          <w:szCs w:val="22"/>
          <w:u w:val="single"/>
        </w:rPr>
        <w:t>prostředků</w:t>
      </w:r>
    </w:p>
    <w:p w14:paraId="15C27835" w14:textId="77777777" w:rsidR="00787ABE" w:rsidRDefault="00787ABE" w:rsidP="00787ABE">
      <w:pPr>
        <w:tabs>
          <w:tab w:val="left" w:pos="7680"/>
        </w:tabs>
      </w:pPr>
    </w:p>
    <w:p w14:paraId="608A4352" w14:textId="77777777" w:rsidR="00787ABE" w:rsidRDefault="00787ABE" w:rsidP="00787ABE">
      <w:pPr>
        <w:tabs>
          <w:tab w:val="left" w:pos="7680"/>
        </w:tabs>
      </w:pPr>
    </w:p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140"/>
        <w:gridCol w:w="2200"/>
        <w:gridCol w:w="1400"/>
        <w:gridCol w:w="1240"/>
      </w:tblGrid>
      <w:tr w:rsidR="00787ABE" w14:paraId="0FEDB114" w14:textId="77777777" w:rsidTr="00CC6066">
        <w:trPr>
          <w:trHeight w:val="870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345983A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Místní poplatky za ukládání komunálního odpadu z nemovité věci dle kapacity soustřeď. prostředků</w:t>
            </w:r>
          </w:p>
        </w:tc>
      </w:tr>
      <w:tr w:rsidR="00787ABE" w14:paraId="53C928D6" w14:textId="77777777" w:rsidTr="00CC6066">
        <w:trPr>
          <w:trHeight w:val="390"/>
        </w:trPr>
        <w:tc>
          <w:tcPr>
            <w:tcW w:w="81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CAF1519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Ceník komunální odpad</w:t>
            </w:r>
          </w:p>
        </w:tc>
      </w:tr>
      <w:tr w:rsidR="00787ABE" w14:paraId="62AA4D13" w14:textId="77777777" w:rsidTr="00CC6066">
        <w:trPr>
          <w:trHeight w:val="9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081E4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 sazby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F3F419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Velikost nádoby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E84EFB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četnost svozu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2ABC3D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objem nádoby litrů/rok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4844DD3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MP 0,75 Kč</w:t>
            </w:r>
          </w:p>
        </w:tc>
      </w:tr>
      <w:tr w:rsidR="00787ABE" w14:paraId="5C4C8644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5BBF4C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7F0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pytel 60 litrů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08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A8BCB61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649DE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540</w:t>
            </w:r>
          </w:p>
        </w:tc>
      </w:tr>
      <w:tr w:rsidR="00787ABE" w14:paraId="01C5236C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C7B684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1A9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 litrů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E60A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C7D8B7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1981C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1170</w:t>
            </w:r>
          </w:p>
        </w:tc>
      </w:tr>
      <w:tr w:rsidR="00787ABE" w14:paraId="2C47CEBC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EC9106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BCB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litrů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B67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AC25EEC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7B53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1560</w:t>
            </w:r>
          </w:p>
        </w:tc>
      </w:tr>
      <w:tr w:rsidR="00787ABE" w14:paraId="136761F1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D2C2E2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47F9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litrů -plechová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D633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0AA4BF4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098EB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2145</w:t>
            </w:r>
          </w:p>
        </w:tc>
      </w:tr>
      <w:tr w:rsidR="00787ABE" w14:paraId="336E2F25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2503B1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610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litrů - plastová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A67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67DCC24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D61D1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2340</w:t>
            </w:r>
          </w:p>
        </w:tc>
      </w:tr>
      <w:tr w:rsidR="00787ABE" w14:paraId="1AA866AD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37C5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83D8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 litrů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3CC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68BC8A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5D566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3120</w:t>
            </w:r>
          </w:p>
        </w:tc>
      </w:tr>
      <w:tr w:rsidR="00787ABE" w14:paraId="24B083A7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7AC4D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253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litrů - plechová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004A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kombinovaný 39 svozů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D82022E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A7CBF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3218</w:t>
            </w:r>
          </w:p>
        </w:tc>
      </w:tr>
      <w:tr w:rsidR="00787ABE" w14:paraId="7203D18E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77676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49B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litrů - plastová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917A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kombinovaný 39 svozů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19BE60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94689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3510</w:t>
            </w:r>
          </w:p>
        </w:tc>
      </w:tr>
      <w:tr w:rsidR="00787ABE" w14:paraId="13089280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B21FC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7B84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 litrů - plechová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4EEB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BCE70A7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5720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483FE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4290</w:t>
            </w:r>
          </w:p>
        </w:tc>
      </w:tr>
      <w:tr w:rsidR="00787ABE" w14:paraId="2B6E57EA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E8E934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4C46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litrů - plastová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836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021B8FFC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F6B25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4680</w:t>
            </w:r>
          </w:p>
        </w:tc>
      </w:tr>
      <w:tr w:rsidR="00787ABE" w14:paraId="24591806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2F84F3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290F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291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CF39E68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0CB6E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4680</w:t>
            </w:r>
          </w:p>
        </w:tc>
      </w:tr>
      <w:tr w:rsidR="00787ABE" w14:paraId="706FA6B8" w14:textId="77777777" w:rsidTr="00CC6066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FB6896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0421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 litrů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4452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x 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990F1ED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DFFEB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9360</w:t>
            </w:r>
          </w:p>
        </w:tc>
      </w:tr>
      <w:tr w:rsidR="00787ABE" w14:paraId="13E01475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E492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751B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4BE7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E25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083E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1BD1DE03" w14:textId="77777777" w:rsidTr="00CC6066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8F7E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715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F751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D7A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ECFF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4DCCC44D" w14:textId="77777777" w:rsidTr="00CC6066">
        <w:trPr>
          <w:trHeight w:val="6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3ED7BA" w14:textId="77777777" w:rsidR="00787ABE" w:rsidRDefault="00787ABE" w:rsidP="00CC60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počet osob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E6F514" w14:textId="77777777" w:rsidR="00787ABE" w:rsidRDefault="00787ABE" w:rsidP="00CC60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objem litrů/měsíc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0D54D96F" w14:textId="77777777" w:rsidR="00787ABE" w:rsidRDefault="00787ABE" w:rsidP="00CC60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minimální objem litrů/rok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30A6" w14:textId="77777777" w:rsidR="00787ABE" w:rsidRDefault="00787ABE" w:rsidP="00CC60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020E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45BBAB95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93A96C" w14:textId="77777777" w:rsidR="00787ABE" w:rsidRDefault="00787ABE" w:rsidP="00CC60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poplatník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D759D9" w14:textId="77777777" w:rsidR="00787ABE" w:rsidRDefault="00787ABE" w:rsidP="00CC60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9E837D" w14:textId="77777777" w:rsidR="00787ABE" w:rsidRDefault="00787ABE" w:rsidP="00CC60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5250" w14:textId="77777777" w:rsidR="00787ABE" w:rsidRDefault="00787ABE" w:rsidP="00CC60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A33A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2C9B99F9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23FDB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8E67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4A8BB0BA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8F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B397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16CD3179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6EB182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013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B1BBFAB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B2DA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23B8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07AED0C2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EFAA73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028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8264B5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A577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98CD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015B2B20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B659C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848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638A09A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03E4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3AC2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12FA6343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922DD6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1F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7EF049D3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28F3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D183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25F53A39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BEBE8F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6C8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DBF97C2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C61E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422B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295C199A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764F0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28EC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0BC6C87E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4CAF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B747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3FA63407" w14:textId="77777777" w:rsidTr="00CC6066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EF79F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5DF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FE77FFC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A350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19D1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  <w:tr w:rsidR="00787ABE" w14:paraId="6E47D50F" w14:textId="77777777" w:rsidTr="00CC6066">
        <w:trPr>
          <w:trHeight w:val="31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26C6DC" w14:textId="77777777" w:rsidR="00787ABE" w:rsidRDefault="00787ABE" w:rsidP="00CC60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C959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57E45CF5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0622" w14:textId="77777777" w:rsidR="00787ABE" w:rsidRDefault="00787ABE" w:rsidP="00CC60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B2C1B" w14:textId="77777777" w:rsidR="00787ABE" w:rsidRDefault="00787ABE" w:rsidP="00CC606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C584B4" w14:textId="77777777" w:rsidR="00787ABE" w:rsidRPr="00787ABE" w:rsidRDefault="00787ABE" w:rsidP="00787ABE">
      <w:pPr>
        <w:tabs>
          <w:tab w:val="left" w:pos="7680"/>
        </w:tabs>
      </w:pPr>
    </w:p>
    <w:sectPr w:rsidR="00787ABE" w:rsidRPr="00787ABE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1DAF" w14:textId="77777777" w:rsidR="008961D4" w:rsidRDefault="008961D4">
      <w:r>
        <w:separator/>
      </w:r>
    </w:p>
  </w:endnote>
  <w:endnote w:type="continuationSeparator" w:id="0">
    <w:p w14:paraId="347468AA" w14:textId="77777777" w:rsidR="008961D4" w:rsidRDefault="0089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CC7C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552A">
      <w:rPr>
        <w:noProof/>
      </w:rPr>
      <w:t>5</w:t>
    </w:r>
    <w:r>
      <w:fldChar w:fldCharType="end"/>
    </w:r>
  </w:p>
  <w:p w14:paraId="273F9DF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4BC97" w14:textId="77777777" w:rsidR="008961D4" w:rsidRDefault="008961D4">
      <w:r>
        <w:separator/>
      </w:r>
    </w:p>
  </w:footnote>
  <w:footnote w:type="continuationSeparator" w:id="0">
    <w:p w14:paraId="29730BF3" w14:textId="77777777" w:rsidR="008961D4" w:rsidRDefault="008961D4">
      <w:r>
        <w:continuationSeparator/>
      </w:r>
    </w:p>
  </w:footnote>
  <w:footnote w:id="1">
    <w:p w14:paraId="0196018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2C52E9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19970E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68D6B0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A505B0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7C0700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C95E879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4E044B7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5CEEDA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E8074C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10C4D2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FF8DC1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792008B0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5CFA39D4" w14:textId="77777777" w:rsidR="006609F7" w:rsidRDefault="006609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87ABE">
        <w:rPr>
          <w:rFonts w:ascii="Arial" w:hAnsi="Arial" w:cs="Arial"/>
          <w:sz w:val="18"/>
          <w:szCs w:val="18"/>
        </w:rPr>
        <w:t>Na poplatníka a dílčí poplatkové období (kalendářní měsíc)</w:t>
      </w:r>
    </w:p>
  </w:footnote>
  <w:footnote w:id="15">
    <w:p w14:paraId="06895774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6">
    <w:p w14:paraId="5DECC40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F28ED9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8">
    <w:p w14:paraId="402F009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9">
    <w:p w14:paraId="6637433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7119F64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2A3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3346D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9F7"/>
    <w:rsid w:val="006679FA"/>
    <w:rsid w:val="0067325B"/>
    <w:rsid w:val="00675992"/>
    <w:rsid w:val="00683897"/>
    <w:rsid w:val="00695493"/>
    <w:rsid w:val="006A4A80"/>
    <w:rsid w:val="006C4DB3"/>
    <w:rsid w:val="006D4118"/>
    <w:rsid w:val="006E552A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87ABE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43C6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61D4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4133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BA3F5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7382-965B-4915-9ED9-5E6B15BB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Kvintusová</cp:lastModifiedBy>
  <cp:revision>3</cp:revision>
  <cp:lastPrinted>2021-12-03T09:55:00Z</cp:lastPrinted>
  <dcterms:created xsi:type="dcterms:W3CDTF">2021-10-29T07:27:00Z</dcterms:created>
  <dcterms:modified xsi:type="dcterms:W3CDTF">2021-12-03T09:55:00Z</dcterms:modified>
</cp:coreProperties>
</file>