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78" w:lineRule="auto" w:before="78"/>
        <w:ind w:left="3274" w:right="2848" w:firstLine="2"/>
        <w:jc w:val="center"/>
        <w:rPr>
          <w:b/>
          <w:sz w:val="24"/>
        </w:rPr>
      </w:pPr>
      <w:r>
        <w:rPr>
          <w:b/>
          <w:sz w:val="24"/>
        </w:rPr>
        <w:t>Obec Nezabudice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Zastupitelstvo</w:t>
      </w:r>
      <w:r>
        <w:rPr>
          <w:b/>
          <w:spacing w:val="-16"/>
          <w:sz w:val="24"/>
        </w:rPr>
        <w:t> </w:t>
      </w:r>
      <w:r>
        <w:rPr>
          <w:b/>
          <w:sz w:val="24"/>
        </w:rPr>
        <w:t>obce</w:t>
      </w:r>
      <w:r>
        <w:rPr>
          <w:b/>
          <w:spacing w:val="-16"/>
          <w:sz w:val="24"/>
        </w:rPr>
        <w:t> </w:t>
      </w:r>
      <w:r>
        <w:rPr>
          <w:b/>
          <w:sz w:val="24"/>
        </w:rPr>
        <w:t>Nezabudice</w:t>
      </w:r>
    </w:p>
    <w:p>
      <w:pPr>
        <w:pStyle w:val="BodyText"/>
        <w:spacing w:before="37"/>
        <w:rPr>
          <w:b/>
          <w:sz w:val="24"/>
        </w:rPr>
      </w:pPr>
    </w:p>
    <w:p>
      <w:pPr>
        <w:spacing w:before="0"/>
        <w:ind w:left="528" w:right="106" w:firstLine="0"/>
        <w:jc w:val="center"/>
        <w:rPr>
          <w:b/>
          <w:sz w:val="24"/>
        </w:rPr>
      </w:pPr>
      <w:r>
        <w:rPr>
          <w:b/>
          <w:sz w:val="24"/>
        </w:rPr>
        <w:t>Obecně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závazná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vyhláška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obce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Nezabudice</w:t>
      </w:r>
    </w:p>
    <w:p>
      <w:pPr>
        <w:spacing w:before="41"/>
        <w:ind w:left="528" w:right="112" w:firstLine="0"/>
        <w:jc w:val="center"/>
        <w:rPr>
          <w:b/>
          <w:sz w:val="24"/>
        </w:rPr>
      </w:pPr>
      <w:r>
        <w:rPr>
          <w:b/>
          <w:sz w:val="24"/>
        </w:rPr>
        <w:t>o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stanovení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obecního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systému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odpadového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hospodářství</w:t>
      </w:r>
    </w:p>
    <w:p>
      <w:pPr>
        <w:pStyle w:val="BodyText"/>
        <w:spacing w:before="254"/>
        <w:ind w:left="566" w:right="137"/>
        <w:jc w:val="both"/>
      </w:pPr>
      <w:r>
        <w:rPr/>
        <w:t>Zastupitelstvo obce Nezabudice se na svém zasedání dne 18.4.2025 usneslo vydat na základě § 59 odst. 4 zákona č. 541/2020 Sb., o odpadech, ve znění pozdějších předpisů (dále</w:t>
      </w:r>
      <w:r>
        <w:rPr>
          <w:spacing w:val="15"/>
        </w:rPr>
        <w:t> </w:t>
      </w:r>
      <w:r>
        <w:rPr/>
        <w:t>jen</w:t>
      </w:r>
      <w:r>
        <w:rPr>
          <w:spacing w:val="15"/>
        </w:rPr>
        <w:t> </w:t>
      </w:r>
      <w:r>
        <w:rPr/>
        <w:t>„zákon</w:t>
      </w:r>
      <w:r>
        <w:rPr>
          <w:spacing w:val="17"/>
        </w:rPr>
        <w:t> </w:t>
      </w:r>
      <w:r>
        <w:rPr/>
        <w:t>o</w:t>
      </w:r>
      <w:r>
        <w:rPr>
          <w:spacing w:val="15"/>
        </w:rPr>
        <w:t> </w:t>
      </w:r>
      <w:r>
        <w:rPr/>
        <w:t>odpadech“),</w:t>
      </w:r>
      <w:r>
        <w:rPr>
          <w:spacing w:val="17"/>
        </w:rPr>
        <w:t> </w:t>
      </w:r>
      <w:r>
        <w:rPr/>
        <w:t>a</w:t>
      </w:r>
      <w:r>
        <w:rPr>
          <w:spacing w:val="15"/>
        </w:rPr>
        <w:t> </w:t>
      </w:r>
      <w:r>
        <w:rPr/>
        <w:t>v</w:t>
      </w:r>
      <w:r>
        <w:rPr>
          <w:spacing w:val="18"/>
        </w:rPr>
        <w:t> </w:t>
      </w:r>
      <w:r>
        <w:rPr/>
        <w:t>souladu</w:t>
      </w:r>
      <w:r>
        <w:rPr>
          <w:spacing w:val="15"/>
        </w:rPr>
        <w:t> </w:t>
      </w:r>
      <w:r>
        <w:rPr/>
        <w:t>s</w:t>
      </w:r>
      <w:r>
        <w:rPr>
          <w:spacing w:val="15"/>
        </w:rPr>
        <w:t> </w:t>
      </w:r>
      <w:r>
        <w:rPr/>
        <w:t>§</w:t>
      </w:r>
      <w:r>
        <w:rPr>
          <w:spacing w:val="15"/>
        </w:rPr>
        <w:t> </w:t>
      </w:r>
      <w:r>
        <w:rPr/>
        <w:t>10</w:t>
      </w:r>
      <w:r>
        <w:rPr>
          <w:spacing w:val="17"/>
        </w:rPr>
        <w:t> </w:t>
      </w:r>
      <w:r>
        <w:rPr/>
        <w:t>písm.</w:t>
      </w:r>
      <w:r>
        <w:rPr>
          <w:spacing w:val="17"/>
        </w:rPr>
        <w:t> </w:t>
      </w:r>
      <w:r>
        <w:rPr/>
        <w:t>d)</w:t>
      </w:r>
      <w:r>
        <w:rPr>
          <w:spacing w:val="16"/>
        </w:rPr>
        <w:t> </w:t>
      </w:r>
      <w:r>
        <w:rPr/>
        <w:t>a</w:t>
      </w:r>
      <w:r>
        <w:rPr>
          <w:spacing w:val="15"/>
        </w:rPr>
        <w:t> </w:t>
      </w:r>
      <w:r>
        <w:rPr/>
        <w:t>§</w:t>
      </w:r>
      <w:r>
        <w:rPr>
          <w:spacing w:val="15"/>
        </w:rPr>
        <w:t> </w:t>
      </w:r>
      <w:r>
        <w:rPr/>
        <w:t>84</w:t>
      </w:r>
      <w:r>
        <w:rPr>
          <w:spacing w:val="15"/>
        </w:rPr>
        <w:t> </w:t>
      </w:r>
      <w:r>
        <w:rPr/>
        <w:t>odst.</w:t>
      </w:r>
      <w:r>
        <w:rPr>
          <w:spacing w:val="17"/>
        </w:rPr>
        <w:t> </w:t>
      </w:r>
      <w:r>
        <w:rPr/>
        <w:t>2</w:t>
      </w:r>
      <w:r>
        <w:rPr>
          <w:spacing w:val="15"/>
        </w:rPr>
        <w:t> </w:t>
      </w:r>
      <w:r>
        <w:rPr/>
        <w:t>písm.</w:t>
      </w:r>
      <w:r>
        <w:rPr>
          <w:spacing w:val="17"/>
        </w:rPr>
        <w:t> </w:t>
      </w:r>
      <w:r>
        <w:rPr/>
        <w:t>h)</w:t>
      </w:r>
      <w:r>
        <w:rPr>
          <w:spacing w:val="16"/>
        </w:rPr>
        <w:t> </w:t>
      </w:r>
      <w:r>
        <w:rPr/>
        <w:t>zákona č. 128/2000 Sb., o obcích (obecní zřízení), ve znění pozdějších předpisů, tuto obecně závaznou vyhlášku (dále jen „vyhláška“):</w:t>
      </w:r>
    </w:p>
    <w:p>
      <w:pPr>
        <w:pStyle w:val="Heading1"/>
        <w:spacing w:before="251"/>
      </w:pPr>
      <w:r>
        <w:rPr/>
        <w:t>Čl. </w:t>
      </w:r>
      <w:r>
        <w:rPr>
          <w:spacing w:val="-10"/>
        </w:rPr>
        <w:t>1</w:t>
      </w:r>
    </w:p>
    <w:p>
      <w:pPr>
        <w:spacing w:before="2"/>
        <w:ind w:left="528" w:right="103" w:firstLine="0"/>
        <w:jc w:val="center"/>
        <w:rPr>
          <w:b/>
          <w:sz w:val="22"/>
        </w:rPr>
      </w:pPr>
      <w:r>
        <w:rPr>
          <w:b/>
          <w:sz w:val="22"/>
        </w:rPr>
        <w:t>Úvodní</w:t>
      </w:r>
      <w:r>
        <w:rPr>
          <w:b/>
          <w:spacing w:val="-3"/>
          <w:sz w:val="22"/>
        </w:rPr>
        <w:t> </w:t>
      </w:r>
      <w:r>
        <w:rPr>
          <w:b/>
          <w:spacing w:val="-2"/>
          <w:sz w:val="22"/>
        </w:rPr>
        <w:t>ustanovení</w:t>
      </w:r>
    </w:p>
    <w:p>
      <w:pPr>
        <w:pStyle w:val="ListParagraph"/>
        <w:numPr>
          <w:ilvl w:val="0"/>
          <w:numId w:val="1"/>
        </w:numPr>
        <w:tabs>
          <w:tab w:pos="564" w:val="left" w:leader="none"/>
          <w:tab w:pos="566" w:val="left" w:leader="none"/>
        </w:tabs>
        <w:spacing w:line="240" w:lineRule="auto" w:before="251" w:after="0"/>
        <w:ind w:left="566" w:right="140" w:hanging="428"/>
        <w:jc w:val="both"/>
        <w:rPr>
          <w:sz w:val="22"/>
        </w:rPr>
      </w:pPr>
      <w:r>
        <w:rPr>
          <w:sz w:val="22"/>
        </w:rPr>
        <w:t>Tato vyhláška stanovuje obecní systém odpadového hospodářství na území obce </w:t>
      </w:r>
      <w:r>
        <w:rPr>
          <w:spacing w:val="-2"/>
          <w:sz w:val="22"/>
        </w:rPr>
        <w:t>Nezabudice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564" w:val="left" w:leader="none"/>
          <w:tab w:pos="566" w:val="left" w:leader="none"/>
        </w:tabs>
        <w:spacing w:line="240" w:lineRule="auto" w:before="0" w:after="0"/>
        <w:ind w:left="566" w:right="141" w:hanging="428"/>
        <w:jc w:val="both"/>
        <w:rPr>
          <w:sz w:val="22"/>
        </w:rPr>
      </w:pPr>
      <w:r>
        <w:rPr>
          <w:sz w:val="22"/>
        </w:rPr>
        <w:t>Každý je povinen odpad nebo movitou věc, které</w:t>
      </w:r>
      <w:r>
        <w:rPr>
          <w:spacing w:val="-1"/>
          <w:sz w:val="22"/>
        </w:rPr>
        <w:t> </w:t>
      </w:r>
      <w:r>
        <w:rPr>
          <w:sz w:val="22"/>
        </w:rPr>
        <w:t>předává do obecního systému, odkládat na místa určená obcí v souladu s povinnostmi stanovenými pro daný druh, kategorii nebo materiál odpadu nebo movitých věcí zákonem o odpadech a touto vyhláškou .</w:t>
      </w:r>
    </w:p>
    <w:p>
      <w:pPr>
        <w:pStyle w:val="ListParagraph"/>
        <w:numPr>
          <w:ilvl w:val="0"/>
          <w:numId w:val="1"/>
        </w:numPr>
        <w:tabs>
          <w:tab w:pos="566" w:val="left" w:leader="none"/>
        </w:tabs>
        <w:spacing w:line="240" w:lineRule="auto" w:before="251" w:after="0"/>
        <w:ind w:left="566" w:right="0" w:hanging="428"/>
        <w:jc w:val="left"/>
        <w:rPr>
          <w:sz w:val="22"/>
        </w:rPr>
      </w:pPr>
      <w:r>
        <w:rPr>
          <w:sz w:val="22"/>
        </w:rPr>
        <w:t>V</w:t>
      </w:r>
      <w:r>
        <w:rPr>
          <w:spacing w:val="-8"/>
          <w:sz w:val="22"/>
        </w:rPr>
        <w:t> </w:t>
      </w:r>
      <w:r>
        <w:rPr>
          <w:sz w:val="22"/>
        </w:rPr>
        <w:t>okamžiku,</w:t>
      </w:r>
      <w:r>
        <w:rPr>
          <w:spacing w:val="-3"/>
          <w:sz w:val="22"/>
        </w:rPr>
        <w:t> </w:t>
      </w:r>
      <w:r>
        <w:rPr>
          <w:sz w:val="22"/>
        </w:rPr>
        <w:t>kdy</w:t>
      </w:r>
      <w:r>
        <w:rPr>
          <w:spacing w:val="-4"/>
          <w:sz w:val="22"/>
        </w:rPr>
        <w:t> </w:t>
      </w:r>
      <w:r>
        <w:rPr>
          <w:sz w:val="22"/>
        </w:rPr>
        <w:t>osoba</w:t>
      </w:r>
      <w:r>
        <w:rPr>
          <w:spacing w:val="-7"/>
          <w:sz w:val="22"/>
        </w:rPr>
        <w:t> </w:t>
      </w:r>
      <w:r>
        <w:rPr>
          <w:sz w:val="22"/>
        </w:rPr>
        <w:t>zapojená</w:t>
      </w:r>
      <w:r>
        <w:rPr>
          <w:spacing w:val="-6"/>
          <w:sz w:val="22"/>
        </w:rPr>
        <w:t> </w:t>
      </w:r>
      <w:r>
        <w:rPr>
          <w:sz w:val="22"/>
        </w:rPr>
        <w:t>do</w:t>
      </w:r>
      <w:r>
        <w:rPr>
          <w:spacing w:val="-7"/>
          <w:sz w:val="22"/>
        </w:rPr>
        <w:t> </w:t>
      </w:r>
      <w:r>
        <w:rPr>
          <w:sz w:val="22"/>
        </w:rPr>
        <w:t>obecního</w:t>
      </w:r>
      <w:r>
        <w:rPr>
          <w:spacing w:val="-5"/>
          <w:sz w:val="22"/>
        </w:rPr>
        <w:t> </w:t>
      </w:r>
      <w:r>
        <w:rPr>
          <w:sz w:val="22"/>
        </w:rPr>
        <w:t>systému</w:t>
      </w:r>
      <w:r>
        <w:rPr>
          <w:spacing w:val="-7"/>
          <w:sz w:val="22"/>
        </w:rPr>
        <w:t> </w:t>
      </w:r>
      <w:r>
        <w:rPr>
          <w:sz w:val="22"/>
        </w:rPr>
        <w:t>odloží</w:t>
      </w:r>
      <w:r>
        <w:rPr>
          <w:spacing w:val="-6"/>
          <w:sz w:val="22"/>
        </w:rPr>
        <w:t> </w:t>
      </w:r>
      <w:r>
        <w:rPr>
          <w:sz w:val="22"/>
        </w:rPr>
        <w:t>movitou</w:t>
      </w:r>
      <w:r>
        <w:rPr>
          <w:spacing w:val="-5"/>
          <w:sz w:val="22"/>
        </w:rPr>
        <w:t> </w:t>
      </w:r>
      <w:r>
        <w:rPr>
          <w:sz w:val="22"/>
        </w:rPr>
        <w:t>věc</w:t>
      </w:r>
      <w:r>
        <w:rPr>
          <w:spacing w:val="-7"/>
          <w:sz w:val="22"/>
        </w:rPr>
        <w:t> </w:t>
      </w:r>
      <w:r>
        <w:rPr>
          <w:sz w:val="22"/>
        </w:rPr>
        <w:t>nebo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odpad,</w:t>
      </w:r>
    </w:p>
    <w:p>
      <w:pPr>
        <w:pStyle w:val="BodyText"/>
        <w:ind w:left="566" w:right="144"/>
        <w:jc w:val="both"/>
      </w:pPr>
      <w:r>
        <w:rPr/>
        <w:t>s výjimkou výrobků s ukončenou životností, na místě obcí k tomuto účelu určeném, stává se obec vlastníkem této movité věci nebo odpadu .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564" w:val="left" w:leader="none"/>
          <w:tab w:pos="566" w:val="left" w:leader="none"/>
        </w:tabs>
        <w:spacing w:line="240" w:lineRule="auto" w:before="0" w:after="0"/>
        <w:ind w:left="566" w:right="141" w:hanging="428"/>
        <w:jc w:val="both"/>
        <w:rPr>
          <w:sz w:val="22"/>
        </w:rPr>
      </w:pPr>
      <w:r>
        <w:rPr>
          <w:sz w:val="22"/>
        </w:rPr>
        <w:t>Stanoviště sběrných nádob je místo, kde jsou sběrné nádoby trvale nebo přechodně umístěny za účelem dalšího nakládání s komunálním odpadem. Stanoviště sběrných nádob jsou individuální nebo společná pro více uživatelů.</w:t>
      </w:r>
    </w:p>
    <w:p>
      <w:pPr>
        <w:pStyle w:val="BodyText"/>
        <w:spacing w:before="252"/>
      </w:pPr>
    </w:p>
    <w:p>
      <w:pPr>
        <w:pStyle w:val="Heading1"/>
        <w:spacing w:line="252" w:lineRule="exact"/>
      </w:pPr>
      <w:r>
        <w:rPr/>
        <w:t>Čl. </w:t>
      </w:r>
      <w:r>
        <w:rPr>
          <w:spacing w:val="-10"/>
        </w:rPr>
        <w:t>2</w:t>
      </w:r>
    </w:p>
    <w:p>
      <w:pPr>
        <w:spacing w:line="252" w:lineRule="exact" w:before="0"/>
        <w:ind w:left="528" w:right="106" w:firstLine="0"/>
        <w:jc w:val="center"/>
        <w:rPr>
          <w:b/>
          <w:sz w:val="22"/>
        </w:rPr>
      </w:pPr>
      <w:r>
        <w:rPr>
          <w:b/>
          <w:sz w:val="22"/>
        </w:rPr>
        <w:t>Oddělené</w:t>
      </w:r>
      <w:r>
        <w:rPr>
          <w:b/>
          <w:spacing w:val="-12"/>
          <w:sz w:val="22"/>
        </w:rPr>
        <w:t> </w:t>
      </w:r>
      <w:r>
        <w:rPr>
          <w:b/>
          <w:sz w:val="22"/>
        </w:rPr>
        <w:t>soustřeďování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komunálního</w:t>
      </w:r>
      <w:r>
        <w:rPr>
          <w:b/>
          <w:spacing w:val="-9"/>
          <w:sz w:val="22"/>
        </w:rPr>
        <w:t> </w:t>
      </w:r>
      <w:r>
        <w:rPr>
          <w:b/>
          <w:spacing w:val="-2"/>
          <w:sz w:val="22"/>
        </w:rPr>
        <w:t>odpadu</w:t>
      </w:r>
    </w:p>
    <w:p>
      <w:pPr>
        <w:pStyle w:val="BodyText"/>
        <w:spacing w:before="6"/>
        <w:rPr>
          <w:b/>
        </w:rPr>
      </w:pPr>
    </w:p>
    <w:p>
      <w:pPr>
        <w:pStyle w:val="ListParagraph"/>
        <w:numPr>
          <w:ilvl w:val="1"/>
          <w:numId w:val="1"/>
        </w:numPr>
        <w:tabs>
          <w:tab w:pos="926" w:val="left" w:leader="none"/>
        </w:tabs>
        <w:spacing w:line="235" w:lineRule="auto" w:before="1" w:after="0"/>
        <w:ind w:left="926" w:right="142" w:hanging="360"/>
        <w:jc w:val="left"/>
        <w:rPr>
          <w:sz w:val="22"/>
        </w:rPr>
      </w:pPr>
      <w:r>
        <w:rPr>
          <w:sz w:val="22"/>
        </w:rPr>
        <w:t>Osoby</w:t>
      </w:r>
      <w:r>
        <w:rPr>
          <w:spacing w:val="79"/>
          <w:sz w:val="22"/>
        </w:rPr>
        <w:t> </w:t>
      </w:r>
      <w:r>
        <w:rPr>
          <w:sz w:val="22"/>
        </w:rPr>
        <w:t>předávající</w:t>
      </w:r>
      <w:r>
        <w:rPr>
          <w:spacing w:val="80"/>
          <w:sz w:val="22"/>
        </w:rPr>
        <w:t> </w:t>
      </w:r>
      <w:r>
        <w:rPr>
          <w:sz w:val="22"/>
        </w:rPr>
        <w:t>komunální</w:t>
      </w:r>
      <w:r>
        <w:rPr>
          <w:spacing w:val="80"/>
          <w:sz w:val="22"/>
        </w:rPr>
        <w:t> </w:t>
      </w:r>
      <w:r>
        <w:rPr>
          <w:sz w:val="22"/>
        </w:rPr>
        <w:t>odpad</w:t>
      </w:r>
      <w:r>
        <w:rPr>
          <w:spacing w:val="79"/>
          <w:sz w:val="22"/>
        </w:rPr>
        <w:t> </w:t>
      </w:r>
      <w:r>
        <w:rPr>
          <w:sz w:val="22"/>
        </w:rPr>
        <w:t>na</w:t>
      </w:r>
      <w:r>
        <w:rPr>
          <w:spacing w:val="76"/>
          <w:sz w:val="22"/>
        </w:rPr>
        <w:t> </w:t>
      </w:r>
      <w:r>
        <w:rPr>
          <w:sz w:val="22"/>
        </w:rPr>
        <w:t>místa</w:t>
      </w:r>
      <w:r>
        <w:rPr>
          <w:spacing w:val="76"/>
          <w:sz w:val="22"/>
        </w:rPr>
        <w:t> </w:t>
      </w:r>
      <w:r>
        <w:rPr>
          <w:sz w:val="22"/>
        </w:rPr>
        <w:t>určená</w:t>
      </w:r>
      <w:r>
        <w:rPr>
          <w:spacing w:val="79"/>
          <w:sz w:val="22"/>
        </w:rPr>
        <w:t> </w:t>
      </w:r>
      <w:r>
        <w:rPr>
          <w:sz w:val="22"/>
        </w:rPr>
        <w:t>obcí</w:t>
      </w:r>
      <w:r>
        <w:rPr>
          <w:spacing w:val="77"/>
          <w:sz w:val="22"/>
        </w:rPr>
        <w:t> </w:t>
      </w:r>
      <w:r>
        <w:rPr>
          <w:sz w:val="22"/>
        </w:rPr>
        <w:t>jsou</w:t>
      </w:r>
      <w:r>
        <w:rPr>
          <w:spacing w:val="78"/>
          <w:sz w:val="22"/>
        </w:rPr>
        <w:t> </w:t>
      </w:r>
      <w:r>
        <w:rPr>
          <w:sz w:val="22"/>
        </w:rPr>
        <w:t>povinny</w:t>
      </w:r>
      <w:r>
        <w:rPr>
          <w:spacing w:val="79"/>
          <w:sz w:val="22"/>
        </w:rPr>
        <w:t> </w:t>
      </w:r>
      <w:r>
        <w:rPr>
          <w:sz w:val="22"/>
        </w:rPr>
        <w:t>odděleně soustřeďovat následující složky:</w:t>
      </w:r>
    </w:p>
    <w:p>
      <w:pPr>
        <w:pStyle w:val="BodyText"/>
      </w:pPr>
    </w:p>
    <w:p>
      <w:pPr>
        <w:pStyle w:val="ListParagraph"/>
        <w:numPr>
          <w:ilvl w:val="2"/>
          <w:numId w:val="1"/>
        </w:numPr>
        <w:tabs>
          <w:tab w:pos="1352" w:val="left" w:leader="none"/>
        </w:tabs>
        <w:spacing w:line="253" w:lineRule="exact" w:before="0" w:after="0"/>
        <w:ind w:left="1352" w:right="0" w:hanging="359"/>
        <w:jc w:val="left"/>
        <w:rPr>
          <w:i/>
          <w:sz w:val="22"/>
        </w:rPr>
      </w:pPr>
      <w:r>
        <w:rPr>
          <w:i/>
          <w:sz w:val="22"/>
        </w:rPr>
        <w:t>Biologické</w:t>
      </w:r>
      <w:r>
        <w:rPr>
          <w:i/>
          <w:spacing w:val="-14"/>
          <w:sz w:val="22"/>
        </w:rPr>
        <w:t> </w:t>
      </w:r>
      <w:r>
        <w:rPr>
          <w:i/>
          <w:spacing w:val="-2"/>
          <w:sz w:val="22"/>
        </w:rPr>
        <w:t>odpady,</w:t>
      </w:r>
    </w:p>
    <w:p>
      <w:pPr>
        <w:pStyle w:val="ListParagraph"/>
        <w:numPr>
          <w:ilvl w:val="2"/>
          <w:numId w:val="1"/>
        </w:numPr>
        <w:tabs>
          <w:tab w:pos="1352" w:val="left" w:leader="none"/>
        </w:tabs>
        <w:spacing w:line="253" w:lineRule="exact" w:before="0" w:after="0"/>
        <w:ind w:left="1352" w:right="0" w:hanging="359"/>
        <w:jc w:val="left"/>
        <w:rPr>
          <w:i/>
          <w:sz w:val="22"/>
        </w:rPr>
      </w:pPr>
      <w:r>
        <w:rPr>
          <w:i/>
          <w:spacing w:val="-2"/>
          <w:sz w:val="22"/>
        </w:rPr>
        <w:t>Papír,</w:t>
      </w:r>
    </w:p>
    <w:p>
      <w:pPr>
        <w:pStyle w:val="ListParagraph"/>
        <w:numPr>
          <w:ilvl w:val="2"/>
          <w:numId w:val="1"/>
        </w:numPr>
        <w:tabs>
          <w:tab w:pos="1352" w:val="left" w:leader="none"/>
        </w:tabs>
        <w:spacing w:line="253" w:lineRule="exact" w:before="0" w:after="0"/>
        <w:ind w:left="1352" w:right="0" w:hanging="359"/>
        <w:jc w:val="left"/>
        <w:rPr>
          <w:i/>
          <w:sz w:val="22"/>
        </w:rPr>
      </w:pPr>
      <w:r>
        <w:rPr>
          <w:i/>
          <w:sz w:val="22"/>
        </w:rPr>
        <w:t>Plasty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včetně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PET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lahví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kovového</w:t>
      </w:r>
      <w:r>
        <w:rPr>
          <w:i/>
          <w:spacing w:val="-5"/>
          <w:sz w:val="22"/>
        </w:rPr>
        <w:t> </w:t>
      </w:r>
      <w:r>
        <w:rPr>
          <w:i/>
          <w:spacing w:val="-2"/>
          <w:sz w:val="22"/>
        </w:rPr>
        <w:t>odpadu,</w:t>
      </w:r>
    </w:p>
    <w:p>
      <w:pPr>
        <w:pStyle w:val="ListParagraph"/>
        <w:numPr>
          <w:ilvl w:val="2"/>
          <w:numId w:val="1"/>
        </w:numPr>
        <w:tabs>
          <w:tab w:pos="1352" w:val="left" w:leader="none"/>
        </w:tabs>
        <w:spacing w:line="252" w:lineRule="exact" w:before="0" w:after="0"/>
        <w:ind w:left="1352" w:right="0" w:hanging="359"/>
        <w:jc w:val="left"/>
        <w:rPr>
          <w:i/>
          <w:sz w:val="22"/>
        </w:rPr>
      </w:pPr>
      <w:r>
        <w:rPr>
          <w:i/>
          <w:spacing w:val="-2"/>
          <w:sz w:val="22"/>
        </w:rPr>
        <w:t>Sklo,</w:t>
      </w:r>
    </w:p>
    <w:p>
      <w:pPr>
        <w:pStyle w:val="ListParagraph"/>
        <w:numPr>
          <w:ilvl w:val="2"/>
          <w:numId w:val="1"/>
        </w:numPr>
        <w:tabs>
          <w:tab w:pos="1352" w:val="left" w:leader="none"/>
        </w:tabs>
        <w:spacing w:line="253" w:lineRule="exact" w:before="0" w:after="0"/>
        <w:ind w:left="1352" w:right="0" w:hanging="359"/>
        <w:jc w:val="left"/>
        <w:rPr>
          <w:i/>
          <w:sz w:val="22"/>
        </w:rPr>
      </w:pPr>
      <w:r>
        <w:rPr>
          <w:i/>
          <w:spacing w:val="-2"/>
          <w:sz w:val="22"/>
        </w:rPr>
        <w:t>Kovy,</w:t>
      </w:r>
    </w:p>
    <w:p>
      <w:pPr>
        <w:pStyle w:val="ListParagraph"/>
        <w:numPr>
          <w:ilvl w:val="2"/>
          <w:numId w:val="1"/>
        </w:numPr>
        <w:tabs>
          <w:tab w:pos="1353" w:val="left" w:leader="none"/>
        </w:tabs>
        <w:spacing w:line="253" w:lineRule="exact" w:before="1" w:after="0"/>
        <w:ind w:left="1353" w:right="0" w:hanging="360"/>
        <w:jc w:val="left"/>
        <w:rPr>
          <w:i/>
          <w:sz w:val="22"/>
        </w:rPr>
      </w:pPr>
      <w:r>
        <w:rPr>
          <w:i/>
          <w:sz w:val="22"/>
        </w:rPr>
        <w:t>Nebezpečné</w:t>
      </w:r>
      <w:r>
        <w:rPr>
          <w:i/>
          <w:spacing w:val="-10"/>
          <w:sz w:val="22"/>
        </w:rPr>
        <w:t> </w:t>
      </w:r>
      <w:r>
        <w:rPr>
          <w:i/>
          <w:spacing w:val="-2"/>
          <w:sz w:val="22"/>
        </w:rPr>
        <w:t>odpady,</w:t>
      </w:r>
    </w:p>
    <w:p>
      <w:pPr>
        <w:pStyle w:val="ListParagraph"/>
        <w:numPr>
          <w:ilvl w:val="2"/>
          <w:numId w:val="1"/>
        </w:numPr>
        <w:tabs>
          <w:tab w:pos="1352" w:val="left" w:leader="none"/>
        </w:tabs>
        <w:spacing w:line="253" w:lineRule="exact" w:before="0" w:after="0"/>
        <w:ind w:left="1352" w:right="0" w:hanging="359"/>
        <w:jc w:val="left"/>
        <w:rPr>
          <w:i/>
          <w:sz w:val="22"/>
        </w:rPr>
      </w:pPr>
      <w:r>
        <w:rPr>
          <w:i/>
          <w:sz w:val="22"/>
        </w:rPr>
        <w:t>Objemný</w:t>
      </w:r>
      <w:r>
        <w:rPr>
          <w:i/>
          <w:spacing w:val="-7"/>
          <w:sz w:val="22"/>
        </w:rPr>
        <w:t> </w:t>
      </w:r>
      <w:r>
        <w:rPr>
          <w:i/>
          <w:spacing w:val="-2"/>
          <w:sz w:val="22"/>
        </w:rPr>
        <w:t>odpad,</w:t>
      </w:r>
    </w:p>
    <w:p>
      <w:pPr>
        <w:pStyle w:val="ListParagraph"/>
        <w:numPr>
          <w:ilvl w:val="2"/>
          <w:numId w:val="1"/>
        </w:numPr>
        <w:tabs>
          <w:tab w:pos="1352" w:val="left" w:leader="none"/>
        </w:tabs>
        <w:spacing w:line="253" w:lineRule="exact" w:before="0" w:after="0"/>
        <w:ind w:left="1352" w:right="0" w:hanging="359"/>
        <w:jc w:val="left"/>
        <w:rPr>
          <w:i/>
          <w:sz w:val="22"/>
        </w:rPr>
      </w:pPr>
      <w:r>
        <w:rPr>
          <w:i/>
          <w:sz w:val="22"/>
        </w:rPr>
        <w:t>Jedlé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oleje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2"/>
          <w:sz w:val="22"/>
        </w:rPr>
        <w:t> tuky,</w:t>
      </w:r>
    </w:p>
    <w:p>
      <w:pPr>
        <w:pStyle w:val="ListParagraph"/>
        <w:numPr>
          <w:ilvl w:val="2"/>
          <w:numId w:val="1"/>
        </w:numPr>
        <w:tabs>
          <w:tab w:pos="1353" w:val="left" w:leader="none"/>
        </w:tabs>
        <w:spacing w:line="252" w:lineRule="exact" w:before="0" w:after="0"/>
        <w:ind w:left="1353" w:right="0" w:hanging="360"/>
        <w:jc w:val="left"/>
        <w:rPr>
          <w:i/>
          <w:sz w:val="22"/>
        </w:rPr>
      </w:pPr>
      <w:r>
        <w:rPr>
          <w:i/>
          <w:spacing w:val="-2"/>
          <w:sz w:val="22"/>
        </w:rPr>
        <w:t>Textil,</w:t>
      </w:r>
    </w:p>
    <w:p>
      <w:pPr>
        <w:pStyle w:val="ListParagraph"/>
        <w:numPr>
          <w:ilvl w:val="2"/>
          <w:numId w:val="1"/>
        </w:numPr>
        <w:tabs>
          <w:tab w:pos="1353" w:val="left" w:leader="none"/>
        </w:tabs>
        <w:spacing w:line="253" w:lineRule="exact" w:before="0" w:after="0"/>
        <w:ind w:left="1353" w:right="0" w:hanging="360"/>
        <w:jc w:val="left"/>
        <w:rPr>
          <w:i/>
          <w:sz w:val="22"/>
        </w:rPr>
      </w:pPr>
      <w:r>
        <w:rPr>
          <w:i/>
          <w:sz w:val="22"/>
        </w:rPr>
        <w:t>Směsný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komunální</w:t>
      </w:r>
      <w:r>
        <w:rPr>
          <w:i/>
          <w:spacing w:val="-7"/>
          <w:sz w:val="22"/>
        </w:rPr>
        <w:t> </w:t>
      </w:r>
      <w:r>
        <w:rPr>
          <w:i/>
          <w:spacing w:val="-2"/>
          <w:sz w:val="22"/>
        </w:rPr>
        <w:t>odpad.</w:t>
      </w:r>
    </w:p>
    <w:p>
      <w:pPr>
        <w:pStyle w:val="BodyText"/>
        <w:spacing w:before="5"/>
        <w:rPr>
          <w:i/>
        </w:rPr>
      </w:pPr>
    </w:p>
    <w:p>
      <w:pPr>
        <w:pStyle w:val="ListParagraph"/>
        <w:numPr>
          <w:ilvl w:val="1"/>
          <w:numId w:val="1"/>
        </w:numPr>
        <w:tabs>
          <w:tab w:pos="926" w:val="left" w:leader="none"/>
        </w:tabs>
        <w:spacing w:line="235" w:lineRule="auto" w:before="1" w:after="0"/>
        <w:ind w:left="926" w:right="142" w:hanging="360"/>
        <w:jc w:val="left"/>
        <w:rPr>
          <w:sz w:val="22"/>
        </w:rPr>
      </w:pPr>
      <w:r>
        <w:rPr>
          <w:sz w:val="22"/>
        </w:rPr>
        <w:t>Směsným</w:t>
      </w:r>
      <w:r>
        <w:rPr>
          <w:spacing w:val="40"/>
          <w:sz w:val="22"/>
        </w:rPr>
        <w:t> </w:t>
      </w:r>
      <w:r>
        <w:rPr>
          <w:sz w:val="22"/>
        </w:rPr>
        <w:t>komunálním</w:t>
      </w:r>
      <w:r>
        <w:rPr>
          <w:spacing w:val="40"/>
          <w:sz w:val="22"/>
        </w:rPr>
        <w:t> </w:t>
      </w:r>
      <w:r>
        <w:rPr>
          <w:sz w:val="22"/>
        </w:rPr>
        <w:t>odpadem</w:t>
      </w:r>
      <w:r>
        <w:rPr>
          <w:spacing w:val="40"/>
          <w:sz w:val="22"/>
        </w:rPr>
        <w:t> </w:t>
      </w:r>
      <w:r>
        <w:rPr>
          <w:sz w:val="22"/>
        </w:rPr>
        <w:t>se</w:t>
      </w:r>
      <w:r>
        <w:rPr>
          <w:spacing w:val="40"/>
          <w:sz w:val="22"/>
        </w:rPr>
        <w:t> </w:t>
      </w:r>
      <w:r>
        <w:rPr>
          <w:sz w:val="22"/>
        </w:rPr>
        <w:t>rozumí</w:t>
      </w:r>
      <w:r>
        <w:rPr>
          <w:spacing w:val="40"/>
          <w:sz w:val="22"/>
        </w:rPr>
        <w:t> </w:t>
      </w:r>
      <w:r>
        <w:rPr>
          <w:sz w:val="22"/>
        </w:rPr>
        <w:t>zbylý</w:t>
      </w:r>
      <w:r>
        <w:rPr>
          <w:spacing w:val="40"/>
          <w:sz w:val="22"/>
        </w:rPr>
        <w:t> </w:t>
      </w:r>
      <w:r>
        <w:rPr>
          <w:sz w:val="22"/>
        </w:rPr>
        <w:t>komunální</w:t>
      </w:r>
      <w:r>
        <w:rPr>
          <w:spacing w:val="40"/>
          <w:sz w:val="22"/>
        </w:rPr>
        <w:t> </w:t>
      </w:r>
      <w:r>
        <w:rPr>
          <w:sz w:val="22"/>
        </w:rPr>
        <w:t>odpad</w:t>
      </w:r>
      <w:r>
        <w:rPr>
          <w:spacing w:val="40"/>
          <w:sz w:val="22"/>
        </w:rPr>
        <w:t> </w:t>
      </w:r>
      <w:r>
        <w:rPr>
          <w:sz w:val="22"/>
        </w:rPr>
        <w:t>po</w:t>
      </w:r>
      <w:r>
        <w:rPr>
          <w:spacing w:val="40"/>
          <w:sz w:val="22"/>
        </w:rPr>
        <w:t> </w:t>
      </w:r>
      <w:r>
        <w:rPr>
          <w:sz w:val="22"/>
        </w:rPr>
        <w:t>stanoveném vytřídění podle odstavce 1 písm. a), b), c), d), e), f), g), h) a i).</w:t>
      </w:r>
    </w:p>
    <w:p>
      <w:pPr>
        <w:pStyle w:val="BodyText"/>
        <w:spacing w:before="6"/>
      </w:pPr>
    </w:p>
    <w:p>
      <w:pPr>
        <w:pStyle w:val="ListParagraph"/>
        <w:numPr>
          <w:ilvl w:val="1"/>
          <w:numId w:val="1"/>
        </w:numPr>
        <w:tabs>
          <w:tab w:pos="926" w:val="left" w:leader="none"/>
        </w:tabs>
        <w:spacing w:line="235" w:lineRule="auto" w:before="0" w:after="0"/>
        <w:ind w:left="926" w:right="141" w:hanging="360"/>
        <w:jc w:val="left"/>
        <w:rPr>
          <w:sz w:val="22"/>
        </w:rPr>
      </w:pPr>
      <w:r>
        <w:rPr>
          <w:sz w:val="22"/>
        </w:rPr>
        <w:t>Objemný</w:t>
      </w:r>
      <w:r>
        <w:rPr>
          <w:spacing w:val="71"/>
          <w:sz w:val="22"/>
        </w:rPr>
        <w:t> </w:t>
      </w:r>
      <w:r>
        <w:rPr>
          <w:sz w:val="22"/>
        </w:rPr>
        <w:t>odpad</w:t>
      </w:r>
      <w:r>
        <w:rPr>
          <w:spacing w:val="71"/>
          <w:sz w:val="22"/>
        </w:rPr>
        <w:t> </w:t>
      </w:r>
      <w:r>
        <w:rPr>
          <w:sz w:val="22"/>
        </w:rPr>
        <w:t>je</w:t>
      </w:r>
      <w:r>
        <w:rPr>
          <w:spacing w:val="71"/>
          <w:sz w:val="22"/>
        </w:rPr>
        <w:t> </w:t>
      </w:r>
      <w:r>
        <w:rPr>
          <w:sz w:val="22"/>
        </w:rPr>
        <w:t>takový</w:t>
      </w:r>
      <w:r>
        <w:rPr>
          <w:spacing w:val="74"/>
          <w:sz w:val="22"/>
        </w:rPr>
        <w:t> </w:t>
      </w:r>
      <w:r>
        <w:rPr>
          <w:sz w:val="22"/>
        </w:rPr>
        <w:t>odpad,</w:t>
      </w:r>
      <w:r>
        <w:rPr>
          <w:spacing w:val="73"/>
          <w:sz w:val="22"/>
        </w:rPr>
        <w:t> </w:t>
      </w:r>
      <w:r>
        <w:rPr>
          <w:sz w:val="22"/>
        </w:rPr>
        <w:t>který</w:t>
      </w:r>
      <w:r>
        <w:rPr>
          <w:spacing w:val="75"/>
          <w:sz w:val="22"/>
        </w:rPr>
        <w:t> </w:t>
      </w:r>
      <w:r>
        <w:rPr>
          <w:sz w:val="22"/>
        </w:rPr>
        <w:t>vzhledem</w:t>
      </w:r>
      <w:r>
        <w:rPr>
          <w:spacing w:val="73"/>
          <w:sz w:val="22"/>
        </w:rPr>
        <w:t> </w:t>
      </w:r>
      <w:r>
        <w:rPr>
          <w:sz w:val="22"/>
        </w:rPr>
        <w:t>ke</w:t>
      </w:r>
      <w:r>
        <w:rPr>
          <w:spacing w:val="71"/>
          <w:sz w:val="22"/>
        </w:rPr>
        <w:t> </w:t>
      </w:r>
      <w:r>
        <w:rPr>
          <w:sz w:val="22"/>
        </w:rPr>
        <w:t>svým</w:t>
      </w:r>
      <w:r>
        <w:rPr>
          <w:spacing w:val="73"/>
          <w:sz w:val="22"/>
        </w:rPr>
        <w:t> </w:t>
      </w:r>
      <w:r>
        <w:rPr>
          <w:sz w:val="22"/>
        </w:rPr>
        <w:t>rozměrům</w:t>
      </w:r>
      <w:r>
        <w:rPr>
          <w:spacing w:val="75"/>
          <w:sz w:val="22"/>
        </w:rPr>
        <w:t> </w:t>
      </w:r>
      <w:r>
        <w:rPr>
          <w:sz w:val="22"/>
        </w:rPr>
        <w:t>nemůže</w:t>
      </w:r>
      <w:r>
        <w:rPr>
          <w:spacing w:val="71"/>
          <w:sz w:val="22"/>
        </w:rPr>
        <w:t> </w:t>
      </w:r>
      <w:r>
        <w:rPr>
          <w:sz w:val="22"/>
        </w:rPr>
        <w:t>být umístěn do sběrných nádob (</w:t>
      </w:r>
      <w:r>
        <w:rPr>
          <w:i/>
          <w:sz w:val="22"/>
        </w:rPr>
        <w:t>např. koberce, matrace, nábytek, …</w:t>
      </w:r>
      <w:r>
        <w:rPr>
          <w:sz w:val="22"/>
        </w:rPr>
        <w:t>).</w:t>
      </w:r>
    </w:p>
    <w:p>
      <w:pPr>
        <w:pStyle w:val="ListParagraph"/>
        <w:spacing w:after="0" w:line="235" w:lineRule="auto"/>
        <w:jc w:val="left"/>
        <w:rPr>
          <w:sz w:val="22"/>
        </w:rPr>
        <w:sectPr>
          <w:type w:val="continuous"/>
          <w:pgSz w:w="11910" w:h="16840"/>
          <w:pgMar w:top="1320" w:bottom="280" w:left="850" w:right="1275"/>
        </w:sectPr>
      </w:pPr>
    </w:p>
    <w:p>
      <w:pPr>
        <w:pStyle w:val="Heading1"/>
        <w:spacing w:line="252" w:lineRule="exact" w:before="72"/>
      </w:pPr>
      <w:r>
        <w:rPr/>
        <w:t>Čl. </w:t>
      </w:r>
      <w:r>
        <w:rPr>
          <w:spacing w:val="-10"/>
        </w:rPr>
        <w:t>3</w:t>
      </w:r>
    </w:p>
    <w:p>
      <w:pPr>
        <w:spacing w:line="252" w:lineRule="exact" w:before="0"/>
        <w:ind w:left="528" w:right="107" w:firstLine="0"/>
        <w:jc w:val="center"/>
        <w:rPr>
          <w:b/>
          <w:sz w:val="22"/>
        </w:rPr>
      </w:pPr>
      <w:r>
        <w:rPr>
          <w:b/>
          <w:sz w:val="22"/>
        </w:rPr>
        <w:t>Určení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míst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pro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oddělené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soustřeďování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určených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složek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komunálního</w:t>
      </w:r>
      <w:r>
        <w:rPr>
          <w:b/>
          <w:spacing w:val="-6"/>
          <w:sz w:val="22"/>
        </w:rPr>
        <w:t> </w:t>
      </w:r>
      <w:r>
        <w:rPr>
          <w:b/>
          <w:spacing w:val="-2"/>
          <w:sz w:val="22"/>
        </w:rPr>
        <w:t>odpadu</w:t>
      </w:r>
    </w:p>
    <w:p>
      <w:pPr>
        <w:pStyle w:val="BodyText"/>
        <w:spacing w:before="6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926" w:val="left" w:leader="none"/>
        </w:tabs>
        <w:spacing w:line="235" w:lineRule="auto" w:before="1" w:after="0"/>
        <w:ind w:left="926" w:right="140" w:hanging="360"/>
        <w:jc w:val="both"/>
        <w:rPr>
          <w:sz w:val="22"/>
        </w:rPr>
      </w:pPr>
      <w:r>
        <w:rPr>
          <w:sz w:val="22"/>
        </w:rPr>
        <w:t>Papír, plasty, sklo, kovy, biologické odpady, jedlé oleje a tuky, textil se soustřeďují do zvláštních sběrných nádob, kterými jsou kontejnery, pytle a místa k tomu určená.</w:t>
      </w:r>
    </w:p>
    <w:p>
      <w:pPr>
        <w:pStyle w:val="ListParagraph"/>
        <w:numPr>
          <w:ilvl w:val="0"/>
          <w:numId w:val="2"/>
        </w:numPr>
        <w:tabs>
          <w:tab w:pos="925" w:val="left" w:leader="none"/>
        </w:tabs>
        <w:spacing w:line="273" w:lineRule="exact" w:before="252" w:after="0"/>
        <w:ind w:left="925" w:right="0" w:hanging="359"/>
        <w:jc w:val="left"/>
        <w:rPr>
          <w:sz w:val="22"/>
        </w:rPr>
      </w:pPr>
      <w:r>
        <w:rPr>
          <w:sz w:val="22"/>
        </w:rPr>
        <w:t>Zvláštní</w:t>
      </w:r>
      <w:r>
        <w:rPr>
          <w:spacing w:val="-5"/>
          <w:sz w:val="22"/>
        </w:rPr>
        <w:t> </w:t>
      </w:r>
      <w:r>
        <w:rPr>
          <w:sz w:val="22"/>
        </w:rPr>
        <w:t>sběrné</w:t>
      </w:r>
      <w:r>
        <w:rPr>
          <w:spacing w:val="-6"/>
          <w:sz w:val="22"/>
        </w:rPr>
        <w:t> </w:t>
      </w:r>
      <w:r>
        <w:rPr>
          <w:sz w:val="22"/>
        </w:rPr>
        <w:t>nádoby</w:t>
      </w:r>
      <w:r>
        <w:rPr>
          <w:spacing w:val="-6"/>
          <w:sz w:val="22"/>
        </w:rPr>
        <w:t> </w:t>
      </w:r>
      <w:r>
        <w:rPr>
          <w:sz w:val="22"/>
        </w:rPr>
        <w:t>jsou</w:t>
      </w:r>
      <w:r>
        <w:rPr>
          <w:spacing w:val="-5"/>
          <w:sz w:val="22"/>
        </w:rPr>
        <w:t> </w:t>
      </w:r>
      <w:r>
        <w:rPr>
          <w:sz w:val="22"/>
        </w:rPr>
        <w:t>umístěny</w:t>
      </w:r>
      <w:r>
        <w:rPr>
          <w:spacing w:val="-3"/>
          <w:sz w:val="22"/>
        </w:rPr>
        <w:t> </w:t>
      </w:r>
      <w:r>
        <w:rPr>
          <w:sz w:val="22"/>
        </w:rPr>
        <w:t>na</w:t>
      </w:r>
      <w:r>
        <w:rPr>
          <w:spacing w:val="-6"/>
          <w:sz w:val="22"/>
        </w:rPr>
        <w:t> </w:t>
      </w:r>
      <w:r>
        <w:rPr>
          <w:sz w:val="22"/>
        </w:rPr>
        <w:t>těchto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stanovištích:</w:t>
      </w:r>
    </w:p>
    <w:p>
      <w:pPr>
        <w:pStyle w:val="BodyText"/>
        <w:spacing w:line="242" w:lineRule="auto"/>
        <w:ind w:left="926"/>
      </w:pPr>
      <w:r>
        <w:rPr/>
        <w:t>Sběrné nádoby na papír, sklo, plasty, jedlé oleje, textil a kov jsou umístěny na vyhrazené ploše u obecního úřadu, parc. č. 58/10.</w:t>
      </w:r>
    </w:p>
    <w:p>
      <w:pPr>
        <w:pStyle w:val="BodyText"/>
        <w:spacing w:line="242" w:lineRule="auto"/>
        <w:ind w:left="926"/>
      </w:pPr>
      <w:r>
        <w:rPr/>
        <w:t>Biologický</w:t>
      </w:r>
      <w:r>
        <w:rPr>
          <w:spacing w:val="37"/>
        </w:rPr>
        <w:t> </w:t>
      </w:r>
      <w:r>
        <w:rPr/>
        <w:t>odpad</w:t>
      </w:r>
      <w:r>
        <w:rPr>
          <w:spacing w:val="36"/>
        </w:rPr>
        <w:t> </w:t>
      </w:r>
      <w:r>
        <w:rPr/>
        <w:t>je</w:t>
      </w:r>
      <w:r>
        <w:rPr>
          <w:spacing w:val="36"/>
        </w:rPr>
        <w:t> </w:t>
      </w:r>
      <w:r>
        <w:rPr/>
        <w:t>soustřeďován</w:t>
      </w:r>
      <w:r>
        <w:rPr>
          <w:spacing w:val="36"/>
        </w:rPr>
        <w:t> </w:t>
      </w:r>
      <w:r>
        <w:rPr/>
        <w:t>pod</w:t>
      </w:r>
      <w:r>
        <w:rPr>
          <w:spacing w:val="34"/>
        </w:rPr>
        <w:t> </w:t>
      </w:r>
      <w:r>
        <w:rPr/>
        <w:t>hřbitovní</w:t>
      </w:r>
      <w:r>
        <w:rPr>
          <w:spacing w:val="35"/>
        </w:rPr>
        <w:t> </w:t>
      </w:r>
      <w:r>
        <w:rPr/>
        <w:t>zeď</w:t>
      </w:r>
      <w:r>
        <w:rPr>
          <w:spacing w:val="37"/>
        </w:rPr>
        <w:t> </w:t>
      </w:r>
      <w:r>
        <w:rPr/>
        <w:t>do</w:t>
      </w:r>
      <w:r>
        <w:rPr>
          <w:spacing w:val="34"/>
        </w:rPr>
        <w:t> </w:t>
      </w:r>
      <w:r>
        <w:rPr/>
        <w:t>odvolání,</w:t>
      </w:r>
      <w:r>
        <w:rPr>
          <w:spacing w:val="38"/>
        </w:rPr>
        <w:t> </w:t>
      </w:r>
      <w:r>
        <w:rPr/>
        <w:t>parc.</w:t>
      </w:r>
      <w:r>
        <w:rPr>
          <w:spacing w:val="36"/>
        </w:rPr>
        <w:t> </w:t>
      </w:r>
      <w:r>
        <w:rPr/>
        <w:t>č.</w:t>
      </w:r>
      <w:r>
        <w:rPr>
          <w:spacing w:val="38"/>
        </w:rPr>
        <w:t> </w:t>
      </w:r>
      <w:r>
        <w:rPr/>
        <w:t>91/4</w:t>
      </w:r>
      <w:r>
        <w:rPr>
          <w:spacing w:val="34"/>
        </w:rPr>
        <w:t> </w:t>
      </w:r>
      <w:r>
        <w:rPr/>
        <w:t>(větve musí být pokráceny na co nejmenší kusy).</w:t>
      </w:r>
    </w:p>
    <w:p>
      <w:pPr>
        <w:pStyle w:val="BodyText"/>
        <w:spacing w:line="248" w:lineRule="exact"/>
        <w:ind w:left="926"/>
      </w:pPr>
      <w:r>
        <w:rPr/>
        <w:t>Popelnice</w:t>
      </w:r>
      <w:r>
        <w:rPr>
          <w:spacing w:val="-5"/>
        </w:rPr>
        <w:t> </w:t>
      </w:r>
      <w:r>
        <w:rPr/>
        <w:t>na</w:t>
      </w:r>
      <w:r>
        <w:rPr>
          <w:spacing w:val="-5"/>
        </w:rPr>
        <w:t> </w:t>
      </w:r>
      <w:r>
        <w:rPr/>
        <w:t>bioodpad</w:t>
      </w:r>
      <w:r>
        <w:rPr>
          <w:spacing w:val="-7"/>
        </w:rPr>
        <w:t> </w:t>
      </w:r>
      <w:r>
        <w:rPr/>
        <w:t>má</w:t>
      </w:r>
      <w:r>
        <w:rPr>
          <w:spacing w:val="-5"/>
        </w:rPr>
        <w:t> </w:t>
      </w:r>
      <w:r>
        <w:rPr/>
        <w:t>barvu</w:t>
      </w:r>
      <w:r>
        <w:rPr>
          <w:spacing w:val="-4"/>
        </w:rPr>
        <w:t> </w:t>
      </w:r>
      <w:r>
        <w:rPr>
          <w:spacing w:val="-2"/>
        </w:rPr>
        <w:t>hnědou.</w:t>
      </w:r>
    </w:p>
    <w:p>
      <w:pPr>
        <w:pStyle w:val="BodyText"/>
        <w:ind w:left="926"/>
      </w:pPr>
      <w:r>
        <w:rPr/>
        <w:t>Na směsný komunální odpad je přistavena u vrat hřbitova popelnice barvy černé. Kontejnery na nebezpečný odpad a velkoobjemový odpad jsou při svozu umístěny vedle požární nádrže, parc. č. 440/2.</w:t>
      </w:r>
    </w:p>
    <w:p>
      <w:pPr>
        <w:pStyle w:val="BodyText"/>
        <w:ind w:left="926"/>
      </w:pPr>
      <w:r>
        <w:rPr/>
        <w:t>Jedlé</w:t>
      </w:r>
      <w:r>
        <w:rPr>
          <w:spacing w:val="-6"/>
        </w:rPr>
        <w:t> </w:t>
      </w:r>
      <w:r>
        <w:rPr/>
        <w:t>oleje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tuky</w:t>
      </w:r>
      <w:r>
        <w:rPr>
          <w:spacing w:val="-6"/>
        </w:rPr>
        <w:t> </w:t>
      </w:r>
      <w:r>
        <w:rPr/>
        <w:t>jsou</w:t>
      </w:r>
      <w:r>
        <w:rPr>
          <w:spacing w:val="-5"/>
        </w:rPr>
        <w:t> </w:t>
      </w:r>
      <w:r>
        <w:rPr/>
        <w:t>soustředěny</w:t>
      </w:r>
      <w:r>
        <w:rPr>
          <w:spacing w:val="-6"/>
        </w:rPr>
        <w:t> </w:t>
      </w:r>
      <w:r>
        <w:rPr/>
        <w:t>v</w:t>
      </w:r>
      <w:r>
        <w:rPr>
          <w:spacing w:val="-5"/>
        </w:rPr>
        <w:t> </w:t>
      </w:r>
      <w:r>
        <w:rPr/>
        <w:t>označené</w:t>
      </w:r>
      <w:r>
        <w:rPr>
          <w:spacing w:val="-8"/>
        </w:rPr>
        <w:t> </w:t>
      </w:r>
      <w:r>
        <w:rPr/>
        <w:t>nádobě</w:t>
      </w:r>
      <w:r>
        <w:rPr>
          <w:spacing w:val="-4"/>
        </w:rPr>
        <w:t> </w:t>
      </w:r>
      <w:r>
        <w:rPr/>
        <w:t>barvy</w:t>
      </w:r>
      <w:r>
        <w:rPr>
          <w:spacing w:val="-5"/>
        </w:rPr>
        <w:t> </w:t>
      </w:r>
      <w:r>
        <w:rPr>
          <w:spacing w:val="-2"/>
        </w:rPr>
        <w:t>bílé.</w:t>
      </w:r>
    </w:p>
    <w:p>
      <w:pPr>
        <w:pStyle w:val="ListParagraph"/>
        <w:numPr>
          <w:ilvl w:val="0"/>
          <w:numId w:val="2"/>
        </w:numPr>
        <w:tabs>
          <w:tab w:pos="925" w:val="left" w:leader="none"/>
        </w:tabs>
        <w:spacing w:line="240" w:lineRule="auto" w:before="247" w:after="0"/>
        <w:ind w:left="925" w:right="0" w:hanging="359"/>
        <w:jc w:val="left"/>
        <w:rPr>
          <w:sz w:val="22"/>
        </w:rPr>
      </w:pPr>
      <w:r>
        <w:rPr>
          <w:sz w:val="22"/>
        </w:rPr>
        <w:t>Zvláštní</w:t>
      </w:r>
      <w:r>
        <w:rPr>
          <w:spacing w:val="-6"/>
          <w:sz w:val="22"/>
        </w:rPr>
        <w:t> </w:t>
      </w:r>
      <w:r>
        <w:rPr>
          <w:sz w:val="22"/>
        </w:rPr>
        <w:t>sběrné</w:t>
      </w:r>
      <w:r>
        <w:rPr>
          <w:spacing w:val="-8"/>
          <w:sz w:val="22"/>
        </w:rPr>
        <w:t> </w:t>
      </w:r>
      <w:r>
        <w:rPr>
          <w:sz w:val="22"/>
        </w:rPr>
        <w:t>nádoby</w:t>
      </w:r>
      <w:r>
        <w:rPr>
          <w:spacing w:val="-7"/>
          <w:sz w:val="22"/>
        </w:rPr>
        <w:t> </w:t>
      </w:r>
      <w:r>
        <w:rPr>
          <w:sz w:val="22"/>
        </w:rPr>
        <w:t>jsou</w:t>
      </w:r>
      <w:r>
        <w:rPr>
          <w:spacing w:val="-6"/>
          <w:sz w:val="22"/>
        </w:rPr>
        <w:t> </w:t>
      </w:r>
      <w:r>
        <w:rPr>
          <w:sz w:val="22"/>
        </w:rPr>
        <w:t>barevně</w:t>
      </w:r>
      <w:r>
        <w:rPr>
          <w:spacing w:val="-8"/>
          <w:sz w:val="22"/>
        </w:rPr>
        <w:t> </w:t>
      </w:r>
      <w:r>
        <w:rPr>
          <w:sz w:val="22"/>
        </w:rPr>
        <w:t>odlišeny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8"/>
          <w:sz w:val="22"/>
        </w:rPr>
        <w:t> </w:t>
      </w:r>
      <w:r>
        <w:rPr>
          <w:sz w:val="22"/>
        </w:rPr>
        <w:t>označeny</w:t>
      </w:r>
      <w:r>
        <w:rPr>
          <w:spacing w:val="-5"/>
          <w:sz w:val="22"/>
        </w:rPr>
        <w:t> </w:t>
      </w:r>
      <w:r>
        <w:rPr>
          <w:sz w:val="22"/>
        </w:rPr>
        <w:t>příslušnými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nápisy:</w:t>
      </w:r>
    </w:p>
    <w:p>
      <w:pPr>
        <w:pStyle w:val="ListParagraph"/>
        <w:numPr>
          <w:ilvl w:val="1"/>
          <w:numId w:val="2"/>
        </w:numPr>
        <w:tabs>
          <w:tab w:pos="1285" w:val="left" w:leader="none"/>
        </w:tabs>
        <w:spacing w:line="253" w:lineRule="exact" w:before="248" w:after="0"/>
        <w:ind w:left="1285" w:right="0" w:hanging="359"/>
        <w:jc w:val="left"/>
        <w:rPr>
          <w:i/>
          <w:sz w:val="22"/>
        </w:rPr>
      </w:pPr>
      <w:r>
        <w:rPr>
          <w:i/>
          <w:sz w:val="22"/>
        </w:rPr>
        <w:t>Biologické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odpady,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barva</w:t>
      </w:r>
      <w:r>
        <w:rPr>
          <w:i/>
          <w:spacing w:val="-6"/>
          <w:sz w:val="22"/>
        </w:rPr>
        <w:t> </w:t>
      </w:r>
      <w:r>
        <w:rPr>
          <w:i/>
          <w:spacing w:val="-2"/>
          <w:sz w:val="22"/>
        </w:rPr>
        <w:t>hnědá,</w:t>
      </w:r>
    </w:p>
    <w:p>
      <w:pPr>
        <w:pStyle w:val="ListParagraph"/>
        <w:numPr>
          <w:ilvl w:val="1"/>
          <w:numId w:val="2"/>
        </w:numPr>
        <w:tabs>
          <w:tab w:pos="1285" w:val="left" w:leader="none"/>
        </w:tabs>
        <w:spacing w:line="253" w:lineRule="exact" w:before="0" w:after="0"/>
        <w:ind w:left="1285" w:right="0" w:hanging="359"/>
        <w:jc w:val="left"/>
        <w:rPr>
          <w:i/>
          <w:sz w:val="22"/>
        </w:rPr>
      </w:pPr>
      <w:r>
        <w:rPr>
          <w:i/>
          <w:sz w:val="22"/>
        </w:rPr>
        <w:t>Papír,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barva</w:t>
      </w:r>
      <w:r>
        <w:rPr>
          <w:i/>
          <w:spacing w:val="-5"/>
          <w:sz w:val="22"/>
        </w:rPr>
        <w:t> </w:t>
      </w:r>
      <w:r>
        <w:rPr>
          <w:i/>
          <w:spacing w:val="-2"/>
          <w:sz w:val="22"/>
        </w:rPr>
        <w:t>modrá,</w:t>
      </w:r>
    </w:p>
    <w:p>
      <w:pPr>
        <w:pStyle w:val="ListParagraph"/>
        <w:numPr>
          <w:ilvl w:val="1"/>
          <w:numId w:val="2"/>
        </w:numPr>
        <w:tabs>
          <w:tab w:pos="1285" w:val="left" w:leader="none"/>
        </w:tabs>
        <w:spacing w:line="253" w:lineRule="exact" w:before="0" w:after="0"/>
        <w:ind w:left="1285" w:right="0" w:hanging="359"/>
        <w:jc w:val="left"/>
        <w:rPr>
          <w:i/>
          <w:sz w:val="22"/>
        </w:rPr>
      </w:pPr>
      <w:r>
        <w:rPr>
          <w:i/>
          <w:sz w:val="22"/>
        </w:rPr>
        <w:t>Plasty,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PET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lahve,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barva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žlutá,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pytle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barva</w:t>
      </w:r>
      <w:r>
        <w:rPr>
          <w:i/>
          <w:spacing w:val="-3"/>
          <w:sz w:val="22"/>
        </w:rPr>
        <w:t> </w:t>
      </w:r>
      <w:r>
        <w:rPr>
          <w:i/>
          <w:spacing w:val="-2"/>
          <w:sz w:val="22"/>
        </w:rPr>
        <w:t>žlutá,</w:t>
      </w:r>
    </w:p>
    <w:p>
      <w:pPr>
        <w:pStyle w:val="ListParagraph"/>
        <w:numPr>
          <w:ilvl w:val="1"/>
          <w:numId w:val="2"/>
        </w:numPr>
        <w:tabs>
          <w:tab w:pos="1285" w:val="left" w:leader="none"/>
        </w:tabs>
        <w:spacing w:line="252" w:lineRule="exact" w:before="0" w:after="0"/>
        <w:ind w:left="1285" w:right="0" w:hanging="359"/>
        <w:jc w:val="left"/>
        <w:rPr>
          <w:i/>
          <w:sz w:val="22"/>
        </w:rPr>
      </w:pPr>
      <w:r>
        <w:rPr>
          <w:i/>
          <w:sz w:val="22"/>
        </w:rPr>
        <w:t>Sklo,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barva</w:t>
      </w:r>
      <w:r>
        <w:rPr>
          <w:i/>
          <w:spacing w:val="-5"/>
          <w:sz w:val="22"/>
        </w:rPr>
        <w:t> </w:t>
      </w:r>
      <w:r>
        <w:rPr>
          <w:i/>
          <w:spacing w:val="-2"/>
          <w:sz w:val="22"/>
        </w:rPr>
        <w:t>zelená,</w:t>
      </w:r>
    </w:p>
    <w:p>
      <w:pPr>
        <w:pStyle w:val="ListParagraph"/>
        <w:numPr>
          <w:ilvl w:val="1"/>
          <w:numId w:val="2"/>
        </w:numPr>
        <w:tabs>
          <w:tab w:pos="1285" w:val="left" w:leader="none"/>
        </w:tabs>
        <w:spacing w:line="253" w:lineRule="exact" w:before="0" w:after="0"/>
        <w:ind w:left="1285" w:right="0" w:hanging="359"/>
        <w:jc w:val="left"/>
        <w:rPr>
          <w:i/>
          <w:sz w:val="22"/>
        </w:rPr>
      </w:pPr>
      <w:r>
        <w:rPr>
          <w:i/>
          <w:sz w:val="22"/>
        </w:rPr>
        <w:t>Kovy,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barva</w:t>
      </w:r>
      <w:r>
        <w:rPr>
          <w:i/>
          <w:spacing w:val="-5"/>
          <w:sz w:val="22"/>
        </w:rPr>
        <w:t> </w:t>
      </w:r>
      <w:r>
        <w:rPr>
          <w:i/>
          <w:spacing w:val="-2"/>
          <w:sz w:val="22"/>
        </w:rPr>
        <w:t>žlutá,</w:t>
      </w:r>
    </w:p>
    <w:p>
      <w:pPr>
        <w:pStyle w:val="ListParagraph"/>
        <w:numPr>
          <w:ilvl w:val="1"/>
          <w:numId w:val="2"/>
        </w:numPr>
        <w:tabs>
          <w:tab w:pos="1286" w:val="left" w:leader="none"/>
        </w:tabs>
        <w:spacing w:line="253" w:lineRule="exact" w:before="1" w:after="0"/>
        <w:ind w:left="1286" w:right="0" w:hanging="360"/>
        <w:jc w:val="left"/>
        <w:rPr>
          <w:i/>
          <w:sz w:val="22"/>
        </w:rPr>
      </w:pPr>
      <w:r>
        <w:rPr>
          <w:i/>
          <w:sz w:val="22"/>
        </w:rPr>
        <w:t>Jedlé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oleje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tuky,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barva</w:t>
      </w:r>
      <w:r>
        <w:rPr>
          <w:i/>
          <w:spacing w:val="-6"/>
          <w:sz w:val="22"/>
        </w:rPr>
        <w:t> </w:t>
      </w:r>
      <w:r>
        <w:rPr>
          <w:i/>
          <w:spacing w:val="-2"/>
          <w:sz w:val="22"/>
        </w:rPr>
        <w:t>bílá,</w:t>
      </w:r>
    </w:p>
    <w:p>
      <w:pPr>
        <w:pStyle w:val="ListParagraph"/>
        <w:numPr>
          <w:ilvl w:val="1"/>
          <w:numId w:val="2"/>
        </w:numPr>
        <w:tabs>
          <w:tab w:pos="1285" w:val="left" w:leader="none"/>
        </w:tabs>
        <w:spacing w:line="253" w:lineRule="exact" w:before="0" w:after="0"/>
        <w:ind w:left="1285" w:right="0" w:hanging="359"/>
        <w:jc w:val="left"/>
        <w:rPr>
          <w:i/>
          <w:sz w:val="22"/>
        </w:rPr>
      </w:pPr>
      <w:r>
        <w:rPr>
          <w:i/>
          <w:sz w:val="22"/>
        </w:rPr>
        <w:t>Textil,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barva</w:t>
      </w:r>
      <w:r>
        <w:rPr>
          <w:i/>
          <w:spacing w:val="-4"/>
          <w:sz w:val="22"/>
        </w:rPr>
        <w:t> </w:t>
      </w:r>
      <w:r>
        <w:rPr>
          <w:i/>
          <w:spacing w:val="-2"/>
          <w:sz w:val="22"/>
        </w:rPr>
        <w:t>červená.</w:t>
      </w:r>
    </w:p>
    <w:p>
      <w:pPr>
        <w:pStyle w:val="BodyText"/>
        <w:spacing w:before="5"/>
        <w:rPr>
          <w:i/>
        </w:rPr>
      </w:pPr>
    </w:p>
    <w:p>
      <w:pPr>
        <w:pStyle w:val="ListParagraph"/>
        <w:numPr>
          <w:ilvl w:val="0"/>
          <w:numId w:val="2"/>
        </w:numPr>
        <w:tabs>
          <w:tab w:pos="926" w:val="left" w:leader="none"/>
        </w:tabs>
        <w:spacing w:line="235" w:lineRule="auto" w:before="0" w:after="0"/>
        <w:ind w:left="926" w:right="143" w:hanging="360"/>
        <w:jc w:val="both"/>
        <w:rPr>
          <w:sz w:val="22"/>
        </w:rPr>
      </w:pPr>
      <w:r>
        <w:rPr>
          <w:sz w:val="22"/>
        </w:rPr>
        <w:t>Do zvláštních sběrných nádob je zakázáno ukládat jiné složky komunálních odpadů, než pro které jsou určeny.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2"/>
        </w:numPr>
        <w:tabs>
          <w:tab w:pos="926" w:val="left" w:leader="none"/>
        </w:tabs>
        <w:spacing w:line="237" w:lineRule="auto" w:before="0" w:after="0"/>
        <w:ind w:left="926" w:right="141" w:hanging="360"/>
        <w:jc w:val="both"/>
        <w:rPr>
          <w:sz w:val="22"/>
        </w:rPr>
      </w:pPr>
      <w:r>
        <w:rPr>
          <w:sz w:val="22"/>
        </w:rPr>
        <w:t>Zvláštní sběrné nádoby je povinnost plnit tak, aby je bylo možno uzavřít a odpad z nich</w:t>
      </w:r>
      <w:r>
        <w:rPr>
          <w:spacing w:val="40"/>
          <w:sz w:val="22"/>
        </w:rPr>
        <w:t> </w:t>
      </w:r>
      <w:r>
        <w:rPr>
          <w:sz w:val="22"/>
        </w:rPr>
        <w:t>při manipulaci nevypadával. Pokud to umožňuje povaha odpadu, je nutno objem odpadu před jeho odložením do sběrné nádoby minimalizovat.</w:t>
      </w:r>
    </w:p>
    <w:p>
      <w:pPr>
        <w:pStyle w:val="BodyText"/>
      </w:pPr>
    </w:p>
    <w:p>
      <w:pPr>
        <w:pStyle w:val="BodyText"/>
        <w:spacing w:before="46"/>
      </w:pPr>
    </w:p>
    <w:p>
      <w:pPr>
        <w:pStyle w:val="Heading1"/>
      </w:pPr>
      <w:r>
        <w:rPr/>
        <w:t>Čl. </w:t>
      </w:r>
      <w:r>
        <w:rPr>
          <w:spacing w:val="-10"/>
        </w:rPr>
        <w:t>4</w:t>
      </w:r>
    </w:p>
    <w:p>
      <w:pPr>
        <w:spacing w:before="1"/>
        <w:ind w:left="528" w:right="2" w:firstLine="0"/>
        <w:jc w:val="center"/>
        <w:rPr>
          <w:b/>
          <w:sz w:val="22"/>
        </w:rPr>
      </w:pPr>
      <w:r>
        <w:rPr>
          <w:b/>
          <w:sz w:val="22"/>
        </w:rPr>
        <w:t>Svoz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nebezpečných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složek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komunálního</w:t>
      </w:r>
      <w:r>
        <w:rPr>
          <w:b/>
          <w:spacing w:val="-7"/>
          <w:sz w:val="22"/>
        </w:rPr>
        <w:t> </w:t>
      </w:r>
      <w:r>
        <w:rPr>
          <w:b/>
          <w:spacing w:val="-2"/>
          <w:sz w:val="22"/>
        </w:rPr>
        <w:t>odpadu</w:t>
      </w:r>
    </w:p>
    <w:p>
      <w:pPr>
        <w:pStyle w:val="BodyText"/>
        <w:spacing w:before="2"/>
        <w:rPr>
          <w:b/>
        </w:rPr>
      </w:pPr>
    </w:p>
    <w:p>
      <w:pPr>
        <w:pStyle w:val="ListParagraph"/>
        <w:numPr>
          <w:ilvl w:val="0"/>
          <w:numId w:val="3"/>
        </w:numPr>
        <w:tabs>
          <w:tab w:pos="926" w:val="left" w:leader="none"/>
        </w:tabs>
        <w:spacing w:line="237" w:lineRule="auto" w:before="0" w:after="0"/>
        <w:ind w:left="926" w:right="136" w:hanging="360"/>
        <w:jc w:val="both"/>
        <w:rPr>
          <w:rFonts w:ascii="Times New Roman" w:hAnsi="Times New Roman"/>
          <w:i/>
          <w:sz w:val="24"/>
        </w:rPr>
      </w:pPr>
      <w:r>
        <w:rPr>
          <w:sz w:val="22"/>
        </w:rPr>
        <w:t>Svoz nebezpečných složek komunálního odpadu je zajišťován minimálně dvakrát ročně jejich odebíráním na předem vyhlášených přechodných stanovištích přímo do zvláštních sběrných nádob k tomuto sběru určených. Informace o svozu jsou zveřejňovány na úřední desce (písemně i elektronicky) a formou SMS zprávy.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3"/>
        </w:numPr>
        <w:tabs>
          <w:tab w:pos="926" w:val="left" w:leader="none"/>
        </w:tabs>
        <w:spacing w:line="235" w:lineRule="auto" w:before="0" w:after="0"/>
        <w:ind w:left="926" w:right="141" w:hanging="360"/>
        <w:jc w:val="both"/>
        <w:rPr>
          <w:rFonts w:ascii="Times New Roman" w:hAnsi="Times New Roman"/>
          <w:sz w:val="24"/>
        </w:rPr>
      </w:pPr>
      <w:r>
        <w:rPr>
          <w:sz w:val="22"/>
        </w:rPr>
        <w:t>Soustřeďování nebezpečných složek komunálního odpadu podléhá požadavkům stanoveným v čl. 3 odst. 4 a 5.</w:t>
      </w:r>
    </w:p>
    <w:p>
      <w:pPr>
        <w:pStyle w:val="Heading1"/>
        <w:spacing w:before="251"/>
      </w:pPr>
      <w:r>
        <w:rPr/>
        <w:t>Čl. </w:t>
      </w:r>
      <w:r>
        <w:rPr>
          <w:spacing w:val="-10"/>
        </w:rPr>
        <w:t>5</w:t>
      </w:r>
    </w:p>
    <w:p>
      <w:pPr>
        <w:spacing w:before="2"/>
        <w:ind w:left="528" w:right="0" w:firstLine="0"/>
        <w:jc w:val="center"/>
        <w:rPr>
          <w:b/>
          <w:sz w:val="22"/>
        </w:rPr>
      </w:pPr>
      <w:r>
        <w:rPr>
          <w:b/>
          <w:sz w:val="22"/>
        </w:rPr>
        <w:t>Svoz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objemného</w:t>
      </w:r>
      <w:r>
        <w:rPr>
          <w:b/>
          <w:spacing w:val="-3"/>
          <w:sz w:val="22"/>
        </w:rPr>
        <w:t> </w:t>
      </w:r>
      <w:r>
        <w:rPr>
          <w:b/>
          <w:spacing w:val="-2"/>
          <w:sz w:val="22"/>
        </w:rPr>
        <w:t>odpadu</w:t>
      </w:r>
    </w:p>
    <w:p>
      <w:pPr>
        <w:pStyle w:val="BodyText"/>
        <w:spacing w:before="1"/>
        <w:rPr>
          <w:b/>
        </w:rPr>
      </w:pPr>
    </w:p>
    <w:p>
      <w:pPr>
        <w:pStyle w:val="ListParagraph"/>
        <w:numPr>
          <w:ilvl w:val="0"/>
          <w:numId w:val="4"/>
        </w:numPr>
        <w:tabs>
          <w:tab w:pos="926" w:val="left" w:leader="none"/>
        </w:tabs>
        <w:spacing w:line="237" w:lineRule="auto" w:before="0" w:after="0"/>
        <w:ind w:left="926" w:right="137" w:hanging="360"/>
        <w:jc w:val="both"/>
        <w:rPr>
          <w:sz w:val="22"/>
        </w:rPr>
      </w:pPr>
      <w:r>
        <w:rPr>
          <w:sz w:val="22"/>
        </w:rPr>
        <w:t>Svoz objemného odpadu je zajišťován dvakrát ročně jeho odebíráním na předem vyhlášených přechodných stanovištích přímo do zvláštních sběrných nádob k tomuto účelu určených. Informace o svozu jsou zveřejňovány na úřední desce (papírově a elektronicky) a formou SMS zprávy.</w:t>
      </w:r>
    </w:p>
    <w:p>
      <w:pPr>
        <w:pStyle w:val="ListParagraph"/>
        <w:spacing w:after="0" w:line="237" w:lineRule="auto"/>
        <w:jc w:val="both"/>
        <w:rPr>
          <w:sz w:val="22"/>
        </w:rPr>
        <w:sectPr>
          <w:pgSz w:w="11910" w:h="16840"/>
          <w:pgMar w:top="1580" w:bottom="280" w:left="850" w:right="1275"/>
        </w:sectPr>
      </w:pPr>
    </w:p>
    <w:p>
      <w:pPr>
        <w:pStyle w:val="ListParagraph"/>
        <w:numPr>
          <w:ilvl w:val="0"/>
          <w:numId w:val="4"/>
        </w:numPr>
        <w:tabs>
          <w:tab w:pos="925" w:val="left" w:leader="none"/>
        </w:tabs>
        <w:spacing w:line="240" w:lineRule="auto" w:before="74" w:after="0"/>
        <w:ind w:left="925" w:right="0" w:hanging="359"/>
        <w:jc w:val="left"/>
        <w:rPr>
          <w:sz w:val="22"/>
        </w:rPr>
      </w:pPr>
      <w:r>
        <w:rPr>
          <w:sz w:val="22"/>
        </w:rPr>
        <w:t>Soustřeďování</w:t>
      </w:r>
      <w:r>
        <w:rPr>
          <w:spacing w:val="-8"/>
          <w:sz w:val="22"/>
        </w:rPr>
        <w:t> </w:t>
      </w:r>
      <w:r>
        <w:rPr>
          <w:sz w:val="22"/>
        </w:rPr>
        <w:t>objemného</w:t>
      </w:r>
      <w:r>
        <w:rPr>
          <w:spacing w:val="-5"/>
          <w:sz w:val="22"/>
        </w:rPr>
        <w:t> </w:t>
      </w:r>
      <w:r>
        <w:rPr>
          <w:sz w:val="22"/>
        </w:rPr>
        <w:t>odpadu</w:t>
      </w:r>
      <w:r>
        <w:rPr>
          <w:spacing w:val="-5"/>
          <w:sz w:val="22"/>
        </w:rPr>
        <w:t> </w:t>
      </w:r>
      <w:r>
        <w:rPr>
          <w:sz w:val="22"/>
        </w:rPr>
        <w:t>podléhá</w:t>
      </w:r>
      <w:r>
        <w:rPr>
          <w:spacing w:val="-4"/>
          <w:sz w:val="22"/>
        </w:rPr>
        <w:t> </w:t>
      </w:r>
      <w:r>
        <w:rPr>
          <w:sz w:val="22"/>
        </w:rPr>
        <w:t>požadavkům</w:t>
      </w:r>
      <w:r>
        <w:rPr>
          <w:spacing w:val="-6"/>
          <w:sz w:val="22"/>
        </w:rPr>
        <w:t> </w:t>
      </w:r>
      <w:r>
        <w:rPr>
          <w:sz w:val="22"/>
        </w:rPr>
        <w:t>stanoveným</w:t>
      </w:r>
      <w:r>
        <w:rPr>
          <w:spacing w:val="-6"/>
          <w:sz w:val="22"/>
        </w:rPr>
        <w:t> </w:t>
      </w:r>
      <w:r>
        <w:rPr>
          <w:sz w:val="22"/>
        </w:rPr>
        <w:t>v</w:t>
      </w:r>
      <w:r>
        <w:rPr>
          <w:spacing w:val="-5"/>
          <w:sz w:val="22"/>
        </w:rPr>
        <w:t> </w:t>
      </w:r>
      <w:r>
        <w:rPr>
          <w:sz w:val="22"/>
        </w:rPr>
        <w:t>čl.</w:t>
      </w:r>
      <w:r>
        <w:rPr>
          <w:spacing w:val="-3"/>
          <w:sz w:val="22"/>
        </w:rPr>
        <w:t> </w:t>
      </w:r>
      <w:r>
        <w:rPr>
          <w:sz w:val="22"/>
        </w:rPr>
        <w:t>3</w:t>
      </w:r>
      <w:r>
        <w:rPr>
          <w:spacing w:val="-6"/>
          <w:sz w:val="22"/>
        </w:rPr>
        <w:t> </w:t>
      </w:r>
      <w:r>
        <w:rPr>
          <w:sz w:val="22"/>
        </w:rPr>
        <w:t>odst.</w:t>
      </w:r>
      <w:r>
        <w:rPr>
          <w:spacing w:val="-3"/>
          <w:sz w:val="22"/>
        </w:rPr>
        <w:t> </w:t>
      </w:r>
      <w:r>
        <w:rPr>
          <w:sz w:val="22"/>
        </w:rPr>
        <w:t>4</w:t>
      </w:r>
      <w:r>
        <w:rPr>
          <w:spacing w:val="-7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pacing w:val="-5"/>
          <w:sz w:val="22"/>
        </w:rPr>
        <w:t>5.</w:t>
      </w:r>
    </w:p>
    <w:p>
      <w:pPr>
        <w:pStyle w:val="Heading1"/>
        <w:spacing w:line="252" w:lineRule="exact" w:before="245"/>
      </w:pPr>
      <w:r>
        <w:rPr/>
        <w:t>Čl. </w:t>
      </w:r>
      <w:r>
        <w:rPr>
          <w:spacing w:val="-10"/>
        </w:rPr>
        <w:t>6</w:t>
      </w:r>
    </w:p>
    <w:p>
      <w:pPr>
        <w:spacing w:line="252" w:lineRule="exact" w:before="0"/>
        <w:ind w:left="528" w:right="105" w:firstLine="0"/>
        <w:jc w:val="center"/>
        <w:rPr>
          <w:b/>
          <w:sz w:val="22"/>
        </w:rPr>
      </w:pPr>
      <w:r>
        <w:rPr>
          <w:b/>
          <w:sz w:val="22"/>
        </w:rPr>
        <w:t>Soustřeďování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směsného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komunálního</w:t>
      </w:r>
      <w:r>
        <w:rPr>
          <w:b/>
          <w:spacing w:val="-9"/>
          <w:sz w:val="22"/>
        </w:rPr>
        <w:t> </w:t>
      </w:r>
      <w:r>
        <w:rPr>
          <w:b/>
          <w:spacing w:val="-2"/>
          <w:sz w:val="22"/>
        </w:rPr>
        <w:t>odpadu</w:t>
      </w:r>
    </w:p>
    <w:p>
      <w:pPr>
        <w:pStyle w:val="BodyText"/>
        <w:spacing w:before="1"/>
        <w:rPr>
          <w:b/>
        </w:rPr>
      </w:pPr>
    </w:p>
    <w:p>
      <w:pPr>
        <w:pStyle w:val="ListParagraph"/>
        <w:numPr>
          <w:ilvl w:val="0"/>
          <w:numId w:val="5"/>
        </w:numPr>
        <w:tabs>
          <w:tab w:pos="993" w:val="left" w:leader="none"/>
        </w:tabs>
        <w:spacing w:line="240" w:lineRule="auto" w:before="0" w:after="0"/>
        <w:ind w:left="993" w:right="142" w:hanging="428"/>
        <w:jc w:val="left"/>
        <w:rPr>
          <w:rFonts w:ascii="Times New Roman" w:hAnsi="Times New Roman"/>
          <w:i/>
          <w:sz w:val="22"/>
        </w:rPr>
      </w:pPr>
      <w:r>
        <w:rPr>
          <w:sz w:val="22"/>
        </w:rPr>
        <w:t>Směsný</w:t>
      </w:r>
      <w:r>
        <w:rPr>
          <w:spacing w:val="29"/>
          <w:sz w:val="22"/>
        </w:rPr>
        <w:t> </w:t>
      </w:r>
      <w:r>
        <w:rPr>
          <w:sz w:val="22"/>
        </w:rPr>
        <w:t>komunální</w:t>
      </w:r>
      <w:r>
        <w:rPr>
          <w:spacing w:val="27"/>
          <w:sz w:val="22"/>
        </w:rPr>
        <w:t> </w:t>
      </w:r>
      <w:r>
        <w:rPr>
          <w:sz w:val="22"/>
        </w:rPr>
        <w:t>odpad</w:t>
      </w:r>
      <w:r>
        <w:rPr>
          <w:spacing w:val="28"/>
          <w:sz w:val="22"/>
        </w:rPr>
        <w:t> </w:t>
      </w:r>
      <w:r>
        <w:rPr>
          <w:sz w:val="22"/>
        </w:rPr>
        <w:t>se</w:t>
      </w:r>
      <w:r>
        <w:rPr>
          <w:spacing w:val="28"/>
          <w:sz w:val="22"/>
        </w:rPr>
        <w:t> </w:t>
      </w:r>
      <w:r>
        <w:rPr>
          <w:sz w:val="22"/>
        </w:rPr>
        <w:t>odkládá</w:t>
      </w:r>
      <w:r>
        <w:rPr>
          <w:spacing w:val="28"/>
          <w:sz w:val="22"/>
        </w:rPr>
        <w:t> </w:t>
      </w:r>
      <w:r>
        <w:rPr>
          <w:sz w:val="22"/>
        </w:rPr>
        <w:t>do</w:t>
      </w:r>
      <w:r>
        <w:rPr>
          <w:spacing w:val="26"/>
          <w:sz w:val="22"/>
        </w:rPr>
        <w:t> </w:t>
      </w:r>
      <w:r>
        <w:rPr>
          <w:sz w:val="22"/>
        </w:rPr>
        <w:t>sběrných</w:t>
      </w:r>
      <w:r>
        <w:rPr>
          <w:spacing w:val="28"/>
          <w:sz w:val="22"/>
        </w:rPr>
        <w:t> </w:t>
      </w:r>
      <w:r>
        <w:rPr>
          <w:sz w:val="22"/>
        </w:rPr>
        <w:t>nádob.</w:t>
      </w:r>
      <w:r>
        <w:rPr>
          <w:spacing w:val="27"/>
          <w:sz w:val="22"/>
        </w:rPr>
        <w:t> </w:t>
      </w:r>
      <w:r>
        <w:rPr>
          <w:sz w:val="22"/>
        </w:rPr>
        <w:t>Pro</w:t>
      </w:r>
      <w:r>
        <w:rPr>
          <w:spacing w:val="28"/>
          <w:sz w:val="22"/>
        </w:rPr>
        <w:t> </w:t>
      </w:r>
      <w:r>
        <w:rPr>
          <w:sz w:val="22"/>
        </w:rPr>
        <w:t>účely</w:t>
      </w:r>
      <w:r>
        <w:rPr>
          <w:spacing w:val="29"/>
          <w:sz w:val="22"/>
        </w:rPr>
        <w:t> </w:t>
      </w:r>
      <w:r>
        <w:rPr>
          <w:sz w:val="22"/>
        </w:rPr>
        <w:t>této</w:t>
      </w:r>
      <w:r>
        <w:rPr>
          <w:spacing w:val="28"/>
          <w:sz w:val="22"/>
        </w:rPr>
        <w:t> </w:t>
      </w:r>
      <w:r>
        <w:rPr>
          <w:sz w:val="22"/>
        </w:rPr>
        <w:t>vyhlášky</w:t>
      </w:r>
      <w:r>
        <w:rPr>
          <w:spacing w:val="26"/>
          <w:sz w:val="22"/>
        </w:rPr>
        <w:t> </w:t>
      </w:r>
      <w:r>
        <w:rPr>
          <w:sz w:val="22"/>
        </w:rPr>
        <w:t>se sběrnými nádobami rozumějí:</w:t>
      </w:r>
    </w:p>
    <w:p>
      <w:pPr>
        <w:pStyle w:val="ListParagraph"/>
        <w:numPr>
          <w:ilvl w:val="1"/>
          <w:numId w:val="5"/>
        </w:numPr>
        <w:tabs>
          <w:tab w:pos="1284" w:val="left" w:leader="none"/>
        </w:tabs>
        <w:spacing w:line="252" w:lineRule="exact" w:before="0" w:after="0"/>
        <w:ind w:left="1284" w:right="0" w:hanging="291"/>
        <w:jc w:val="left"/>
        <w:rPr>
          <w:i/>
          <w:sz w:val="22"/>
        </w:rPr>
      </w:pPr>
      <w:r>
        <w:rPr>
          <w:i/>
          <w:sz w:val="22"/>
        </w:rPr>
        <w:t>Igelitové</w:t>
      </w:r>
      <w:r>
        <w:rPr>
          <w:i/>
          <w:spacing w:val="-8"/>
          <w:sz w:val="22"/>
        </w:rPr>
        <w:t> </w:t>
      </w:r>
      <w:r>
        <w:rPr>
          <w:i/>
          <w:spacing w:val="-2"/>
          <w:sz w:val="22"/>
        </w:rPr>
        <w:t>pytle,</w:t>
      </w:r>
    </w:p>
    <w:p>
      <w:pPr>
        <w:pStyle w:val="ListParagraph"/>
        <w:numPr>
          <w:ilvl w:val="1"/>
          <w:numId w:val="5"/>
        </w:numPr>
        <w:tabs>
          <w:tab w:pos="1284" w:val="left" w:leader="none"/>
        </w:tabs>
        <w:spacing w:line="252" w:lineRule="exact" w:before="0" w:after="0"/>
        <w:ind w:left="1284" w:right="0" w:hanging="291"/>
        <w:jc w:val="left"/>
        <w:rPr>
          <w:i/>
          <w:sz w:val="22"/>
        </w:rPr>
      </w:pPr>
      <w:r>
        <w:rPr>
          <w:i/>
          <w:spacing w:val="-2"/>
          <w:sz w:val="22"/>
        </w:rPr>
        <w:t>Popelnice.</w:t>
      </w:r>
    </w:p>
    <w:p>
      <w:pPr>
        <w:pStyle w:val="ListParagraph"/>
        <w:numPr>
          <w:ilvl w:val="0"/>
          <w:numId w:val="5"/>
        </w:numPr>
        <w:tabs>
          <w:tab w:pos="993" w:val="left" w:leader="none"/>
        </w:tabs>
        <w:spacing w:line="240" w:lineRule="auto" w:before="1" w:after="0"/>
        <w:ind w:left="993" w:right="760" w:hanging="428"/>
        <w:jc w:val="left"/>
        <w:rPr>
          <w:rFonts w:ascii="Times New Roman" w:hAnsi="Times New Roman"/>
          <w:sz w:val="22"/>
        </w:rPr>
      </w:pPr>
      <w:r>
        <w:rPr>
          <w:sz w:val="22"/>
        </w:rPr>
        <w:t>Soustřeďování</w:t>
      </w:r>
      <w:r>
        <w:rPr>
          <w:spacing w:val="-6"/>
          <w:sz w:val="22"/>
        </w:rPr>
        <w:t> </w:t>
      </w:r>
      <w:r>
        <w:rPr>
          <w:sz w:val="22"/>
        </w:rPr>
        <w:t>směsného</w:t>
      </w:r>
      <w:r>
        <w:rPr>
          <w:spacing w:val="-5"/>
          <w:sz w:val="22"/>
        </w:rPr>
        <w:t> </w:t>
      </w:r>
      <w:r>
        <w:rPr>
          <w:sz w:val="22"/>
        </w:rPr>
        <w:t>komunálního</w:t>
      </w:r>
      <w:r>
        <w:rPr>
          <w:spacing w:val="-5"/>
          <w:sz w:val="22"/>
        </w:rPr>
        <w:t> </w:t>
      </w:r>
      <w:r>
        <w:rPr>
          <w:sz w:val="22"/>
        </w:rPr>
        <w:t>odpadu</w:t>
      </w:r>
      <w:r>
        <w:rPr>
          <w:spacing w:val="-7"/>
          <w:sz w:val="22"/>
        </w:rPr>
        <w:t> </w:t>
      </w:r>
      <w:r>
        <w:rPr>
          <w:sz w:val="22"/>
        </w:rPr>
        <w:t>podléhá</w:t>
      </w:r>
      <w:r>
        <w:rPr>
          <w:spacing w:val="-5"/>
          <w:sz w:val="22"/>
        </w:rPr>
        <w:t> </w:t>
      </w:r>
      <w:r>
        <w:rPr>
          <w:sz w:val="22"/>
        </w:rPr>
        <w:t>požadavkům</w:t>
      </w:r>
      <w:r>
        <w:rPr>
          <w:spacing w:val="-6"/>
          <w:sz w:val="22"/>
        </w:rPr>
        <w:t> </w:t>
      </w:r>
      <w:r>
        <w:rPr>
          <w:sz w:val="22"/>
        </w:rPr>
        <w:t>stanoveným v čl. 3 odst. 4 a 5.</w:t>
      </w:r>
    </w:p>
    <w:p>
      <w:pPr>
        <w:pStyle w:val="Heading1"/>
        <w:spacing w:before="252"/>
        <w:ind w:right="101"/>
      </w:pPr>
      <w:r>
        <w:rPr/>
        <w:t>Čl. </w:t>
      </w:r>
      <w:r>
        <w:rPr>
          <w:spacing w:val="-10"/>
        </w:rPr>
        <w:t>7</w:t>
      </w:r>
    </w:p>
    <w:p>
      <w:pPr>
        <w:spacing w:before="1"/>
        <w:ind w:left="528" w:right="103" w:firstLine="0"/>
        <w:jc w:val="center"/>
        <w:rPr>
          <w:b/>
          <w:sz w:val="22"/>
        </w:rPr>
      </w:pPr>
      <w:r>
        <w:rPr>
          <w:b/>
          <w:sz w:val="22"/>
        </w:rPr>
        <w:t>Zrušovací</w:t>
      </w:r>
      <w:r>
        <w:rPr>
          <w:b/>
          <w:spacing w:val="-6"/>
          <w:sz w:val="22"/>
        </w:rPr>
        <w:t> </w:t>
      </w:r>
      <w:r>
        <w:rPr>
          <w:b/>
          <w:spacing w:val="-2"/>
          <w:sz w:val="22"/>
        </w:rPr>
        <w:t>ustanovení</w:t>
      </w:r>
    </w:p>
    <w:p>
      <w:pPr>
        <w:pStyle w:val="BodyText"/>
        <w:spacing w:before="119"/>
        <w:rPr>
          <w:b/>
        </w:rPr>
      </w:pPr>
    </w:p>
    <w:p>
      <w:pPr>
        <w:pStyle w:val="BodyText"/>
        <w:spacing w:line="288" w:lineRule="auto"/>
        <w:ind w:left="566"/>
      </w:pPr>
      <w:r>
        <w:rPr/>
        <w:t>Zrušuje se obecně závazná vyhláška obce Nezabudice č. 1/2024, o stanovení odpadového hospodářství ze dne 24.5.2024 a nahrazuje se novou č. 1/2025.</w:t>
      </w:r>
    </w:p>
    <w:p>
      <w:pPr>
        <w:pStyle w:val="BodyText"/>
        <w:spacing w:before="171"/>
      </w:pPr>
    </w:p>
    <w:p>
      <w:pPr>
        <w:pStyle w:val="Heading1"/>
        <w:spacing w:line="252" w:lineRule="exact" w:before="1"/>
        <w:ind w:right="101"/>
      </w:pPr>
      <w:r>
        <w:rPr/>
        <w:t>Čl. </w:t>
      </w:r>
      <w:r>
        <w:rPr>
          <w:spacing w:val="-10"/>
        </w:rPr>
        <w:t>8</w:t>
      </w:r>
    </w:p>
    <w:p>
      <w:pPr>
        <w:spacing w:line="252" w:lineRule="exact" w:before="0"/>
        <w:ind w:left="528" w:right="102" w:firstLine="0"/>
        <w:jc w:val="center"/>
        <w:rPr>
          <w:b/>
          <w:sz w:val="22"/>
        </w:rPr>
      </w:pPr>
      <w:r>
        <w:rPr>
          <w:b/>
          <w:spacing w:val="-2"/>
          <w:sz w:val="22"/>
        </w:rPr>
        <w:t>Účinnost</w:t>
      </w:r>
    </w:p>
    <w:p>
      <w:pPr>
        <w:pStyle w:val="BodyText"/>
        <w:spacing w:before="252"/>
        <w:rPr>
          <w:b/>
        </w:rPr>
      </w:pPr>
    </w:p>
    <w:p>
      <w:pPr>
        <w:pStyle w:val="BodyText"/>
        <w:ind w:left="566"/>
      </w:pPr>
      <w:r>
        <w:rPr/>
        <w:t>Tato</w:t>
      </w:r>
      <w:r>
        <w:rPr>
          <w:spacing w:val="-5"/>
        </w:rPr>
        <w:t> </w:t>
      </w:r>
      <w:r>
        <w:rPr/>
        <w:t>vyhláška</w:t>
      </w:r>
      <w:r>
        <w:rPr>
          <w:spacing w:val="-7"/>
        </w:rPr>
        <w:t> </w:t>
      </w:r>
      <w:r>
        <w:rPr/>
        <w:t>nabývá</w:t>
      </w:r>
      <w:r>
        <w:rPr>
          <w:spacing w:val="-7"/>
        </w:rPr>
        <w:t> </w:t>
      </w:r>
      <w:r>
        <w:rPr/>
        <w:t>účinnosti</w:t>
      </w:r>
      <w:r>
        <w:rPr>
          <w:spacing w:val="-5"/>
        </w:rPr>
        <w:t> </w:t>
      </w:r>
      <w:r>
        <w:rPr/>
        <w:t>dnem</w:t>
      </w:r>
      <w:r>
        <w:rPr>
          <w:spacing w:val="-4"/>
        </w:rPr>
        <w:t> </w:t>
      </w:r>
      <w:r>
        <w:rPr>
          <w:spacing w:val="-2"/>
        </w:rPr>
        <w:t>3.5.2025.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0"/>
      </w:pPr>
    </w:p>
    <w:p>
      <w:pPr>
        <w:tabs>
          <w:tab w:pos="6718" w:val="left" w:leader="none"/>
        </w:tabs>
        <w:spacing w:line="252" w:lineRule="exact" w:before="1"/>
        <w:ind w:left="566" w:right="0" w:firstLine="0"/>
        <w:jc w:val="left"/>
        <w:rPr>
          <w:sz w:val="22"/>
        </w:rPr>
      </w:pPr>
      <w:r>
        <w:rPr>
          <w:spacing w:val="-2"/>
          <w:sz w:val="22"/>
        </w:rPr>
        <w:t>………………...……………….</w:t>
      </w:r>
      <w:r>
        <w:rPr>
          <w:sz w:val="22"/>
        </w:rPr>
        <w:tab/>
      </w:r>
      <w:r>
        <w:rPr>
          <w:spacing w:val="-2"/>
          <w:sz w:val="22"/>
        </w:rPr>
        <w:t>…………………………..</w:t>
      </w:r>
    </w:p>
    <w:p>
      <w:pPr>
        <w:tabs>
          <w:tab w:pos="7145" w:val="left" w:leader="none"/>
        </w:tabs>
        <w:spacing w:line="252" w:lineRule="exact" w:before="0"/>
        <w:ind w:left="1248" w:right="0" w:firstLine="0"/>
        <w:jc w:val="left"/>
        <w:rPr>
          <w:i/>
          <w:sz w:val="22"/>
        </w:rPr>
      </w:pPr>
      <w:r>
        <w:rPr>
          <w:i/>
          <w:sz w:val="22"/>
        </w:rPr>
        <w:t>Jaroslav</w:t>
      </w:r>
      <w:r>
        <w:rPr>
          <w:i/>
          <w:spacing w:val="-9"/>
          <w:sz w:val="22"/>
        </w:rPr>
        <w:t> </w:t>
      </w:r>
      <w:r>
        <w:rPr>
          <w:i/>
          <w:spacing w:val="-2"/>
          <w:sz w:val="22"/>
        </w:rPr>
        <w:t>Šnobl</w:t>
      </w:r>
      <w:r>
        <w:rPr>
          <w:i/>
          <w:sz w:val="22"/>
        </w:rPr>
        <w:tab/>
        <w:t>Jitka</w:t>
      </w:r>
      <w:r>
        <w:rPr>
          <w:i/>
          <w:spacing w:val="-8"/>
          <w:sz w:val="22"/>
        </w:rPr>
        <w:t> </w:t>
      </w:r>
      <w:r>
        <w:rPr>
          <w:i/>
          <w:spacing w:val="-2"/>
          <w:sz w:val="22"/>
        </w:rPr>
        <w:t>Vydrová</w:t>
      </w:r>
    </w:p>
    <w:p>
      <w:pPr>
        <w:pStyle w:val="BodyText"/>
        <w:tabs>
          <w:tab w:pos="7340" w:val="left" w:leader="none"/>
        </w:tabs>
        <w:spacing w:line="252" w:lineRule="exact"/>
        <w:ind w:left="1274"/>
      </w:pPr>
      <w:r>
        <w:rPr>
          <w:spacing w:val="-2"/>
        </w:rPr>
        <w:t>místostarosta</w:t>
      </w:r>
      <w:r>
        <w:rPr/>
        <w:tab/>
      </w:r>
      <w:r>
        <w:rPr>
          <w:spacing w:val="-2"/>
        </w:rPr>
        <w:t>starosta</w:t>
      </w:r>
    </w:p>
    <w:p>
      <w:pPr>
        <w:pStyle w:val="BodyText"/>
        <w:tabs>
          <w:tab w:pos="7534" w:val="left" w:leader="none"/>
        </w:tabs>
        <w:spacing w:before="1"/>
        <w:ind w:left="1677"/>
      </w:pPr>
      <w:r>
        <w:rPr/>
        <w:t>v.</w:t>
      </w:r>
      <w:r>
        <w:rPr>
          <w:spacing w:val="-4"/>
        </w:rPr>
        <w:t> </w:t>
      </w:r>
      <w:r>
        <w:rPr>
          <w:spacing w:val="-7"/>
        </w:rPr>
        <w:t>r.</w:t>
      </w:r>
      <w:r>
        <w:rPr/>
        <w:tab/>
        <w:t>v.</w:t>
      </w:r>
      <w:r>
        <w:rPr>
          <w:spacing w:val="-3"/>
        </w:rPr>
        <w:t> </w:t>
      </w:r>
      <w:r>
        <w:rPr>
          <w:spacing w:val="-5"/>
        </w:rPr>
        <w:t>r.</w:t>
      </w:r>
    </w:p>
    <w:sectPr>
      <w:pgSz w:w="11910" w:h="16840"/>
      <w:pgMar w:top="1580" w:bottom="280" w:left="850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decimal"/>
      <w:lvlText w:val="%1)"/>
      <w:lvlJc w:val="left"/>
      <w:pPr>
        <w:ind w:left="993" w:hanging="428"/>
        <w:jc w:val="left"/>
      </w:pPr>
      <w:rPr>
        <w:rFonts w:hint="default"/>
        <w:spacing w:val="0"/>
        <w:w w:val="100"/>
        <w:lang w:val="cs-CZ" w:eastAsia="en-US" w:bidi="ar-SA"/>
      </w:rPr>
    </w:lvl>
    <w:lvl w:ilvl="1">
      <w:start w:val="1"/>
      <w:numFmt w:val="lowerLetter"/>
      <w:lvlText w:val="%2)"/>
      <w:lvlJc w:val="left"/>
      <w:pPr>
        <w:ind w:left="1286" w:hanging="293"/>
        <w:jc w:val="left"/>
      </w:pPr>
      <w:rPr>
        <w:rFonts w:hint="default" w:ascii="Arial" w:hAnsi="Arial" w:eastAsia="Arial" w:cs="Arial"/>
        <w:b w:val="0"/>
        <w:bCs w:val="0"/>
        <w:i/>
        <w:iCs/>
        <w:spacing w:val="-1"/>
        <w:w w:val="100"/>
        <w:sz w:val="22"/>
        <w:szCs w:val="22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224" w:hanging="293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169" w:hanging="293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113" w:hanging="293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058" w:hanging="293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003" w:hanging="293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947" w:hanging="293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892" w:hanging="293"/>
      </w:pPr>
      <w:rPr>
        <w:rFonts w:hint="default"/>
        <w:lang w:val="cs-CZ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)"/>
      <w:lvlJc w:val="left"/>
      <w:pPr>
        <w:ind w:left="926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806" w:hanging="360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692" w:hanging="360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578" w:hanging="360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464" w:hanging="360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350" w:hanging="360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236" w:hanging="360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122" w:hanging="360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009" w:hanging="360"/>
      </w:pPr>
      <w:rPr>
        <w:rFonts w:hint="default"/>
        <w:lang w:val="cs-CZ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)"/>
      <w:lvlJc w:val="left"/>
      <w:pPr>
        <w:ind w:left="926" w:hanging="360"/>
        <w:jc w:val="left"/>
      </w:pPr>
      <w:rPr>
        <w:rFonts w:hint="default"/>
        <w:spacing w:val="0"/>
        <w:w w:val="100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806" w:hanging="360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692" w:hanging="360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578" w:hanging="360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464" w:hanging="360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350" w:hanging="360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236" w:hanging="360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122" w:hanging="360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009" w:hanging="360"/>
      </w:pPr>
      <w:rPr>
        <w:rFonts w:hint="default"/>
        <w:lang w:val="cs-CZ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)"/>
      <w:lvlJc w:val="left"/>
      <w:pPr>
        <w:ind w:left="926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1">
      <w:start w:val="1"/>
      <w:numFmt w:val="lowerLetter"/>
      <w:lvlText w:val="%2)"/>
      <w:lvlJc w:val="left"/>
      <w:pPr>
        <w:ind w:left="1286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/>
        <w:iCs/>
        <w:spacing w:val="0"/>
        <w:w w:val="100"/>
        <w:sz w:val="22"/>
        <w:szCs w:val="22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224" w:hanging="360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169" w:hanging="360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113" w:hanging="360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058" w:hanging="360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003" w:hanging="360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947" w:hanging="360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892" w:hanging="360"/>
      </w:pPr>
      <w:rPr>
        <w:rFonts w:hint="default"/>
        <w:lang w:val="cs-CZ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)"/>
      <w:lvlJc w:val="left"/>
      <w:pPr>
        <w:ind w:left="566" w:hanging="42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cs-CZ" w:eastAsia="en-US" w:bidi="ar-SA"/>
      </w:rPr>
    </w:lvl>
    <w:lvl w:ilvl="1">
      <w:start w:val="1"/>
      <w:numFmt w:val="decimal"/>
      <w:lvlText w:val="%2)"/>
      <w:lvlJc w:val="left"/>
      <w:pPr>
        <w:ind w:left="926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2">
      <w:start w:val="1"/>
      <w:numFmt w:val="lowerLetter"/>
      <w:lvlText w:val="%3)"/>
      <w:lvlJc w:val="left"/>
      <w:pPr>
        <w:ind w:left="1353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/>
        <w:iCs/>
        <w:spacing w:val="0"/>
        <w:w w:val="100"/>
        <w:sz w:val="22"/>
        <w:szCs w:val="22"/>
        <w:lang w:val="cs-CZ" w:eastAsia="en-US" w:bidi="ar-SA"/>
      </w:rPr>
    </w:lvl>
    <w:lvl w:ilvl="3">
      <w:start w:val="0"/>
      <w:numFmt w:val="bullet"/>
      <w:lvlText w:val="•"/>
      <w:lvlJc w:val="left"/>
      <w:pPr>
        <w:ind w:left="2412" w:hanging="360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3465" w:hanging="360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4518" w:hanging="360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5570" w:hanging="360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623" w:hanging="360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676" w:hanging="360"/>
      </w:pPr>
      <w:rPr>
        <w:rFonts w:hint="default"/>
        <w:lang w:val="cs-CZ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cs-CZ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cs-CZ" w:eastAsia="en-US" w:bidi="ar-SA"/>
    </w:rPr>
  </w:style>
  <w:style w:styleId="Heading1" w:type="paragraph">
    <w:name w:val="Heading 1"/>
    <w:basedOn w:val="Normal"/>
    <w:uiPriority w:val="1"/>
    <w:qFormat/>
    <w:pPr>
      <w:ind w:left="528" w:right="102"/>
      <w:jc w:val="center"/>
      <w:outlineLvl w:val="1"/>
    </w:pPr>
    <w:rPr>
      <w:rFonts w:ascii="Arial" w:hAnsi="Arial" w:eastAsia="Arial" w:cs="Arial"/>
      <w:b/>
      <w:bCs/>
      <w:sz w:val="22"/>
      <w:szCs w:val="22"/>
      <w:lang w:val="cs-CZ" w:eastAsia="en-US" w:bidi="ar-SA"/>
    </w:rPr>
  </w:style>
  <w:style w:styleId="ListParagraph" w:type="paragraph">
    <w:name w:val="List Paragraph"/>
    <w:basedOn w:val="Normal"/>
    <w:uiPriority w:val="1"/>
    <w:qFormat/>
    <w:pPr>
      <w:spacing w:line="253" w:lineRule="exact"/>
      <w:ind w:left="926" w:hanging="359"/>
    </w:pPr>
    <w:rPr>
      <w:rFonts w:ascii="Arial" w:hAnsi="Arial" w:eastAsia="Arial" w:cs="Arial"/>
      <w:lang w:val="cs-CZ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cs-CZ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Vydrová Pavla (S-PEF)</dc:creator>
  <dcterms:created xsi:type="dcterms:W3CDTF">2026-09-14T17:18:16Z</dcterms:created>
  <dcterms:modified xsi:type="dcterms:W3CDTF">2026-09-14T17:18:16Z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v12.0.20182.1</vt:lpwstr>
  </property>
  <property fmtid="{D5CDD505-2E9C-101B-9397-08002B2CF9AE}" pid="3" name="Created">
    <vt:filetime>2025-04-18T00:00:00Z</vt:filetime>
  </property>
  <property fmtid="{D5CDD505-2E9C-101B-9397-08002B2CF9AE}" pid="4" name="Creator">
    <vt:lpwstr>Microsoft® Word pro Microsoft 365</vt:lpwstr>
  </property>
  <property fmtid="{D5CDD505-2E9C-101B-9397-08002B2CF9AE}" pid="5" name="LastSaved">
    <vt:filetime>2026-09-14T00:00:00Z</vt:filetime>
  </property>
  <property fmtid="{D5CDD505-2E9C-101B-9397-08002B2CF9AE}" pid="6" name="Producer">
    <vt:lpwstr>Microsoft® Word pro Microsoft 365</vt:lpwstr>
  </property>
</Properties>
</file>