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0C37B">
      <w:pPr>
        <w:pStyle w:val="17"/>
        <w:tabs>
          <w:tab w:val="clear" w:pos="4536"/>
          <w:tab w:val="clear" w:pos="9072"/>
        </w:tabs>
        <w:rPr>
          <w:rFonts w:hint="default" w:ascii="Times New Roman" w:hAnsi="Times New Roman" w:cs="Times New Roman"/>
          <w:bCs/>
          <w:sz w:val="22"/>
          <w:szCs w:val="22"/>
        </w:rPr>
      </w:pPr>
    </w:p>
    <w:p w14:paraId="76780F43">
      <w:pPr>
        <w:spacing w:line="276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OBEC NEZABUDICE</w:t>
      </w:r>
    </w:p>
    <w:p w14:paraId="76EE656A">
      <w:pPr>
        <w:spacing w:line="276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Zastupitelstvo obce Nezabudice</w:t>
      </w:r>
    </w:p>
    <w:p w14:paraId="76EB6D29">
      <w:pPr>
        <w:spacing w:line="276" w:lineRule="auto"/>
        <w:jc w:val="center"/>
        <w:rPr>
          <w:rFonts w:hint="default" w:ascii="Times New Roman" w:hAnsi="Times New Roman" w:cs="Times New Roman"/>
          <w:b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/>
        </w:rPr>
        <w:t xml:space="preserve">Obecně závazná vyhláška obce Nezabudice </w:t>
      </w:r>
    </w:p>
    <w:p w14:paraId="40C7AFC9">
      <w:pPr>
        <w:pStyle w:val="19"/>
        <w:spacing w:line="240" w:lineRule="auto"/>
        <w:jc w:val="center"/>
        <w:rPr>
          <w:rFonts w:hint="default" w:ascii="Times New Roman" w:hAnsi="Times New Roman" w:cs="Times New Roman"/>
          <w:b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000000"/>
          <w:sz w:val="22"/>
          <w:szCs w:val="22"/>
        </w:rPr>
        <w:t xml:space="preserve">o stanovení obecního systému odpadového hospodářství </w:t>
      </w:r>
    </w:p>
    <w:p w14:paraId="47AF8F74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51F4263">
      <w:pPr>
        <w:pStyle w:val="9"/>
        <w:ind w:left="0"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Zastupitelstvo obce Nezabudice se na svém zasedání dne</w:t>
      </w:r>
      <w:r>
        <w:rPr>
          <w:rFonts w:hint="default" w:cs="Times New Roman"/>
          <w:sz w:val="22"/>
          <w:szCs w:val="22"/>
          <w:lang w:val="cs-CZ"/>
        </w:rPr>
        <w:t xml:space="preserve"> 11.09.2026</w:t>
      </w:r>
      <w:r>
        <w:rPr>
          <w:rFonts w:hint="default" w:ascii="Times New Roman" w:hAnsi="Times New Roman" w:cs="Times New Roman"/>
          <w:sz w:val="22"/>
          <w:szCs w:val="22"/>
        </w:rPr>
        <w:t xml:space="preserve"> usneslo vydat na základě § 59 odst. 4 zákona č. 541/2020 Sb., o odpadech (dále jen „zákon o odpadech“), a v souladu s § 10 písm. d) a § 84 odst. 2 písm. h) zákona č. 128/2000 Sb., o obcích (obecní zřízení), ve znění pozdějších předpisů, tuto obecně závaznou vyhlášku (dále jen „vyhláška“):</w:t>
      </w:r>
    </w:p>
    <w:p w14:paraId="0B42A35D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1681E0A2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1</w:t>
      </w:r>
    </w:p>
    <w:p w14:paraId="0F936306">
      <w:pPr>
        <w:pStyle w:val="2"/>
        <w:jc w:val="center"/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  <w:t>Úvodní ustanovení</w:t>
      </w:r>
    </w:p>
    <w:p w14:paraId="244A8B30">
      <w:pPr>
        <w:tabs>
          <w:tab w:val="left" w:pos="567"/>
        </w:tabs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ACA7824">
      <w:pPr>
        <w:numPr>
          <w:ilvl w:val="0"/>
          <w:numId w:val="1"/>
        </w:numPr>
        <w:tabs>
          <w:tab w:val="left" w:pos="0"/>
        </w:tabs>
        <w:ind w:left="0" w:hanging="426"/>
        <w:jc w:val="both"/>
        <w:rPr>
          <w:rFonts w:hint="default" w:ascii="Times New Roman" w:hAnsi="Times New Roman" w:cs="Times New Roman"/>
          <w:color w:val="FF0000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Tato vyhláška stanovuje obecní systém odpadového hospodářství na území obce Nezabudice</w:t>
      </w:r>
    </w:p>
    <w:p w14:paraId="765A7014">
      <w:pPr>
        <w:tabs>
          <w:tab w:val="left" w:pos="567"/>
        </w:tabs>
        <w:jc w:val="both"/>
        <w:rPr>
          <w:rFonts w:hint="default" w:ascii="Times New Roman" w:hAnsi="Times New Roman" w:cs="Times New Roman"/>
          <w:color w:val="FF0000"/>
          <w:sz w:val="22"/>
          <w:szCs w:val="22"/>
        </w:rPr>
      </w:pPr>
    </w:p>
    <w:p w14:paraId="068A95EC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FF0000"/>
          <w:sz w:val="22"/>
          <w:szCs w:val="22"/>
        </w:rPr>
        <w:t xml:space="preserve">  </w:t>
      </w:r>
      <w:r>
        <w:rPr>
          <w:rFonts w:hint="default" w:ascii="Times New Roman" w:hAnsi="Times New Roman" w:cs="Times New Roman"/>
          <w:sz w:val="22"/>
          <w:szCs w:val="22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>
        <w:rPr>
          <w:rStyle w:val="15"/>
          <w:rFonts w:hint="default" w:ascii="Times New Roman" w:hAnsi="Times New Roman" w:cs="Times New Roman"/>
          <w:sz w:val="22"/>
          <w:szCs w:val="22"/>
        </w:rPr>
        <w:footnoteReference w:id="0"/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0DA62C85">
      <w:pPr>
        <w:tabs>
          <w:tab w:val="left" w:pos="567"/>
        </w:tabs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B069D1E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V okamžiku, kdy osoba zapojená do obecního systému odloží movitou věc nebo odpad, </w:t>
      </w:r>
      <w:r>
        <w:rPr>
          <w:rFonts w:hint="default" w:ascii="Times New Roman" w:hAnsi="Times New Roman" w:cs="Times New Roman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sz w:val="22"/>
          <w:szCs w:val="22"/>
        </w:rPr>
        <w:t>s výjimkou výrobků s ukončenou životností, na místě obcí k tomuto účelu určeném, stává se obec vlastníkem této movité věci nebo odpadu</w:t>
      </w:r>
      <w:r>
        <w:rPr>
          <w:rStyle w:val="15"/>
          <w:rFonts w:hint="default" w:ascii="Times New Roman" w:hAnsi="Times New Roman" w:cs="Times New Roman"/>
          <w:sz w:val="22"/>
          <w:szCs w:val="22"/>
        </w:rPr>
        <w:footnoteReference w:id="1"/>
      </w:r>
      <w:r>
        <w:rPr>
          <w:rFonts w:hint="default" w:ascii="Times New Roman" w:hAnsi="Times New Roman" w:cs="Times New Roman"/>
          <w:sz w:val="22"/>
          <w:szCs w:val="22"/>
        </w:rPr>
        <w:t xml:space="preserve">. </w:t>
      </w:r>
    </w:p>
    <w:p w14:paraId="07C66796">
      <w:pPr>
        <w:tabs>
          <w:tab w:val="left" w:pos="-142"/>
        </w:tabs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180973E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1D3716BE">
      <w:pPr>
        <w:tabs>
          <w:tab w:val="left" w:pos="-142"/>
        </w:tabs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5703C1B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1DBEC3C8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2</w:t>
      </w:r>
    </w:p>
    <w:p w14:paraId="3A699FAE">
      <w:pPr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Oddělené soustřeďování komunálního odpadu </w:t>
      </w:r>
    </w:p>
    <w:p w14:paraId="011FAFC1">
      <w:pPr>
        <w:jc w:val="center"/>
        <w:rPr>
          <w:rFonts w:hint="default" w:ascii="Times New Roman" w:hAnsi="Times New Roman" w:cs="Times New Roman"/>
          <w:color w:val="auto"/>
          <w:sz w:val="22"/>
          <w:szCs w:val="22"/>
        </w:rPr>
      </w:pPr>
    </w:p>
    <w:p w14:paraId="37A634EA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Osoby předávající komunální odpad na místa určená obcí jsou povinny odděleně soustřeďovat následující složky:</w:t>
      </w:r>
    </w:p>
    <w:p w14:paraId="46025DE8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8A86E15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a) Biologické odpady,</w:t>
      </w:r>
    </w:p>
    <w:p w14:paraId="374A456C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b) Papír,</w:t>
      </w:r>
    </w:p>
    <w:p w14:paraId="334CAFCA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c) Plasty včetně PET lahví, </w:t>
      </w:r>
      <w:r>
        <w:rPr>
          <w:rFonts w:hint="default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  <w:lang w:val="cs-CZ"/>
        </w:rPr>
        <w:t>kartonových nápojů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 a kovového odpadu,</w:t>
      </w:r>
    </w:p>
    <w:p w14:paraId="4EC47585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d) Sklo,</w:t>
      </w:r>
    </w:p>
    <w:p w14:paraId="6731A0EE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e) Kovy,</w:t>
      </w:r>
    </w:p>
    <w:p w14:paraId="21B8A968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f) Nebezpečné odpady,</w:t>
      </w:r>
    </w:p>
    <w:p w14:paraId="5634184B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g) Objemný odpad,</w:t>
      </w:r>
    </w:p>
    <w:p w14:paraId="70584455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h) Jedlé oleje a tuky,</w:t>
      </w:r>
    </w:p>
    <w:p w14:paraId="18731435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i) Textil,</w:t>
      </w:r>
    </w:p>
    <w:p w14:paraId="1C541358">
      <w:pPr>
        <w:pStyle w:val="18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708" w:firstLineChars="0"/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2"/>
          <w:szCs w:val="22"/>
          <w:shd w:val="clear" w:fill="FFFFFF"/>
        </w:rPr>
        <w:t>j) Směsný komunální odpad.</w:t>
      </w:r>
    </w:p>
    <w:p w14:paraId="53538E74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6B195F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7BF8496">
      <w:pPr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i/>
          <w:iCs/>
          <w:sz w:val="22"/>
          <w:szCs w:val="22"/>
          <w:lang w:val="cs-CZ"/>
        </w:rPr>
        <w:tab/>
      </w:r>
    </w:p>
    <w:p w14:paraId="594E2976">
      <w:pPr>
        <w:pStyle w:val="8"/>
        <w:numPr>
          <w:ilvl w:val="0"/>
          <w:numId w:val="2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Směsným komunálním odpadem se rozumí zbylý komunální odpad po stanoveném vytřídění podle odstavce 1 písm. a), b), c), d), e), f), g)</w:t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 xml:space="preserve"> h) ch) i) a j)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26996BD6">
      <w:pPr>
        <w:pStyle w:val="8"/>
        <w:ind w:left="360" w:firstLine="0"/>
        <w:rPr>
          <w:rFonts w:hint="default" w:ascii="Times New Roman" w:hAnsi="Times New Roman" w:cs="Times New Roman"/>
          <w:sz w:val="22"/>
          <w:szCs w:val="22"/>
        </w:rPr>
      </w:pPr>
    </w:p>
    <w:p w14:paraId="66CAADA8">
      <w:pPr>
        <w:pStyle w:val="8"/>
        <w:numPr>
          <w:ilvl w:val="0"/>
          <w:numId w:val="2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Objemný odpad je takový odpad, který vzhledem ke svým rozměrům nemůže být umístěn do sběrných nádob (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např. koberce, matrace, nábytek,…</w:t>
      </w:r>
      <w:r>
        <w:rPr>
          <w:rFonts w:hint="default" w:ascii="Times New Roman" w:hAnsi="Times New Roman" w:cs="Times New Roman"/>
          <w:sz w:val="22"/>
          <w:szCs w:val="22"/>
        </w:rPr>
        <w:t xml:space="preserve"> ).</w:t>
      </w:r>
    </w:p>
    <w:p w14:paraId="0874F9B9">
      <w:pPr>
        <w:pStyle w:val="8"/>
        <w:ind w:left="360" w:firstLine="0"/>
        <w:rPr>
          <w:rFonts w:hint="default" w:ascii="Times New Roman" w:hAnsi="Times New Roman" w:cs="Times New Roman"/>
          <w:sz w:val="22"/>
          <w:szCs w:val="22"/>
        </w:rPr>
      </w:pPr>
    </w:p>
    <w:p w14:paraId="0A9CF312">
      <w:pPr>
        <w:pStyle w:val="8"/>
        <w:ind w:left="720" w:firstLine="0"/>
        <w:jc w:val="center"/>
        <w:rPr>
          <w:rFonts w:hint="default" w:ascii="Times New Roman" w:hAnsi="Times New Roman" w:cs="Times New Roman"/>
          <w:sz w:val="22"/>
          <w:szCs w:val="22"/>
        </w:rPr>
      </w:pPr>
    </w:p>
    <w:p w14:paraId="4225AA3E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3</w:t>
      </w:r>
    </w:p>
    <w:p w14:paraId="3A00E8E9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Určení míst pro oddělené soustřeďování určených složek komunálního odpadu</w:t>
      </w:r>
    </w:p>
    <w:p w14:paraId="4FF40B0F">
      <w:pPr>
        <w:tabs>
          <w:tab w:val="left" w:pos="927"/>
        </w:tabs>
        <w:jc w:val="both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A612F63">
      <w:pPr>
        <w:numPr>
          <w:ilvl w:val="0"/>
          <w:numId w:val="3"/>
        </w:numPr>
        <w:tabs>
          <w:tab w:val="left" w:pos="540"/>
          <w:tab w:val="left" w:pos="927"/>
        </w:tabs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Papír, plasty, sklo, kovy, biologické odpady, jedlé oleje a tuky, textil a kartonové nápoje se soustřeďují do zvláštních sběrných nádob, kterými jsou kontejnery, pytle a místa k tomu určená.</w:t>
      </w:r>
    </w:p>
    <w:p w14:paraId="6B3C662B">
      <w:pPr>
        <w:pStyle w:val="19"/>
        <w:numPr>
          <w:ilvl w:val="0"/>
          <w:numId w:val="3"/>
        </w:numPr>
        <w:tabs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Zvláštní sběrné nádoby jsou umístěny na těchto stanovištích: </w:t>
      </w:r>
    </w:p>
    <w:p w14:paraId="47AC6A0D">
      <w:pPr>
        <w:pStyle w:val="19"/>
        <w:tabs>
          <w:tab w:val="left" w:pos="400"/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438" w:leftChars="91" w:hanging="220" w:hangingChars="100"/>
        <w:textAlignment w:val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Sběrné nádoby na papír, sklo, plasty, jedlé oleje a tuky, textil, kov a kartonový papír jsou umístěny na vyhrazené ploše u obecního úřadu, parc. č. 58/10.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4781FA69">
      <w:pPr>
        <w:pStyle w:val="19"/>
        <w:tabs>
          <w:tab w:val="left" w:pos="400"/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40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Biologický odpad je soustřeďován pod hřbitovní zeď do odvolání, parc. č. 91/4 (větve musí být pokráceny na co nejmenší kusy). Popelnice na bioodpad má barvu hnědou. </w:t>
      </w:r>
    </w:p>
    <w:p w14:paraId="1D329728">
      <w:pPr>
        <w:pStyle w:val="19"/>
        <w:tabs>
          <w:tab w:val="left" w:pos="400"/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40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Na směsný komunální odpad je přistavena u vrat hřbitova popelnice barvy černé. </w:t>
      </w:r>
    </w:p>
    <w:p w14:paraId="0102526B">
      <w:pPr>
        <w:pStyle w:val="19"/>
        <w:tabs>
          <w:tab w:val="left" w:pos="400"/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40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Kontejnery na nebezpečný odpad a velkoobjemový odpad jsou při svozu umístěny vedle požární nádrže, parc. č. 440/2.</w:t>
      </w:r>
    </w:p>
    <w:p w14:paraId="3C168838">
      <w:pPr>
        <w:pStyle w:val="19"/>
        <w:tabs>
          <w:tab w:val="left" w:pos="400"/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400"/>
        <w:textAlignment w:val="auto"/>
        <w:rPr>
          <w:rFonts w:hint="default" w:ascii="Times New Roman" w:hAnsi="Times New Roman" w:cs="Times New Roman"/>
          <w:sz w:val="22"/>
          <w:szCs w:val="22"/>
        </w:rPr>
      </w:pPr>
    </w:p>
    <w:p w14:paraId="78B8C00F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2ACEC78">
      <w:pPr>
        <w:pStyle w:val="19"/>
        <w:numPr>
          <w:ilvl w:val="0"/>
          <w:numId w:val="3"/>
        </w:numPr>
        <w:tabs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Zvláštní sběrné nádoby jsou barevně odlišeny a označeny příslušnými nápisy:</w:t>
      </w:r>
    </w:p>
    <w:p w14:paraId="42998DDB">
      <w:pPr>
        <w:autoSpaceDE w:val="0"/>
        <w:autoSpaceDN w:val="0"/>
        <w:adjustRightInd w:val="0"/>
        <w:rPr>
          <w:rFonts w:hint="default" w:ascii="Times New Roman" w:hAnsi="Times New Roman" w:cs="Times New Roman"/>
          <w:bCs/>
          <w:i/>
          <w:color w:val="000000"/>
        </w:rPr>
      </w:pPr>
    </w:p>
    <w:p w14:paraId="17E3E7D9">
      <w:pPr>
        <w:pStyle w:val="2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Cs/>
          <w:i/>
          <w:color w:val="000000"/>
        </w:rPr>
      </w:pPr>
      <w:r>
        <w:rPr>
          <w:rFonts w:hint="default" w:ascii="Times New Roman" w:hAnsi="Times New Roman" w:cs="Times New Roman"/>
          <w:bCs/>
          <w:i/>
          <w:color w:val="000000"/>
        </w:rPr>
        <w:t>Papír, sběrná nádoba barva modrá,</w:t>
      </w:r>
    </w:p>
    <w:p w14:paraId="1D4228C8">
      <w:pPr>
        <w:pStyle w:val="2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Cs/>
          <w:i/>
          <w:color w:val="FF0000"/>
        </w:rPr>
      </w:pPr>
      <w:r>
        <w:rPr>
          <w:rFonts w:hint="default" w:ascii="Times New Roman" w:hAnsi="Times New Roman" w:cs="Times New Roman"/>
          <w:bCs/>
          <w:i/>
          <w:color w:val="000000"/>
        </w:rPr>
        <w:t>Plasty, drobné kovy,</w:t>
      </w:r>
      <w:r>
        <w:rPr>
          <w:rFonts w:hint="default" w:ascii="Times New Roman" w:hAnsi="Times New Roman" w:cs="Times New Roman"/>
          <w:bCs/>
          <w:i/>
          <w:color w:val="FF0000"/>
        </w:rPr>
        <w:t xml:space="preserve"> </w:t>
      </w:r>
      <w:r>
        <w:rPr>
          <w:rFonts w:hint="default" w:ascii="Times New Roman" w:hAnsi="Times New Roman" w:cs="Times New Roman"/>
          <w:bCs/>
          <w:i/>
          <w:color w:val="000000" w:themeColor="text1"/>
          <w:lang w:val="cs-CZ"/>
          <w14:textFill>
            <w14:solidFill>
              <w14:schemeClr w14:val="tx1"/>
            </w14:solidFill>
          </w14:textFill>
        </w:rPr>
        <w:t>kartonové nápoje</w:t>
      </w:r>
      <w:r>
        <w:rPr>
          <w:rFonts w:hint="default" w:ascii="Times New Roman" w:hAnsi="Times New Roman" w:cs="Times New Roman"/>
          <w:bCs/>
          <w:i/>
          <w:color w:val="000000"/>
        </w:rPr>
        <w:t xml:space="preserve"> a PET lahve, sběrná nádoba barva žlutá</w:t>
      </w:r>
      <w:r>
        <w:rPr>
          <w:rFonts w:hint="default" w:ascii="Times New Roman" w:hAnsi="Times New Roman" w:cs="Times New Roman"/>
          <w:bCs/>
          <w:i/>
        </w:rPr>
        <w:t>,</w:t>
      </w:r>
    </w:p>
    <w:p w14:paraId="0E2335EF">
      <w:pPr>
        <w:pStyle w:val="2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bCs/>
          <w:i/>
          <w:color w:val="000000"/>
        </w:rPr>
      </w:pPr>
      <w:r>
        <w:rPr>
          <w:rFonts w:hint="default" w:ascii="Times New Roman" w:hAnsi="Times New Roman" w:cs="Times New Roman"/>
          <w:bCs/>
          <w:i/>
          <w:color w:val="000000"/>
        </w:rPr>
        <w:t>Sklo, sběrná nádoba barva zelená,</w:t>
      </w:r>
    </w:p>
    <w:p w14:paraId="706DAC2E">
      <w:pPr>
        <w:numPr>
          <w:ilvl w:val="0"/>
          <w:numId w:val="4"/>
        </w:numPr>
        <w:rPr>
          <w:rFonts w:hint="default" w:ascii="Times New Roman" w:hAnsi="Times New Roman" w:cs="Times New Roman"/>
          <w:i/>
          <w:iCs/>
          <w:sz w:val="22"/>
          <w:szCs w:val="22"/>
        </w:rPr>
      </w:pPr>
      <w:r>
        <w:rPr>
          <w:rFonts w:hint="default" w:ascii="Times New Roman" w:hAnsi="Times New Roman" w:cs="Times New Roman"/>
          <w:i/>
          <w:iCs/>
          <w:sz w:val="22"/>
          <w:szCs w:val="22"/>
        </w:rPr>
        <w:t>Jedlé oleje a tuky, sběrná nádoba barvy průsvitné s označením oleje a tuky,</w:t>
      </w:r>
    </w:p>
    <w:p w14:paraId="7CC55534">
      <w:pPr>
        <w:pStyle w:val="20"/>
        <w:numPr>
          <w:ilvl w:val="0"/>
          <w:numId w:val="4"/>
        </w:numPr>
        <w:rPr>
          <w:rFonts w:hint="default" w:ascii="Times New Roman" w:hAnsi="Times New Roman" w:cs="Times New Roman"/>
          <w:i/>
          <w:iCs/>
        </w:rPr>
      </w:pPr>
      <w:r>
        <w:rPr>
          <w:rFonts w:hint="default" w:ascii="Times New Roman" w:hAnsi="Times New Roman" w:cs="Times New Roman"/>
          <w:i/>
          <w:iCs/>
        </w:rPr>
        <w:t>Bioodpoad, sběrné nádoba, barvy hnědá.</w:t>
      </w:r>
    </w:p>
    <w:p w14:paraId="50024D37">
      <w:pPr>
        <w:pStyle w:val="20"/>
        <w:numPr>
          <w:ilvl w:val="0"/>
          <w:numId w:val="4"/>
        </w:numPr>
        <w:rPr>
          <w:rFonts w:hint="default" w:ascii="Times New Roman" w:hAnsi="Times New Roman" w:cs="Times New Roman"/>
          <w:i/>
          <w:iCs/>
        </w:rPr>
      </w:pPr>
      <w:r>
        <w:rPr>
          <w:rFonts w:hint="default" w:ascii="Times New Roman" w:hAnsi="Times New Roman" w:cs="Times New Roman"/>
          <w:i/>
          <w:iCs/>
          <w:lang w:val="cs-CZ"/>
        </w:rPr>
        <w:t>Textil, sběrná nádoba, barva bílá.</w:t>
      </w:r>
    </w:p>
    <w:p w14:paraId="39629D2F">
      <w:pPr>
        <w:ind w:left="360"/>
        <w:rPr>
          <w:rFonts w:hint="default" w:ascii="Times New Roman" w:hAnsi="Times New Roman" w:cs="Times New Roman"/>
          <w:i/>
          <w:iCs/>
          <w:sz w:val="22"/>
          <w:szCs w:val="22"/>
        </w:rPr>
      </w:pPr>
    </w:p>
    <w:p w14:paraId="1734E021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 zvláštních sběrných nádob je zakázáno ukládat jiné složky komunálních odpadů, než pro které jsou určeny.</w:t>
      </w:r>
    </w:p>
    <w:p w14:paraId="62871379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302FFB7">
      <w:pPr>
        <w:numPr>
          <w:ilvl w:val="0"/>
          <w:numId w:val="3"/>
        </w:num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55190BDC">
      <w:pPr>
        <w:pStyle w:val="24"/>
        <w:ind w:left="360"/>
        <w:rPr>
          <w:rFonts w:hint="default" w:ascii="Times New Roman" w:hAnsi="Times New Roman" w:cs="Times New Roman"/>
        </w:rPr>
      </w:pPr>
    </w:p>
    <w:p w14:paraId="4D9FF7DA">
      <w:pPr>
        <w:pStyle w:val="24"/>
        <w:ind w:left="360"/>
        <w:rPr>
          <w:rFonts w:hint="default" w:ascii="Times New Roman" w:hAnsi="Times New Roman" w:cs="Times New Roman"/>
        </w:rPr>
      </w:pPr>
    </w:p>
    <w:p w14:paraId="0CF447AE">
      <w:pPr>
        <w:pStyle w:val="2"/>
        <w:jc w:val="center"/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  <w:t>Čl. 4</w:t>
      </w:r>
    </w:p>
    <w:p w14:paraId="126E9DC1">
      <w:pPr>
        <w:pStyle w:val="2"/>
        <w:jc w:val="center"/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  <w:t xml:space="preserve"> Svoz nebezpečných složek komunálního odpadu</w:t>
      </w:r>
    </w:p>
    <w:p w14:paraId="38A6A9CA">
      <w:pPr>
        <w:ind w:left="360"/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7B3604AE"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Svoz nebezpečných složek komunálního odpadu je zajišťován </w:t>
      </w:r>
      <w:r>
        <w:rPr>
          <w:rFonts w:hint="default" w:ascii="Times New Roman" w:hAnsi="Times New Roman" w:cs="Times New Roman"/>
          <w:iCs/>
          <w:sz w:val="22"/>
          <w:szCs w:val="22"/>
        </w:rPr>
        <w:t>minimálně dvakrát ročně</w:t>
      </w:r>
      <w:r>
        <w:rPr>
          <w:rFonts w:hint="default" w:ascii="Times New Roman" w:hAnsi="Times New Roman" w:cs="Times New Roman"/>
          <w:sz w:val="22"/>
          <w:szCs w:val="22"/>
        </w:rPr>
        <w:t xml:space="preserve"> a předávány přímo do svozových kontejnerů k tomuto sběru určených. Informace o svozu jsou zveřejňovány Na úřední desce (písemně i elektronicky) a formou SMS zprávy. </w:t>
      </w:r>
    </w:p>
    <w:p w14:paraId="5EA908D3">
      <w:pPr>
        <w:ind w:left="360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F0676E4"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Soustřeďování nebezpečných složek komunálního odpadu podléhá požadavkům stanoveným v čl. 3 odst. 4 a 5.</w:t>
      </w:r>
    </w:p>
    <w:p w14:paraId="73DACB12">
      <w:pPr>
        <w:rPr>
          <w:rFonts w:hint="default" w:ascii="Times New Roman" w:hAnsi="Times New Roman" w:cs="Times New Roman"/>
          <w:b/>
          <w:sz w:val="22"/>
          <w:szCs w:val="22"/>
        </w:rPr>
      </w:pPr>
    </w:p>
    <w:p w14:paraId="5BB15359">
      <w:pPr>
        <w:rPr>
          <w:rFonts w:hint="default" w:ascii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14:paraId="36DA8464">
      <w:pPr>
        <w:rPr>
          <w:rFonts w:hint="default" w:ascii="Times New Roman" w:hAnsi="Times New Roman" w:cs="Times New Roman"/>
          <w:b/>
          <w:sz w:val="22"/>
          <w:szCs w:val="22"/>
        </w:rPr>
      </w:pPr>
    </w:p>
    <w:p w14:paraId="676EAA6E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5</w:t>
      </w:r>
    </w:p>
    <w:p w14:paraId="1B8D1914">
      <w:pPr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 Svoz objemného odpadu</w:t>
      </w:r>
    </w:p>
    <w:p w14:paraId="0F07C2F3">
      <w:pPr>
        <w:ind w:left="360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7CE9DF9">
      <w:pPr>
        <w:numPr>
          <w:ilvl w:val="0"/>
          <w:numId w:val="6"/>
        </w:numPr>
        <w:jc w:val="both"/>
        <w:rPr>
          <w:rFonts w:hint="default" w:ascii="Times New Roman" w:hAnsi="Times New Roman" w:cs="Times New Roman"/>
          <w:iCs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Svoz objemného odpadu je zajišťován dvakrát ročně</w:t>
      </w:r>
      <w:r>
        <w:rPr>
          <w:rFonts w:hint="default" w:ascii="Times New Roman" w:hAnsi="Times New Roman" w:cs="Times New Roman"/>
          <w:i/>
          <w:iCs/>
          <w:color w:val="00B0F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jeho odebíráním na předem vyhlášených přechodných stanovištích přímo do zvláštních sběrných nádob k tomuto účelu určených. Informace o svozu jsou zveřejňovány na úřední desce (papírově a elektronicky) a formou SMS zprávy. </w:t>
      </w:r>
    </w:p>
    <w:p w14:paraId="0595FB34">
      <w:pPr>
        <w:pStyle w:val="19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</w:p>
    <w:p w14:paraId="65D2ADF7">
      <w:pPr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Soustřeďování objemného odpadu podléhá požadavkům stanoveným v čl. 3 odst. 4 a 5. </w:t>
      </w:r>
    </w:p>
    <w:p w14:paraId="5E68BFC9">
      <w:pPr>
        <w:rPr>
          <w:rFonts w:hint="default" w:ascii="Times New Roman" w:hAnsi="Times New Roman" w:cs="Times New Roman"/>
          <w:b/>
          <w:sz w:val="22"/>
          <w:szCs w:val="22"/>
        </w:rPr>
      </w:pPr>
    </w:p>
    <w:p w14:paraId="739260CD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6</w:t>
      </w:r>
    </w:p>
    <w:p w14:paraId="5198900F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Soustřeďování směsného komunálního odpadu </w:t>
      </w:r>
    </w:p>
    <w:p w14:paraId="64DB6564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1CBE57AA">
      <w:pPr>
        <w:widowControl w:val="0"/>
        <w:numPr>
          <w:ilvl w:val="0"/>
          <w:numId w:val="7"/>
        </w:numPr>
        <w:ind w:left="426" w:hanging="426"/>
        <w:jc w:val="both"/>
        <w:rPr>
          <w:rFonts w:hint="default" w:ascii="Times New Roman" w:hAnsi="Times New Roman" w:cs="Times New Roman"/>
          <w:strike/>
          <w:color w:val="00B0F0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Směsný komunální odpad se odkládá do sběrných nádob. Pro účely této vyhlášky se sběrnými nádobami rozumějí:</w:t>
      </w:r>
    </w:p>
    <w:p w14:paraId="7F02BC12">
      <w:pPr>
        <w:pStyle w:val="2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 w:leftChars="0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bCs/>
          <w:i/>
          <w:sz w:val="22"/>
          <w:szCs w:val="22"/>
          <w:lang w:val="cs-CZ"/>
        </w:rPr>
        <w:t>plastové</w:t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 xml:space="preserve"> pytle</w:t>
      </w:r>
    </w:p>
    <w:p w14:paraId="1A0BF555">
      <w:pPr>
        <w:pStyle w:val="2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 w:leftChars="0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bCs/>
          <w:i/>
          <w:sz w:val="22"/>
          <w:szCs w:val="22"/>
        </w:rPr>
        <w:t>popelnice</w:t>
      </w:r>
    </w:p>
    <w:p w14:paraId="75B09502">
      <w:pPr>
        <w:numPr>
          <w:ilvl w:val="0"/>
          <w:numId w:val="7"/>
        </w:numPr>
        <w:ind w:left="426" w:hanging="426"/>
        <w:jc w:val="both"/>
        <w:rPr>
          <w:rFonts w:hint="default" w:ascii="Times New Roman" w:hAnsi="Times New Roman" w:cs="Times New Roman"/>
          <w:color w:val="00B0F0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Soustřeďování směsného komunálního odpadu podléhá požadavkům stanoveným </w:t>
      </w:r>
      <w:r>
        <w:rPr>
          <w:rFonts w:hint="default" w:ascii="Times New Roman" w:hAnsi="Times New Roman" w:cs="Times New Roman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sz w:val="22"/>
          <w:szCs w:val="22"/>
        </w:rPr>
        <w:t xml:space="preserve">v čl. 3 odst. 4 a 5. </w:t>
      </w:r>
    </w:p>
    <w:p w14:paraId="1251550E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5538C025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30BB59BB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043C87C0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7</w:t>
      </w:r>
    </w:p>
    <w:p w14:paraId="21308161">
      <w:pPr>
        <w:pStyle w:val="26"/>
        <w:spacing w:before="0" w:after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Přechodné a zrušovací ustanovení</w:t>
      </w:r>
    </w:p>
    <w:p w14:paraId="68574846">
      <w:pPr>
        <w:pStyle w:val="26"/>
        <w:spacing w:before="0" w:after="0"/>
        <w:rPr>
          <w:rFonts w:hint="default" w:ascii="Times New Roman" w:hAnsi="Times New Roman" w:cs="Times New Roman"/>
          <w:sz w:val="22"/>
          <w:szCs w:val="22"/>
        </w:rPr>
      </w:pPr>
    </w:p>
    <w:p w14:paraId="47E27B47">
      <w:pPr>
        <w:ind w:firstLine="708"/>
        <w:jc w:val="both"/>
        <w:rPr>
          <w:rFonts w:hint="default" w:ascii="Times New Roman" w:hAnsi="Times New Roman" w:cs="Times New Roman"/>
          <w:sz w:val="22"/>
          <w:szCs w:val="22"/>
          <w:lang w:val="cs-CZ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Zrušuje se obecně závazná vyhláška č. </w:t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>2/2025 ze dne 18.4.2025.</w:t>
      </w:r>
    </w:p>
    <w:p w14:paraId="01056AE5">
      <w:pPr>
        <w:pStyle w:val="26"/>
        <w:spacing w:before="0" w:after="0"/>
        <w:rPr>
          <w:rFonts w:hint="default" w:ascii="Times New Roman" w:hAnsi="Times New Roman" w:cs="Times New Roman"/>
          <w:sz w:val="22"/>
          <w:szCs w:val="22"/>
        </w:rPr>
      </w:pPr>
    </w:p>
    <w:p w14:paraId="69E971C0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184D01B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Čl. 8</w:t>
      </w:r>
    </w:p>
    <w:p w14:paraId="4F3068C2">
      <w:pPr>
        <w:pStyle w:val="26"/>
        <w:spacing w:before="0" w:after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Účinnost</w:t>
      </w:r>
    </w:p>
    <w:p w14:paraId="0F2FC939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37475504">
      <w:pPr>
        <w:ind w:firstLine="70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Tato vyhláška nabývá účinnosti počátkem patnáctého dne následujícího po dni jejího 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 xml:space="preserve">vyhlášení. </w:t>
      </w:r>
    </w:p>
    <w:p w14:paraId="66D91844">
      <w:pPr>
        <w:ind w:firstLine="70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694954F">
      <w:pPr>
        <w:shd w:val="clear" w:color="auto" w:fill="FFFFFF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 w14:paraId="5EEC71C7">
      <w:pPr>
        <w:ind w:firstLine="708"/>
        <w:jc w:val="both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5683A007">
      <w:pPr>
        <w:pStyle w:val="26"/>
        <w:spacing w:before="0" w:after="0"/>
        <w:jc w:val="left"/>
        <w:rPr>
          <w:rFonts w:hint="default" w:ascii="Times New Roman" w:hAnsi="Times New Roman" w:cs="Times New Roman"/>
          <w:b w:val="0"/>
          <w:bCs w:val="0"/>
          <w:i/>
          <w:color w:val="1A4BD6"/>
          <w:sz w:val="22"/>
          <w:szCs w:val="22"/>
        </w:rPr>
      </w:pPr>
    </w:p>
    <w:p w14:paraId="4E654116">
      <w:pPr>
        <w:spacing w:before="120" w:line="288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D7EC0BC">
      <w:pPr>
        <w:spacing w:before="120" w:line="288" w:lineRule="auto"/>
        <w:jc w:val="both"/>
        <w:rPr>
          <w:rFonts w:hint="default" w:ascii="Times New Roman" w:hAnsi="Times New Roman" w:cs="Times New Roman"/>
          <w:sz w:val="22"/>
          <w:szCs w:val="22"/>
          <w:lang w:val="cs-CZ"/>
        </w:rPr>
      </w:pPr>
      <w:r>
        <w:rPr>
          <w:rFonts w:hint="default" w:ascii="Times New Roman" w:hAnsi="Times New Roman" w:cs="Times New Roman"/>
          <w:sz w:val="22"/>
          <w:szCs w:val="22"/>
          <w:lang w:val="cs-CZ"/>
        </w:rPr>
        <w:t xml:space="preserve">                   v.r.</w:t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ab/>
      </w:r>
      <w:r>
        <w:rPr>
          <w:rFonts w:hint="default" w:cs="Times New Roman"/>
          <w:sz w:val="22"/>
          <w:szCs w:val="22"/>
          <w:lang w:val="cs-CZ"/>
        </w:rPr>
        <w:t xml:space="preserve">                </w:t>
      </w:r>
      <w:r>
        <w:rPr>
          <w:rFonts w:hint="default" w:ascii="Times New Roman" w:hAnsi="Times New Roman" w:cs="Times New Roman"/>
          <w:sz w:val="22"/>
          <w:szCs w:val="22"/>
          <w:lang w:val="cs-CZ"/>
        </w:rPr>
        <w:t xml:space="preserve">  v.r.</w:t>
      </w:r>
    </w:p>
    <w:p w14:paraId="22B4BAAD">
      <w:pPr>
        <w:ind w:firstLine="708"/>
        <w:rPr>
          <w:rFonts w:hint="default" w:ascii="Times New Roman" w:hAnsi="Times New Roman" w:cs="Times New Roman"/>
          <w:bCs/>
          <w:i/>
          <w:sz w:val="22"/>
          <w:szCs w:val="22"/>
        </w:rPr>
      </w:pP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ab/>
      </w:r>
    </w:p>
    <w:p w14:paraId="0A6A322D">
      <w:pPr>
        <w:rPr>
          <w:rFonts w:hint="default" w:ascii="Times New Roman" w:hAnsi="Times New Roman" w:cs="Times New Roman"/>
          <w:bCs/>
          <w:sz w:val="22"/>
          <w:szCs w:val="22"/>
        </w:rPr>
      </w:pPr>
      <w:r>
        <w:rPr>
          <w:rFonts w:hint="default" w:ascii="Times New Roman" w:hAnsi="Times New Roman" w:cs="Times New Roman"/>
          <w:bCs/>
          <w:sz w:val="22"/>
          <w:szCs w:val="22"/>
        </w:rPr>
        <w:t>…………………………………..</w:t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>………………………………</w:t>
      </w:r>
    </w:p>
    <w:p w14:paraId="2713AC16">
      <w:pPr>
        <w:ind w:firstLine="708"/>
        <w:rPr>
          <w:rFonts w:hint="default" w:ascii="Times New Roman" w:hAnsi="Times New Roman" w:cs="Times New Roman"/>
          <w:bCs/>
          <w:sz w:val="22"/>
          <w:szCs w:val="22"/>
        </w:rPr>
      </w:pPr>
      <w:r>
        <w:rPr>
          <w:rFonts w:hint="default" w:ascii="Times New Roman" w:hAnsi="Times New Roman" w:cs="Times New Roman"/>
          <w:bCs/>
          <w:i/>
          <w:sz w:val="22"/>
          <w:szCs w:val="22"/>
        </w:rPr>
        <w:t>Jaroslav Šnobl</w:t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cs="Times New Roman"/>
          <w:bCs/>
          <w:sz w:val="22"/>
          <w:szCs w:val="22"/>
          <w:lang w:val="cs-CZ"/>
        </w:rPr>
        <w:t xml:space="preserve">            </w:t>
      </w:r>
      <w:r>
        <w:rPr>
          <w:rFonts w:hint="default" w:ascii="Times New Roman" w:hAnsi="Times New Roman" w:cs="Times New Roman"/>
          <w:bCs/>
          <w:i/>
          <w:sz w:val="22"/>
          <w:szCs w:val="22"/>
        </w:rPr>
        <w:t>Jitka Vydrová</w:t>
      </w:r>
    </w:p>
    <w:p w14:paraId="38BD8343">
      <w:pPr>
        <w:ind w:left="708"/>
        <w:rPr>
          <w:rFonts w:hint="default" w:ascii="Times New Roman" w:hAnsi="Times New Roman" w:cs="Times New Roman"/>
          <w:bCs/>
          <w:sz w:val="22"/>
          <w:szCs w:val="22"/>
        </w:rPr>
      </w:pPr>
      <w:r>
        <w:rPr>
          <w:rFonts w:hint="default" w:ascii="Times New Roman" w:hAnsi="Times New Roman" w:cs="Times New Roman"/>
          <w:bCs/>
          <w:sz w:val="22"/>
          <w:szCs w:val="22"/>
        </w:rPr>
        <w:t xml:space="preserve"> místostarosta</w:t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ab/>
      </w:r>
      <w:r>
        <w:rPr>
          <w:rFonts w:hint="default" w:ascii="Times New Roman" w:hAnsi="Times New Roman" w:cs="Times New Roman"/>
          <w:bCs/>
          <w:sz w:val="22"/>
          <w:szCs w:val="22"/>
        </w:rPr>
        <w:t xml:space="preserve">     starosta</w:t>
      </w:r>
    </w:p>
    <w:p w14:paraId="59616ED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 xml:space="preserve">       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 xml:space="preserve">       </w:t>
      </w:r>
    </w:p>
    <w:p w14:paraId="706BA706">
      <w:pPr>
        <w:pStyle w:val="7"/>
        <w:tabs>
          <w:tab w:val="left" w:pos="1080"/>
          <w:tab w:val="left" w:pos="7020"/>
        </w:tabs>
        <w:spacing w:after="0" w:line="28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6CF39640">
      <w:pPr>
        <w:rPr>
          <w:rFonts w:hint="default" w:ascii="Times New Roman" w:hAnsi="Times New Roman" w:cs="Times New Roman"/>
          <w:sz w:val="22"/>
          <w:szCs w:val="22"/>
        </w:rPr>
      </w:pPr>
    </w:p>
    <w:sectPr>
      <w:footerReference r:id="rId4" w:type="default"/>
      <w:pgSz w:w="11906" w:h="16838"/>
      <w:pgMar w:top="1418" w:right="1418" w:bottom="1985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74799">
    <w:pPr>
      <w:pStyle w:val="1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 w14:paraId="1F02B783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6FBE5FDC">
      <w:pPr>
        <w:pStyle w:val="16"/>
        <w:rPr>
          <w:rFonts w:ascii="Arial" w:hAnsi="Arial" w:cs="Arial"/>
        </w:rPr>
      </w:pPr>
      <w:r>
        <w:rPr>
          <w:rStyle w:val="15"/>
          <w:rFonts w:ascii="Arial" w:hAnsi="Arial" w:cs="Arial"/>
        </w:rPr>
        <w:footnoteRef/>
      </w:r>
      <w:r>
        <w:rPr>
          <w:rFonts w:ascii="Arial" w:hAnsi="Arial" w:cs="Arial"/>
        </w:rPr>
        <w:t xml:space="preserve"> § 61 zákona o odpadech</w:t>
      </w:r>
    </w:p>
  </w:footnote>
  <w:footnote w:id="1">
    <w:p w14:paraId="75705CED">
      <w:pPr>
        <w:pStyle w:val="16"/>
      </w:pPr>
      <w:r>
        <w:rPr>
          <w:rStyle w:val="15"/>
          <w:rFonts w:ascii="Arial" w:hAnsi="Arial" w:cs="Arial"/>
        </w:rPr>
        <w:footnoteRef/>
      </w:r>
      <w:r>
        <w:rPr>
          <w:rFonts w:ascii="Arial" w:hAnsi="Arial" w:cs="Arial"/>
        </w:rP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57C11"/>
    <w:multiLevelType w:val="multilevel"/>
    <w:tmpl w:val="04457C1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02B81"/>
    <w:multiLevelType w:val="multilevel"/>
    <w:tmpl w:val="15202B81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385E43"/>
    <w:multiLevelType w:val="multilevel"/>
    <w:tmpl w:val="18385E43"/>
    <w:lvl w:ilvl="0" w:tentative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F4DEF"/>
    <w:multiLevelType w:val="singleLevel"/>
    <w:tmpl w:val="230F4DEF"/>
    <w:lvl w:ilvl="0" w:tentative="0">
      <w:start w:val="1"/>
      <w:numFmt w:val="lowerLetter"/>
      <w:suff w:val="space"/>
      <w:lvlText w:val="%1)"/>
      <w:lvlJc w:val="left"/>
    </w:lvl>
  </w:abstractNum>
  <w:abstractNum w:abstractNumId="4">
    <w:nsid w:val="2BC43BCB"/>
    <w:multiLevelType w:val="multilevel"/>
    <w:tmpl w:val="2BC43BCB"/>
    <w:lvl w:ilvl="0" w:tentative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5">
    <w:nsid w:val="3A1333CB"/>
    <w:multiLevelType w:val="multilevel"/>
    <w:tmpl w:val="3A1333CB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5721E2"/>
    <w:multiLevelType w:val="multilevel"/>
    <w:tmpl w:val="3F5721E2"/>
    <w:lvl w:ilvl="0" w:tentative="0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9F043D"/>
    <w:multiLevelType w:val="multilevel"/>
    <w:tmpl w:val="5C9F043D"/>
    <w:lvl w:ilvl="0" w:tentative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b w:val="0"/>
        <w:u w:val="none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0768"/>
    <w:rsid w:val="00052AEC"/>
    <w:rsid w:val="00053446"/>
    <w:rsid w:val="00053FEC"/>
    <w:rsid w:val="0005615E"/>
    <w:rsid w:val="0005787D"/>
    <w:rsid w:val="00061946"/>
    <w:rsid w:val="00074395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A5F85"/>
    <w:rsid w:val="000B560B"/>
    <w:rsid w:val="000C3F47"/>
    <w:rsid w:val="000D0024"/>
    <w:rsid w:val="000D356A"/>
    <w:rsid w:val="000D40B5"/>
    <w:rsid w:val="000D6B15"/>
    <w:rsid w:val="000E7318"/>
    <w:rsid w:val="000E7404"/>
    <w:rsid w:val="000E7B77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3786D"/>
    <w:rsid w:val="00143C84"/>
    <w:rsid w:val="001468F1"/>
    <w:rsid w:val="001476FD"/>
    <w:rsid w:val="00150F27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733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3E14"/>
    <w:rsid w:val="002F4026"/>
    <w:rsid w:val="002F6C9F"/>
    <w:rsid w:val="0031415A"/>
    <w:rsid w:val="00320CF7"/>
    <w:rsid w:val="0032634F"/>
    <w:rsid w:val="00332A01"/>
    <w:rsid w:val="00332C94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1FAD"/>
    <w:rsid w:val="00402834"/>
    <w:rsid w:val="00414D31"/>
    <w:rsid w:val="00421C34"/>
    <w:rsid w:val="00423176"/>
    <w:rsid w:val="00423F33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4BFE"/>
    <w:rsid w:val="005460E5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154C"/>
    <w:rsid w:val="005D29B1"/>
    <w:rsid w:val="005D6CD7"/>
    <w:rsid w:val="005D78B7"/>
    <w:rsid w:val="005E114F"/>
    <w:rsid w:val="005E2539"/>
    <w:rsid w:val="005E3069"/>
    <w:rsid w:val="005E31B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852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0B4F"/>
    <w:rsid w:val="00732470"/>
    <w:rsid w:val="0073528A"/>
    <w:rsid w:val="00735BA4"/>
    <w:rsid w:val="00745703"/>
    <w:rsid w:val="00757DFC"/>
    <w:rsid w:val="00765052"/>
    <w:rsid w:val="007654D3"/>
    <w:rsid w:val="00777412"/>
    <w:rsid w:val="00782E01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515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B4953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47C1"/>
    <w:rsid w:val="009774F4"/>
    <w:rsid w:val="00984925"/>
    <w:rsid w:val="009859B0"/>
    <w:rsid w:val="0099441B"/>
    <w:rsid w:val="009A0DDF"/>
    <w:rsid w:val="009A1A48"/>
    <w:rsid w:val="009A64B8"/>
    <w:rsid w:val="009B50E5"/>
    <w:rsid w:val="009B680A"/>
    <w:rsid w:val="009B77CC"/>
    <w:rsid w:val="009C11B6"/>
    <w:rsid w:val="009C7464"/>
    <w:rsid w:val="009D5C19"/>
    <w:rsid w:val="009E4450"/>
    <w:rsid w:val="009E5176"/>
    <w:rsid w:val="009F5BB9"/>
    <w:rsid w:val="00A07653"/>
    <w:rsid w:val="00A11DFF"/>
    <w:rsid w:val="00A124EF"/>
    <w:rsid w:val="00A23FF9"/>
    <w:rsid w:val="00A25B5E"/>
    <w:rsid w:val="00A33FDC"/>
    <w:rsid w:val="00A342C0"/>
    <w:rsid w:val="00A47650"/>
    <w:rsid w:val="00A4769E"/>
    <w:rsid w:val="00A532C2"/>
    <w:rsid w:val="00A617A0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0144"/>
    <w:rsid w:val="00AA1F36"/>
    <w:rsid w:val="00AA408A"/>
    <w:rsid w:val="00AB3FF3"/>
    <w:rsid w:val="00AB44E2"/>
    <w:rsid w:val="00AB4897"/>
    <w:rsid w:val="00AB5053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07EE3"/>
    <w:rsid w:val="00B11B51"/>
    <w:rsid w:val="00B267BA"/>
    <w:rsid w:val="00B321B9"/>
    <w:rsid w:val="00B3452E"/>
    <w:rsid w:val="00B42462"/>
    <w:rsid w:val="00B4549C"/>
    <w:rsid w:val="00B556A5"/>
    <w:rsid w:val="00B7587D"/>
    <w:rsid w:val="00B7787C"/>
    <w:rsid w:val="00B81DEA"/>
    <w:rsid w:val="00B947F5"/>
    <w:rsid w:val="00BA2FB8"/>
    <w:rsid w:val="00BA7164"/>
    <w:rsid w:val="00BC152A"/>
    <w:rsid w:val="00BC51C4"/>
    <w:rsid w:val="00BC676E"/>
    <w:rsid w:val="00BD2B1D"/>
    <w:rsid w:val="00BD3591"/>
    <w:rsid w:val="00BD3C08"/>
    <w:rsid w:val="00BD5C34"/>
    <w:rsid w:val="00BE347C"/>
    <w:rsid w:val="00BE4DFE"/>
    <w:rsid w:val="00BE72A2"/>
    <w:rsid w:val="00BF0879"/>
    <w:rsid w:val="00BF3879"/>
    <w:rsid w:val="00BF3896"/>
    <w:rsid w:val="00BF6EFC"/>
    <w:rsid w:val="00C06DBD"/>
    <w:rsid w:val="00C125FE"/>
    <w:rsid w:val="00C169D0"/>
    <w:rsid w:val="00C20056"/>
    <w:rsid w:val="00C25DCE"/>
    <w:rsid w:val="00C26D46"/>
    <w:rsid w:val="00C3782E"/>
    <w:rsid w:val="00C45BF9"/>
    <w:rsid w:val="00C52CFB"/>
    <w:rsid w:val="00C55AB4"/>
    <w:rsid w:val="00C67796"/>
    <w:rsid w:val="00C742D1"/>
    <w:rsid w:val="00C75E1E"/>
    <w:rsid w:val="00C819B3"/>
    <w:rsid w:val="00C8342C"/>
    <w:rsid w:val="00C9368B"/>
    <w:rsid w:val="00C94283"/>
    <w:rsid w:val="00CA5511"/>
    <w:rsid w:val="00CB04E9"/>
    <w:rsid w:val="00CB176B"/>
    <w:rsid w:val="00CB5394"/>
    <w:rsid w:val="00CB5754"/>
    <w:rsid w:val="00CB5E14"/>
    <w:rsid w:val="00CC4B32"/>
    <w:rsid w:val="00CD3027"/>
    <w:rsid w:val="00CE1581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36CD"/>
    <w:rsid w:val="00D44ECF"/>
    <w:rsid w:val="00D51D24"/>
    <w:rsid w:val="00D546F5"/>
    <w:rsid w:val="00D62F8B"/>
    <w:rsid w:val="00D7341B"/>
    <w:rsid w:val="00D736CB"/>
    <w:rsid w:val="00D832B7"/>
    <w:rsid w:val="00D91A41"/>
    <w:rsid w:val="00D957B0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4E7E"/>
    <w:rsid w:val="00E66B2E"/>
    <w:rsid w:val="00E72053"/>
    <w:rsid w:val="00E8031C"/>
    <w:rsid w:val="00E80F8F"/>
    <w:rsid w:val="00E818BD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03E7A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0D3E"/>
    <w:rsid w:val="00F67C91"/>
    <w:rsid w:val="00F71191"/>
    <w:rsid w:val="00F724DF"/>
    <w:rsid w:val="00F75D01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24C4"/>
    <w:rsid w:val="00FC59DA"/>
    <w:rsid w:val="00FD337F"/>
    <w:rsid w:val="00FE0414"/>
    <w:rsid w:val="00FE5AD5"/>
    <w:rsid w:val="00FE7963"/>
    <w:rsid w:val="00FE7C1B"/>
    <w:rsid w:val="00FF6064"/>
    <w:rsid w:val="00FF60D6"/>
    <w:rsid w:val="00FF79FA"/>
    <w:rsid w:val="017546F1"/>
    <w:rsid w:val="104D284B"/>
    <w:rsid w:val="10624D6F"/>
    <w:rsid w:val="156670AB"/>
    <w:rsid w:val="196F2449"/>
    <w:rsid w:val="1AF57CC6"/>
    <w:rsid w:val="1DB34347"/>
    <w:rsid w:val="1F17523C"/>
    <w:rsid w:val="26A90D71"/>
    <w:rsid w:val="26DE4854"/>
    <w:rsid w:val="29502FD4"/>
    <w:rsid w:val="2C6735CC"/>
    <w:rsid w:val="31056DF8"/>
    <w:rsid w:val="350B4A94"/>
    <w:rsid w:val="36D24400"/>
    <w:rsid w:val="38822AC1"/>
    <w:rsid w:val="3CE34B74"/>
    <w:rsid w:val="3EFD36E5"/>
    <w:rsid w:val="48E9042E"/>
    <w:rsid w:val="4C93212D"/>
    <w:rsid w:val="4E2B47CD"/>
    <w:rsid w:val="55E6205E"/>
    <w:rsid w:val="57B734F7"/>
    <w:rsid w:val="5CA11989"/>
    <w:rsid w:val="6D48455A"/>
    <w:rsid w:val="733A771A"/>
    <w:rsid w:val="73B63250"/>
    <w:rsid w:val="7CA5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nhideWhenUsed="0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paragraph" w:styleId="2">
    <w:name w:val="heading 2"/>
    <w:basedOn w:val="1"/>
    <w:next w:val="1"/>
    <w:qFormat/>
    <w:uiPriority w:val="0"/>
    <w:pPr>
      <w:keepNext/>
      <w:jc w:val="both"/>
      <w:outlineLvl w:val="1"/>
    </w:pPr>
    <w:rPr>
      <w:szCs w:val="20"/>
      <w:u w:val="single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E79" w:themeColor="accent1" w:themeShade="8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spacing w:after="120"/>
    </w:pPr>
    <w:rPr>
      <w:szCs w:val="20"/>
    </w:rPr>
  </w:style>
  <w:style w:type="paragraph" w:styleId="8">
    <w:name w:val="Body Text Indent"/>
    <w:basedOn w:val="1"/>
    <w:qFormat/>
    <w:uiPriority w:val="0"/>
    <w:pPr>
      <w:ind w:left="708" w:firstLine="357"/>
      <w:jc w:val="both"/>
    </w:pPr>
    <w:rPr>
      <w:szCs w:val="20"/>
    </w:rPr>
  </w:style>
  <w:style w:type="paragraph" w:styleId="9">
    <w:name w:val="Body Text Indent 2"/>
    <w:basedOn w:val="1"/>
    <w:qFormat/>
    <w:uiPriority w:val="0"/>
    <w:pPr>
      <w:ind w:left="708" w:firstLine="360"/>
      <w:jc w:val="both"/>
    </w:pPr>
    <w:rPr>
      <w:bCs/>
      <w:szCs w:val="20"/>
    </w:rPr>
  </w:style>
  <w:style w:type="paragraph" w:styleId="10">
    <w:name w:val="Body Text Indent 3"/>
    <w:basedOn w:val="1"/>
    <w:qFormat/>
    <w:uiPriority w:val="0"/>
    <w:pPr>
      <w:widowControl w:val="0"/>
      <w:tabs>
        <w:tab w:val="left" w:pos="540"/>
      </w:tabs>
      <w:ind w:left="540" w:hanging="540"/>
      <w:jc w:val="both"/>
    </w:pPr>
    <w:rPr>
      <w:bCs/>
    </w:rPr>
  </w:style>
  <w:style w:type="character" w:styleId="11">
    <w:name w:val="annotation reference"/>
    <w:semiHidden/>
    <w:qFormat/>
    <w:uiPriority w:val="0"/>
    <w:rPr>
      <w:sz w:val="16"/>
      <w:szCs w:val="16"/>
    </w:rPr>
  </w:style>
  <w:style w:type="paragraph" w:styleId="12">
    <w:name w:val="annotation text"/>
    <w:basedOn w:val="1"/>
    <w:link w:val="21"/>
    <w:semiHidden/>
    <w:qFormat/>
    <w:uiPriority w:val="0"/>
    <w:rPr>
      <w:sz w:val="20"/>
      <w:szCs w:val="20"/>
    </w:rPr>
  </w:style>
  <w:style w:type="paragraph" w:styleId="13">
    <w:name w:val="annotation subject"/>
    <w:basedOn w:val="12"/>
    <w:next w:val="12"/>
    <w:link w:val="22"/>
    <w:semiHidden/>
    <w:unhideWhenUsed/>
    <w:qFormat/>
    <w:uiPriority w:val="99"/>
    <w:rPr>
      <w:b/>
      <w:bCs/>
      <w:lang w:val="zh-CN" w:eastAsia="zh-CN"/>
    </w:rPr>
  </w:style>
  <w:style w:type="paragraph" w:styleId="14">
    <w:name w:val="footer"/>
    <w:basedOn w:val="1"/>
    <w:link w:val="23"/>
    <w:unhideWhenUsed/>
    <w:qFormat/>
    <w:uiPriority w:val="99"/>
    <w:pPr>
      <w:tabs>
        <w:tab w:val="center" w:pos="4536"/>
        <w:tab w:val="right" w:pos="9072"/>
      </w:tabs>
    </w:pPr>
    <w:rPr>
      <w:lang w:val="zh-CN" w:eastAsia="zh-CN"/>
    </w:rPr>
  </w:style>
  <w:style w:type="character" w:styleId="15">
    <w:name w:val="footnote reference"/>
    <w:semiHidden/>
    <w:qFormat/>
    <w:uiPriority w:val="0"/>
    <w:rPr>
      <w:vertAlign w:val="superscript"/>
    </w:rPr>
  </w:style>
  <w:style w:type="paragraph" w:styleId="16">
    <w:name w:val="footnote text"/>
    <w:basedOn w:val="1"/>
    <w:semiHidden/>
    <w:qFormat/>
    <w:uiPriority w:val="0"/>
    <w:rPr>
      <w:sz w:val="20"/>
      <w:szCs w:val="20"/>
    </w:rPr>
  </w:style>
  <w:style w:type="paragraph" w:styleId="17">
    <w:name w:val="header"/>
    <w:basedOn w:val="1"/>
    <w:qFormat/>
    <w:uiPriority w:val="0"/>
    <w:pPr>
      <w:tabs>
        <w:tab w:val="center" w:pos="4536"/>
        <w:tab w:val="right" w:pos="9072"/>
      </w:tabs>
    </w:pPr>
    <w:rPr>
      <w:szCs w:val="20"/>
    </w:rPr>
  </w:style>
  <w:style w:type="paragraph" w:styleId="18">
    <w:name w:val="Normal (Web)"/>
    <w:basedOn w:val="1"/>
    <w:semiHidden/>
    <w:unhideWhenUsed/>
    <w:qFormat/>
    <w:uiPriority w:val="99"/>
    <w:rPr>
      <w:sz w:val="24"/>
      <w:szCs w:val="24"/>
    </w:rPr>
  </w:style>
  <w:style w:type="paragraph" w:customStyle="1" w:styleId="19">
    <w:name w:val="Normální_IMP"/>
    <w:basedOn w:val="1"/>
    <w:qFormat/>
    <w:uiPriority w:val="0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20">
    <w:name w:val="List Paragraph"/>
    <w:basedOn w:val="1"/>
    <w:qFormat/>
    <w:uiPriority w:val="99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1">
    <w:name w:val="Text komentáře Char"/>
    <w:basedOn w:val="4"/>
    <w:link w:val="12"/>
    <w:semiHidden/>
    <w:qFormat/>
    <w:uiPriority w:val="0"/>
  </w:style>
  <w:style w:type="character" w:customStyle="1" w:styleId="22">
    <w:name w:val="Předmět komentáře Char"/>
    <w:link w:val="13"/>
    <w:semiHidden/>
    <w:qFormat/>
    <w:uiPriority w:val="99"/>
    <w:rPr>
      <w:b/>
      <w:bCs/>
    </w:rPr>
  </w:style>
  <w:style w:type="character" w:customStyle="1" w:styleId="23">
    <w:name w:val="Zápatí Char"/>
    <w:link w:val="14"/>
    <w:qFormat/>
    <w:uiPriority w:val="99"/>
    <w:rPr>
      <w:sz w:val="24"/>
      <w:szCs w:val="24"/>
    </w:rPr>
  </w:style>
  <w:style w:type="paragraph" w:customStyle="1" w:styleId="24">
    <w:name w:val="Default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cs-CZ" w:eastAsia="cs-CZ" w:bidi="ar-SA"/>
    </w:rPr>
  </w:style>
  <w:style w:type="character" w:customStyle="1" w:styleId="25">
    <w:name w:val="Nadpis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customStyle="1" w:styleId="26">
    <w:name w:val="Názvy článků"/>
    <w:basedOn w:val="1"/>
    <w:qFormat/>
    <w:uiPriority w:val="0"/>
    <w:pPr>
      <w:keepNext/>
      <w:keepLines/>
      <w:spacing w:before="60" w:after="160"/>
      <w:jc w:val="center"/>
    </w:pPr>
    <w:rPr>
      <w:b/>
      <w:bCs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1DAE0791-5BEF-47A8-A3B3-4105DBD760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MV ČR</Company>
  <Pages>3</Pages>
  <Words>716</Words>
  <Characters>4227</Characters>
  <Lines>35</Lines>
  <Paragraphs>9</Paragraphs>
  <TotalTime>23</TotalTime>
  <ScaleCrop>false</ScaleCrop>
  <LinksUpToDate>false</LinksUpToDate>
  <CharactersWithSpaces>4934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2022-05-18T08:41:00Z</dcterms:created>
  <dc:creator>DA210036</dc:creator>
  <cp:lastModifiedBy>pajav</cp:lastModifiedBy>
  <cp:lastPrinted>2020-12-03T09:05:00Z</cp:lastPrinted>
  <dcterms:modified xsi:type="dcterms:W3CDTF">2026-09-11T14:34:27Z</dcterms:modified>
  <dc:title>Vzor obecně závazné vyhlášky obce o stanovení systému shromažďování, sběru, přepravy, třídění, využívání a odstraňování komuná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7115E9AE16C0435E9B8479BB3980E1EE_13</vt:lpwstr>
  </property>
</Properties>
</file>