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A3CD" w14:textId="1A1C6B87" w:rsidR="00644B7C" w:rsidRPr="005969B6" w:rsidRDefault="00644B7C" w:rsidP="00644B7C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969B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Obec Řídelov </w:t>
      </w:r>
      <w:r w:rsidRPr="00644B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3095B0D" w14:textId="3444EACB" w:rsidR="00644B7C" w:rsidRPr="00644B7C" w:rsidRDefault="00644B7C" w:rsidP="005969B6">
      <w:pPr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44B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Zastupitelstvo </w:t>
      </w:r>
      <w:r w:rsidRPr="005969B6">
        <w:rPr>
          <w:rFonts w:ascii="Arial" w:hAnsi="Arial" w:cs="Arial"/>
          <w:b/>
          <w:bCs/>
          <w:color w:val="000000" w:themeColor="text1"/>
          <w:sz w:val="24"/>
          <w:szCs w:val="24"/>
        </w:rPr>
        <w:t>obce Řídelov</w:t>
      </w:r>
    </w:p>
    <w:p w14:paraId="63B57CAB" w14:textId="77777777" w:rsidR="00644B7C" w:rsidRPr="005969B6" w:rsidRDefault="00644B7C" w:rsidP="00644B7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F6AA43" w14:textId="59B594C7" w:rsidR="00644B7C" w:rsidRPr="00644B7C" w:rsidRDefault="00644B7C" w:rsidP="00644B7C">
      <w:pPr>
        <w:rPr>
          <w:rFonts w:ascii="Arial" w:hAnsi="Arial" w:cs="Arial"/>
          <w:color w:val="000000" w:themeColor="text1"/>
          <w:sz w:val="24"/>
          <w:szCs w:val="24"/>
        </w:rPr>
      </w:pPr>
      <w:r w:rsidRPr="00644B7C">
        <w:rPr>
          <w:rFonts w:ascii="Arial" w:hAnsi="Arial" w:cs="Arial"/>
          <w:color w:val="000000" w:themeColor="text1"/>
          <w:sz w:val="24"/>
          <w:szCs w:val="24"/>
        </w:rPr>
        <w:t xml:space="preserve">Číslo jednací: </w:t>
      </w:r>
      <w:r w:rsidRPr="005969B6">
        <w:rPr>
          <w:rFonts w:ascii="Arial" w:hAnsi="Arial" w:cs="Arial"/>
          <w:color w:val="000000" w:themeColor="text1"/>
          <w:sz w:val="24"/>
          <w:szCs w:val="24"/>
        </w:rPr>
        <w:t>OUŘ</w:t>
      </w:r>
      <w:r w:rsidRPr="00644B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69B6">
        <w:rPr>
          <w:rFonts w:ascii="Arial" w:hAnsi="Arial" w:cs="Arial"/>
          <w:color w:val="000000" w:themeColor="text1"/>
          <w:sz w:val="24"/>
          <w:szCs w:val="24"/>
        </w:rPr>
        <w:t>1/</w:t>
      </w:r>
      <w:r w:rsidRPr="00644B7C">
        <w:rPr>
          <w:rFonts w:ascii="Arial" w:hAnsi="Arial" w:cs="Arial"/>
          <w:color w:val="000000" w:themeColor="text1"/>
          <w:sz w:val="24"/>
          <w:szCs w:val="24"/>
        </w:rPr>
        <w:t>2025</w:t>
      </w:r>
    </w:p>
    <w:p w14:paraId="49EE8A15" w14:textId="77777777" w:rsidR="00644B7C" w:rsidRPr="00644B7C" w:rsidRDefault="00644B7C" w:rsidP="00644B7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44B7C">
        <w:rPr>
          <w:rFonts w:ascii="Arial" w:hAnsi="Arial" w:cs="Arial"/>
          <w:b/>
          <w:bCs/>
          <w:color w:val="000000" w:themeColor="text1"/>
          <w:sz w:val="24"/>
          <w:szCs w:val="24"/>
        </w:rPr>
        <w:t>VEŘEJNÁ VYHLÁŠKA</w:t>
      </w:r>
    </w:p>
    <w:p w14:paraId="5F342BE2" w14:textId="6C4C3B2B" w:rsidR="00644B7C" w:rsidRPr="00D46596" w:rsidRDefault="00644B7C" w:rsidP="00644B7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bookmark0"/>
      <w:r w:rsidRPr="00D465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OPATŘENÍ OBECNÉ POVAHY </w:t>
      </w:r>
      <w:bookmarkEnd w:id="0"/>
    </w:p>
    <w:p w14:paraId="6F845849" w14:textId="60964996" w:rsidR="00644B7C" w:rsidRPr="00D46596" w:rsidRDefault="00644B7C" w:rsidP="00644B7C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color w:val="000000" w:themeColor="text1"/>
          <w:sz w:val="24"/>
          <w:szCs w:val="24"/>
        </w:rPr>
        <w:t xml:space="preserve">Zastupitelstvo obce Řídelov  jako příslušný správní orgán podle ustanovení § 12 odst. 1 písm. b) zákona č. 338/1992 Sb., o dani z nemovitých věcí, ve znění pozdějších předpisů (dále jen „zákon o dani z nemovitých věcí“) a ve spojení s ustanovením § 171 a následujících zákona č. 500/2004 Sb., správní řád, ve znění pozdějších předpisů, zveřejňuje </w:t>
      </w:r>
    </w:p>
    <w:p w14:paraId="433BEAE5" w14:textId="77777777" w:rsidR="00644B7C" w:rsidRPr="00D46596" w:rsidRDefault="00644B7C" w:rsidP="00644B7C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bookmarkStart w:id="1" w:name="bookmark2"/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OPATŘENÍ OBECNÉ POVAHY</w:t>
      </w:r>
      <w:bookmarkEnd w:id="1"/>
    </w:p>
    <w:p w14:paraId="6CAF2F20" w14:textId="35FF157B" w:rsidR="00644B7C" w:rsidRPr="00D46596" w:rsidRDefault="00644B7C" w:rsidP="00644B7C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Zastupitelstvo obce Řídelov  jako příslušný správní orgán podle ustanovení § 12 odst. 1 písm. b) zákona č. 338/1992 Sb., o dani z nemovitých věcí, ve znění pozdějších předpisů (dále jen „zákon o dani z nemovitých věcí“) a ve spojení s ustanovením § 171 a následujících zákona č. 500/2004 Sb., správní řád, věznění pozdějších předpisů, </w:t>
      </w:r>
      <w:r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usnesením č. </w:t>
      </w:r>
      <w:r w:rsidR="000F67D7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7/25</w:t>
      </w:r>
      <w:r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. ze dne </w:t>
      </w:r>
      <w:r w:rsidR="000F67D7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30.6. 2025</w:t>
      </w:r>
    </w:p>
    <w:p w14:paraId="17AFD9F6" w14:textId="77777777" w:rsidR="00644B7C" w:rsidRPr="00D46596" w:rsidRDefault="00644B7C" w:rsidP="00644B7C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bookmarkStart w:id="2" w:name="bookmark4"/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VYDÁVÁ</w:t>
      </w:r>
      <w:bookmarkEnd w:id="2"/>
    </w:p>
    <w:p w14:paraId="37845F68" w14:textId="0DE8FCDC" w:rsidR="005969B6" w:rsidRPr="00D46596" w:rsidRDefault="00644B7C" w:rsidP="005969B6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opatření obecné povahy, kterým se stanovuje místní koeficient pro vymezené nemovité věci, a to pro zdanitelné stavby a zdanitelné jednotky </w:t>
      </w:r>
      <w:r w:rsidR="005969B6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určené k bydlení v obci a katastrálním území Řídelov (745561</w:t>
      </w:r>
      <w:r w:rsidR="00985409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)</w:t>
      </w:r>
      <w:r w:rsidR="005969B6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ve výši </w:t>
      </w:r>
    </w:p>
    <w:p w14:paraId="6706D743" w14:textId="44F402AA" w:rsidR="005969B6" w:rsidRPr="00D46596" w:rsidRDefault="000F67D7" w:rsidP="005969B6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1</w:t>
      </w:r>
      <w:r w:rsidR="005969B6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pro nemovitosti </w:t>
      </w:r>
      <w:r w:rsidR="001D7948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v nich jsou </w:t>
      </w:r>
      <w:r w:rsidR="005969B6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hlášen</w:t>
      </w:r>
      <w:r w:rsidR="001D7948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y osoby </w:t>
      </w:r>
      <w:r w:rsidR="005969B6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v obci Řídelov k trvalému pobytu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,</w:t>
      </w:r>
      <w:r w:rsidR="005969B6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371D1A4" w14:textId="5AA4CB78" w:rsidR="001D7948" w:rsidRPr="00D46596" w:rsidRDefault="005969B6" w:rsidP="005969B6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5 pro nemovitosti</w:t>
      </w:r>
      <w:r w:rsidR="001D7948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v nichž 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osob</w:t>
      </w:r>
      <w:r w:rsidR="001D7948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y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1D7948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v obci Řídelov k trvalému pobytu hlášeny nejsou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  <w:r w:rsidR="001D7948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4B015C28" w14:textId="2468A360" w:rsidR="005969B6" w:rsidRPr="00D46596" w:rsidRDefault="005969B6" w:rsidP="005969B6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Takto diferencovaný místní koeficient zohledňuje skutečnost, zda jsou nemovitosti určené k bydlení skutečně využívány k bydlení.</w:t>
      </w:r>
    </w:p>
    <w:p w14:paraId="2ABDE22D" w14:textId="77777777" w:rsidR="00644B7C" w:rsidRPr="00D46596" w:rsidRDefault="00644B7C" w:rsidP="00644B7C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Tímto koeficientem se násobí daň poplatníka za jednotlivé v příloze vymezené zdanitelné stavby nebo zdanitelné jednotky.</w:t>
      </w:r>
    </w:p>
    <w:p w14:paraId="60E88102" w14:textId="1B57E819" w:rsidR="007B5C47" w:rsidRPr="00D46596" w:rsidRDefault="00644B7C" w:rsidP="00644B7C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Výčet vymezených nemovitých věcí, pro které byl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y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stanoven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y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shora uveden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é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místní koeficient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y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, je obsažen v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 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přílo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ze,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kter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á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j</w:t>
      </w:r>
      <w:r w:rsidR="006D4F37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e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nedílnou součástí tohoto opatření obecné povahy.</w:t>
      </w:r>
    </w:p>
    <w:p w14:paraId="3BF5C0EC" w14:textId="77777777" w:rsidR="00644B7C" w:rsidRPr="00D46596" w:rsidRDefault="00644B7C" w:rsidP="00644B7C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Odůvodnění</w:t>
      </w:r>
    </w:p>
    <w:p w14:paraId="36A98C6E" w14:textId="6BBD6FEC" w:rsidR="00644B7C" w:rsidRPr="00D46596" w:rsidRDefault="006D4F37" w:rsidP="00644B7C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1)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Obec Řídelov  přistupuje k úpravě místního koeficientu daně z nemovitých věcí s cílem zajistit odpovídající nastavení daňové zátěže ve vztahu k využívání nemovitostí a přispět k dlouhodobé udržitelnosti financování obce. Důvodem pro vydání tohoto opatření je zejména skutečnost, že zhruba 50 % nemovitostí určených k bydlení v obci není obýváno trvale hlášenými obyvateli. To vede k disproporcím ve veřejných financích, kdy náklady na správu obce rostou v důsledku vyššího využívání infrastruktury a služeb rekreačními uživateli, aniž by tomu odpovídal příjem z rozpočtového určení daní (RUD), který je závislý na počtu trvale hlášených obyvatel. Rozloha obce a její infrastruktury je stále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>stejná (resp. infrastruktura se stále zvětšuje), ale počet uživatelů území neustále stoupá, stejně tak stoupají jejich nároky a standardy.</w:t>
      </w:r>
    </w:p>
    <w:p w14:paraId="217D22F7" w14:textId="5B695AF7" w:rsidR="00644B7C" w:rsidRPr="00D46596" w:rsidRDefault="006D4F37" w:rsidP="00644B7C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2)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Zvyšující se počet uživatelů území a zároveň snižující se počet trvale žijících obyvatel má za následek zvětšující se rozdíl mezi příjmy a výdaji, resp. potřebami obce na správu území. Ideálním stavem je počet trvale žijících obyvatel, který bude odpovídat velikosti obce a její infrastruktury. Na tento předpoklad jsou nastaveny výpočty RUD.</w:t>
      </w:r>
    </w:p>
    <w:p w14:paraId="5A9E23AB" w14:textId="33229525" w:rsidR="008F4E95" w:rsidRPr="00D46596" w:rsidRDefault="006D4F37" w:rsidP="00644B7C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3)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V souladu s platnou legislativou a na základě zhodnocení dostupných informací ohledně využití nemovitostí na území obce Řídelov, stanovuje obec diferencovaný místní koeficient, který zohledňuje rozdíl mezi nemovitostmi s trvale hlášenými obyvateli a nemovitostmi využívanými primárně k rekreaci či jiným účelům bez trvalého pobytu.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Cílem opatření je spravedlivější rozložení daňové zátěže v rámci 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o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bce Řídelov a zajištění příjmů odpovídajících reálnému využívání nemovitostí. Vzhledem k vysokému podílu nemovitostí určených k bydlení, kde nikdo není přihlášen k trvalému pobytu, bylo rozhodnuto přizpůsobit místní koeficient s ohledem na tuto skutečnost. </w:t>
      </w:r>
    </w:p>
    <w:p w14:paraId="2322B59D" w14:textId="00699008" w:rsidR="008F4E95" w:rsidRPr="00D46596" w:rsidRDefault="006D4F37" w:rsidP="00644B7C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4)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Výběr dotčených nemovitostí b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ude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proveden podle kritéria, zda je v dané stavbě či jednotce k rozhodnému dni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kterým je 1. </w:t>
      </w:r>
      <w:r w:rsidR="00051750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led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>e</w:t>
      </w:r>
      <w:r w:rsidR="00051750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n kalendářního roku předcházejícímu zdaňovacímu období roku, pro který bude aktualizované opatření obecné povahy schvalováno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ve své příloze,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někdo hlášen k trvalému pobytu. 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Nemovitosti s trvalými obyvateli jsou v rámci opatření zařazeny do skupiny s </w:t>
      </w:r>
      <w:r w:rsidR="008F4E95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nižším místním koeficientem</w:t>
      </w:r>
      <w:r w:rsidR="00051750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1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zatímco nemovitosti bez trvale hlášených osob podléhají </w:t>
      </w:r>
      <w:r w:rsidR="008F4E95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vyššímu místnímu koeficientu</w:t>
      </w:r>
      <w:r w:rsidR="00051750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5</w:t>
      </w:r>
      <w:r w:rsidR="008F4E95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Takto diferencovaný místní koeficient zohledňuje skutečnost, zda jsou nemovitosti určené k bydlení, skutečně využívány k bydlení. Toto opatření přispívá k odpovídajícímu daňovému zatížení nemovitostí dle jejich reálného přínosu pro obec, podporuje stabilizaci počtu trvale žijících obyvatel a napomáhá udržitelnosti veřejných financí obce v návaznosti na změny v zákonných koeficientech daně z nemovitostí, zejména s ohledem na dopady Konsolidačního balíčku platného od 1.1.2024.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Příloha tohoto opatření bude </w:t>
      </w:r>
    </w:p>
    <w:p w14:paraId="130411C5" w14:textId="42DD7BDD" w:rsidR="00817175" w:rsidRPr="00D46596" w:rsidRDefault="00817175" w:rsidP="0081717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5</w:t>
      </w:r>
      <w:r w:rsidR="006D4F37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) Příloha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bud</w:t>
      </w:r>
      <w:r w:rsidR="006D4F37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e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každoročně aktualizován</w:t>
      </w:r>
      <w:r w:rsidR="006D4F37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a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podle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kritéria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stanoveného 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>v předchozím odstavci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V příloze opatření obecné povahy tak budou 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vymezeny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pouze nemovitosti, ve kterých 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nikdo není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h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lášen k trvalému pobytu ke dni 1. ledna kalendářního roku předcházejícímu zdaňovacímu období roku, pro který bude aktualizované opatření obecné povahy schvalován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>. P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ro zdaňovací období roku 202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>6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bud</w:t>
      </w:r>
      <w:r w:rsidR="006D4F37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e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příloh</w:t>
      </w:r>
      <w:r w:rsidR="006D4F37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a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aktualizován</w:t>
      </w:r>
      <w:r w:rsidR="006D4F37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a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podle „obydlenosti“ nemovitostí ke dni 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>30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>06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.202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>5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).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U ostatních nemovitostí výslovně neuvedených platí, že jsou to nemovitosti</w:t>
      </w:r>
      <w:r w:rsidR="00051750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v nichž jsou 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hlášeny osoby v obci Řídelov k trvalému pobytu. </w:t>
      </w:r>
    </w:p>
    <w:p w14:paraId="3770BBA8" w14:textId="3A81D268" w:rsidR="008F4E95" w:rsidRDefault="00817175" w:rsidP="008F4E95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6) 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Pro nemovitosti s hlášenými trvalými obyvateli je opatřením obecné povahy stanoven nižší </w:t>
      </w:r>
      <w:r w:rsidR="00644B7C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místní koeficient ve výši</w:t>
      </w:r>
      <w:r w:rsidR="00051750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1</w:t>
      </w:r>
      <w:r w:rsidR="00644B7C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, a v souladu s § 12 odst. 4 zákona o dani z nemovitých věcí se tak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pro ně použije pouze místní koeficient pro vymezené nemovité věci stanovený tímto opatřením obecné povahy.</w:t>
      </w:r>
      <w:r w:rsidR="006D4F37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Oproti tomu pro nemovitosti bez trvale hlášených osob se použije </w:t>
      </w:r>
      <w:r w:rsidR="008F4E95" w:rsidRPr="000F67D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vyšší místní koeficient ve výši 5 stanovený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pro jednotlivé skupiny staveb a jednotek dle § 12 odst. 1 písm. a) zákona o dani z nemovitých věcí obecně závaznou vyhláškou. Takto diferencovaný místní koeficient zohledňuje skutečnost, zda jsou nemovitosti určené k bydlení skutečně využívány k bydlení.</w:t>
      </w:r>
    </w:p>
    <w:p w14:paraId="61D9438C" w14:textId="77777777" w:rsidR="00051750" w:rsidRPr="00D46596" w:rsidRDefault="00051750" w:rsidP="008F4E95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21E388F" w14:textId="5449E8FB" w:rsidR="0048108B" w:rsidRPr="00D46596" w:rsidRDefault="00817175" w:rsidP="008F4E95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7) 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Toto opatření přispívá k odpovídajícímu daňovému zatížení nemovitostí dle jejich reálného přínosu pro obec, podporuje stabilizaci počtu trvale žijících obyvatel a </w:t>
      </w:r>
      <w:r w:rsidR="008F4E9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>napomáhá udržitelnosti veřejných financí obce v návaznosti na změny v zákonných koeficientech daně z nemovitostí, zejména s ohledem na dopady Konsolidačního balíčku platného od 1. 1. 2024.</w:t>
      </w:r>
    </w:p>
    <w:p w14:paraId="5E873A9E" w14:textId="77777777" w:rsidR="008F4E95" w:rsidRPr="00D46596" w:rsidRDefault="008F4E95" w:rsidP="00817175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Poučení</w:t>
      </w:r>
    </w:p>
    <w:p w14:paraId="17B67069" w14:textId="2F09049A" w:rsidR="008F4E95" w:rsidRPr="00D46596" w:rsidRDefault="008F4E95" w:rsidP="008F4E95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Proti opatření obecné povahy nelze podle § 173 odst. 2 správního řádu podat opravný prostředek. Do opatření obecné povahy a jeho odůvodnění může podle § 173 odst. 1 správního řádu každý nahlédnout u </w:t>
      </w:r>
      <w:r w:rsidR="0081717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obecního 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úřadu</w:t>
      </w:r>
      <w:r w:rsidR="0081717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Obce Řídelov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2304CFDD" w14:textId="1A0D8F1E" w:rsidR="008F4E95" w:rsidRPr="00D46596" w:rsidRDefault="008F4E95" w:rsidP="00817175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Účinnost</w:t>
      </w:r>
    </w:p>
    <w:p w14:paraId="0AA729A1" w14:textId="77777777" w:rsidR="008F4E95" w:rsidRPr="00D46596" w:rsidRDefault="008F4E95" w:rsidP="008F4E95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Toto opatření obecné povahy nabývá účinnosti v souladu s § 173 odst. 1 správního řádu patnáctým dnem po dni vyvěšení veřejné vyhlášky.</w:t>
      </w:r>
    </w:p>
    <w:p w14:paraId="49F4BEE2" w14:textId="2BD75E01" w:rsidR="008F4E95" w:rsidRPr="00D46596" w:rsidRDefault="008F4E95" w:rsidP="008F4E95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Příloh</w:t>
      </w:r>
      <w:r w:rsidR="00817175"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</w:t>
      </w:r>
      <w:r w:rsidRPr="00D4659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:</w:t>
      </w:r>
    </w:p>
    <w:p w14:paraId="4D4BC32F" w14:textId="7F52854B" w:rsidR="008F4E95" w:rsidRPr="00D46596" w:rsidRDefault="008F4E95" w:rsidP="008F4E95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Příloha k opatření obecné povahy č.j. </w:t>
      </w:r>
      <w:r w:rsidR="0081717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OÚŘ 1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/2025 - Vymezené zdanitelné stavby, pro které se stanovuje místní koeficient podle § 12 odst. 1 písm. b) zákona o dani z nemovitých věcí</w:t>
      </w:r>
    </w:p>
    <w:p w14:paraId="2815C4A2" w14:textId="77777777" w:rsidR="00817175" w:rsidRPr="00D46596" w:rsidRDefault="00817175" w:rsidP="008F4E95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A0A5D03" w14:textId="4467BC98" w:rsidR="008F4E95" w:rsidRPr="00D46596" w:rsidRDefault="008F4E95" w:rsidP="008F4E95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V</w:t>
      </w:r>
      <w:r w:rsidR="00817175"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 Řídelově, dne </w:t>
      </w:r>
      <w:r w:rsidR="000F67D7">
        <w:rPr>
          <w:rFonts w:ascii="Arial" w:hAnsi="Arial" w:cs="Arial"/>
          <w:i/>
          <w:iCs/>
          <w:color w:val="000000" w:themeColor="text1"/>
          <w:sz w:val="24"/>
          <w:szCs w:val="24"/>
        </w:rPr>
        <w:t>1.7. 2025</w:t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1BDEFAAB" w14:textId="77777777" w:rsidR="008F4E95" w:rsidRPr="00D46596" w:rsidRDefault="008F4E95" w:rsidP="00D46596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4351AB0" w14:textId="7C8B421A" w:rsidR="00D46596" w:rsidRPr="00D46596" w:rsidRDefault="00D46596" w:rsidP="00D46596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Vyvěšeno dne </w:t>
      </w:r>
      <w:r w:rsidR="000F67D7">
        <w:rPr>
          <w:rFonts w:ascii="Arial" w:hAnsi="Arial" w:cs="Arial"/>
          <w:i/>
          <w:iCs/>
          <w:color w:val="000000" w:themeColor="text1"/>
          <w:sz w:val="24"/>
          <w:szCs w:val="24"/>
        </w:rPr>
        <w:t>16.5.2025</w:t>
      </w:r>
      <w:r w:rsidR="000F67D7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="000F67D7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Sejmuto dne </w:t>
      </w:r>
      <w:r w:rsidR="000F67D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1.7. 2025</w:t>
      </w:r>
    </w:p>
    <w:p w14:paraId="67A010DD" w14:textId="1A30F801" w:rsidR="00D46596" w:rsidRPr="00D46596" w:rsidRDefault="00D46596" w:rsidP="00D46596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46596">
        <w:rPr>
          <w:rFonts w:ascii="Arial" w:hAnsi="Arial" w:cs="Arial"/>
          <w:i/>
          <w:iCs/>
          <w:color w:val="000000" w:themeColor="text1"/>
          <w:sz w:val="24"/>
          <w:szCs w:val="24"/>
        </w:rPr>
        <w:t>Radek Maryška starosta</w:t>
      </w:r>
    </w:p>
    <w:p w14:paraId="50546EE7" w14:textId="77777777" w:rsidR="00D46596" w:rsidRPr="00D46596" w:rsidRDefault="00D46596" w:rsidP="00D46596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66E8B93C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86184D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CF16D7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C19609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8971F6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860664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B75546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3A573F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AFB9AA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DCB777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29BBB1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2A07ED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3B7E38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5CBA20" w14:textId="77777777" w:rsidR="00FE379B" w:rsidRDefault="00FE379B" w:rsidP="00FE379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F4E9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Příloha k opatření obecné povahy č.j. </w:t>
      </w:r>
      <w:r w:rsidRPr="00817175">
        <w:rPr>
          <w:rFonts w:ascii="Arial" w:hAnsi="Arial" w:cs="Arial"/>
          <w:b/>
          <w:bCs/>
          <w:color w:val="000000" w:themeColor="text1"/>
          <w:sz w:val="24"/>
          <w:szCs w:val="24"/>
        </w:rPr>
        <w:t>OÚŘ 1</w:t>
      </w:r>
      <w:r w:rsidRPr="008F4E95">
        <w:rPr>
          <w:rFonts w:ascii="Arial" w:hAnsi="Arial" w:cs="Arial"/>
          <w:b/>
          <w:bCs/>
          <w:color w:val="000000" w:themeColor="text1"/>
          <w:sz w:val="24"/>
          <w:szCs w:val="24"/>
        </w:rPr>
        <w:t>/2025 - Vymezené zdanitelné stavby, pro které se stanovuje místní koeficient podle § 12 odst. 1 písm. b) zákona o dani z nemovitých věcí</w:t>
      </w:r>
    </w:p>
    <w:p w14:paraId="15C45E84" w14:textId="77777777" w:rsidR="00FE379B" w:rsidRDefault="00FE379B" w:rsidP="00FE379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38B0B5" w14:textId="77777777" w:rsidR="00FE379B" w:rsidRDefault="00FE379B" w:rsidP="00FE379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531"/>
        <w:gridCol w:w="1343"/>
        <w:gridCol w:w="1385"/>
        <w:gridCol w:w="920"/>
        <w:gridCol w:w="1008"/>
        <w:gridCol w:w="927"/>
        <w:gridCol w:w="1196"/>
      </w:tblGrid>
      <w:tr w:rsidR="00FE379B" w:rsidRPr="00FE379B" w14:paraId="79C85B91" w14:textId="77777777" w:rsidTr="00FE379B">
        <w:trPr>
          <w:trHeight w:val="7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B6BA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cs-CZ"/>
                <w14:ligatures w14:val="none"/>
              </w:rPr>
              <w:t>Poř</w:t>
            </w:r>
            <w:proofErr w:type="spellEnd"/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cs-CZ"/>
                <w14:ligatures w14:val="none"/>
              </w:rPr>
              <w:t xml:space="preserve">. č. 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B1B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C9D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Katastrální území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2450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katastrálního území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E2A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Parcelní číslo 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3FD0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Pozemek 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0747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popisné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D3E1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Výše koeficientu</w:t>
            </w:r>
          </w:p>
        </w:tc>
      </w:tr>
      <w:tr w:rsidR="00FE379B" w:rsidRPr="00FE379B" w14:paraId="3D954F7A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BB32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27D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Fílová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F8D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F72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124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B403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B3DA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8718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03774F8F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D82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526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František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BAB2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F58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7AE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DC3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466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CDF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402A79C1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E2F7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D22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Dolejší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0E3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5110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CC4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5DC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F4DB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486D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2C211DC5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BA3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359B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Havlík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E578B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6057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B23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9BD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0888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0E4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23A62104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EAF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6B0D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Havlík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DECF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AC9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25E18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A9D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79E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34A3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3CDEA2CF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5B17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438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Havlík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07B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5BA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1380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07EA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83DD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5F51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074AAC12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A6C1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25DD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Kerndlová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4A68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3752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2B53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124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02D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ABC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355C66B4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E4C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E05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Stejskalová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43F8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5D2F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909F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31/2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CE3F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205A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0047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7B9B734C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E91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3887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Musil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61B7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9F0B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429D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3DCD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C73A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C92C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483B9BA7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3468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2EC2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Plucar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48C0F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1582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F20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082D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F721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66FC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7A0395FD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21CC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5790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Ptáček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21F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6430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310C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6843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901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42E1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3D91CF1B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0C7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E6F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Stejskalová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019F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089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EB1C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31.I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66BD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4B23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3577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5AD1605E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041F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CD6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Šneider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1F2B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8F48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B51E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13.II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1252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A622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581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63B84AE7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D33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8905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Nováková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6CD0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6C4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1432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6B14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AF7C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EAD9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FE379B" w:rsidRPr="00FE379B" w14:paraId="767C4A17" w14:textId="77777777" w:rsidTr="00FE379B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6DBA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46A6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Vondrák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0C20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Řídelov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D57C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745561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AFD2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C07D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E379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53E7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8C40" w14:textId="77777777" w:rsidR="00FE379B" w:rsidRPr="00FE379B" w:rsidRDefault="00FE379B" w:rsidP="00FE3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E379B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</w:tbl>
    <w:p w14:paraId="77959B67" w14:textId="77777777" w:rsidR="00FE379B" w:rsidRDefault="00FE379B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74063C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4D41D9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E1544B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34D8D0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4ED8C2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2521DB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8D20DE" w14:textId="77777777" w:rsidR="00A66BF2" w:rsidRDefault="00A66BF2" w:rsidP="008F4E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66BF2" w:rsidSect="005969B6">
      <w:pgSz w:w="11909" w:h="16834"/>
      <w:pgMar w:top="1135" w:right="1277" w:bottom="1135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183568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1F"/>
    <w:rsid w:val="00042F5D"/>
    <w:rsid w:val="00051750"/>
    <w:rsid w:val="000F67D7"/>
    <w:rsid w:val="000F6F8E"/>
    <w:rsid w:val="001071CD"/>
    <w:rsid w:val="0014521F"/>
    <w:rsid w:val="001D7948"/>
    <w:rsid w:val="002E40F4"/>
    <w:rsid w:val="00321E59"/>
    <w:rsid w:val="00346887"/>
    <w:rsid w:val="003F6BE5"/>
    <w:rsid w:val="0047313A"/>
    <w:rsid w:val="0048108B"/>
    <w:rsid w:val="005969B6"/>
    <w:rsid w:val="00644B7C"/>
    <w:rsid w:val="006C6A3F"/>
    <w:rsid w:val="006D4F37"/>
    <w:rsid w:val="006E02E9"/>
    <w:rsid w:val="007B5C47"/>
    <w:rsid w:val="007F0E1E"/>
    <w:rsid w:val="00806CDD"/>
    <w:rsid w:val="00817175"/>
    <w:rsid w:val="00893A56"/>
    <w:rsid w:val="008F4E95"/>
    <w:rsid w:val="00985409"/>
    <w:rsid w:val="009C2865"/>
    <w:rsid w:val="009E1AB7"/>
    <w:rsid w:val="00A5747F"/>
    <w:rsid w:val="00A66BF2"/>
    <w:rsid w:val="00A9631F"/>
    <w:rsid w:val="00AD1C39"/>
    <w:rsid w:val="00B87F8F"/>
    <w:rsid w:val="00D25A40"/>
    <w:rsid w:val="00D46596"/>
    <w:rsid w:val="00D767E6"/>
    <w:rsid w:val="00D90E84"/>
    <w:rsid w:val="00EA3808"/>
    <w:rsid w:val="00EA4BA1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01AE"/>
  <w15:chartTrackingRefBased/>
  <w15:docId w15:val="{73105266-4C30-413C-A38D-8E5F9E3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6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6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6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6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6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6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6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6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6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63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63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63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63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63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63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6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6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63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63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631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631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631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4B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B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8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JUDr.Libor Nedorost</dc:creator>
  <cp:keywords/>
  <dc:description/>
  <cp:lastModifiedBy>Radek Maryška</cp:lastModifiedBy>
  <cp:revision>5</cp:revision>
  <dcterms:created xsi:type="dcterms:W3CDTF">2025-07-18T16:38:00Z</dcterms:created>
  <dcterms:modified xsi:type="dcterms:W3CDTF">2025-07-18T17:41:00Z</dcterms:modified>
</cp:coreProperties>
</file>