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ev"/>
        <w:spacing w:before="240" w:after="120"/>
        <w:jc w:val="center"/>
        <w:rPr/>
      </w:pPr>
      <w:r>
        <w:rPr/>
        <w:t>Obec Radimovice u Želče</w:t>
        <w:br/>
        <w:t>Zastupitelstvo obce Radimovice u Želče</w:t>
      </w:r>
    </w:p>
    <w:p>
      <w:pPr>
        <w:pStyle w:val="Nadpis1"/>
        <w:rPr/>
      </w:pPr>
      <w:r>
        <w:rPr/>
        <w:t>Obecně závazná vyhláška obce Radimovice u Želče</w:t>
        <w:br/>
        <w:t>o místním poplatku za užívání veřejného prostranství</w:t>
      </w:r>
    </w:p>
    <w:p>
      <w:pPr>
        <w:pStyle w:val="UvodniVeta"/>
        <w:rPr/>
      </w:pPr>
      <w:r>
        <w:rPr/>
        <w:t>Zastupitelstvo obce Radimovice u Želče se na svém zasedání dne 26. srpna 2024 usnesením 92/2024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1"/>
        </w:numPr>
        <w:rPr/>
      </w:pPr>
      <w:r>
        <w:rPr/>
        <w:t>Obec Radimovice u Želče touto vyhláškou zavádí místní poplatek za užívání veřejného prostranství (dále jen „poplatek“).</w:t>
      </w:r>
    </w:p>
    <w:p>
      <w:pPr>
        <w:pStyle w:val="Odstavec"/>
        <w:numPr>
          <w:ilvl w:val="0"/>
          <w:numId w:val="1"/>
        </w:numPr>
        <w:rPr/>
      </w:pPr>
      <w:r>
        <w:rPr/>
        <w:t>Správcem poplatku je obecní úřad</w:t>
      </w:r>
      <w:r>
        <w:rPr>
          <w:rStyle w:val="Ukotvenpoznmkypodarou"/>
        </w:rPr>
        <w:footnoteReference w:id="2"/>
      </w:r>
      <w:r>
        <w:rPr/>
        <w:t>.</w:t>
      </w:r>
    </w:p>
    <w:p>
      <w:pPr>
        <w:pStyle w:val="Nadpis2"/>
        <w:rPr/>
      </w:pPr>
      <w:r>
        <w:rPr/>
        <w:t>Čl. 2</w:t>
        <w:br/>
        <w:t>Předmět poplatku a poplatník</w:t>
      </w:r>
    </w:p>
    <w:p>
      <w:pPr>
        <w:pStyle w:val="Odstavec"/>
        <w:numPr>
          <w:ilvl w:val="0"/>
          <w:numId w:val="7"/>
        </w:numPr>
        <w:rPr/>
      </w:pPr>
      <w:r>
        <w:rPr/>
        <w:t>Poplatek za užívání veřejného prostranství se vybírá za zvláštní užívání veřejného prostranství, kterým se rozumí</w:t>
      </w:r>
      <w:r>
        <w:rPr>
          <w:rStyle w:val="Ukotvenpoznmkypodarou"/>
        </w:rPr>
        <w:footnoteReference w:id="3"/>
      </w:r>
      <w:r>
        <w:rPr/>
        <w:t>:</w:t>
      </w:r>
    </w:p>
    <w:p>
      <w:pPr>
        <w:pStyle w:val="Odstavec"/>
        <w:numPr>
          <w:ilvl w:val="1"/>
          <w:numId w:val="1"/>
        </w:numPr>
        <w:rPr/>
      </w:pPr>
      <w:r>
        <w:rPr/>
        <w:t>umístění zařízení sloužících pro poskytování služeb,</w:t>
      </w:r>
    </w:p>
    <w:p>
      <w:pPr>
        <w:pStyle w:val="Odstavec"/>
        <w:numPr>
          <w:ilvl w:val="1"/>
          <w:numId w:val="1"/>
        </w:numPr>
        <w:rPr/>
      </w:pPr>
      <w:r>
        <w:rPr/>
        <w:t>umístění zařízení sloužících pro poskytování prodeje,</w:t>
      </w:r>
    </w:p>
    <w:p>
      <w:pPr>
        <w:pStyle w:val="Odstavec"/>
        <w:numPr>
          <w:ilvl w:val="1"/>
          <w:numId w:val="1"/>
        </w:numPr>
        <w:rPr/>
      </w:pPr>
      <w:r>
        <w:rPr/>
        <w:t>umístění reklamních zařízení,</w:t>
      </w:r>
    </w:p>
    <w:p>
      <w:pPr>
        <w:pStyle w:val="Odstavec"/>
        <w:numPr>
          <w:ilvl w:val="1"/>
          <w:numId w:val="1"/>
        </w:numPr>
        <w:rPr/>
      </w:pPr>
      <w:r>
        <w:rPr/>
        <w:t>provádění výkopových prací,</w:t>
      </w:r>
    </w:p>
    <w:p>
      <w:pPr>
        <w:pStyle w:val="Odstavec"/>
        <w:numPr>
          <w:ilvl w:val="1"/>
          <w:numId w:val="1"/>
        </w:numPr>
        <w:rPr/>
      </w:pPr>
      <w:r>
        <w:rPr/>
        <w:t>umístění stavebních zařízení,</w:t>
      </w:r>
    </w:p>
    <w:p>
      <w:pPr>
        <w:pStyle w:val="Odstavec"/>
        <w:numPr>
          <w:ilvl w:val="1"/>
          <w:numId w:val="1"/>
        </w:numPr>
        <w:rPr/>
      </w:pPr>
      <w:r>
        <w:rPr/>
        <w:t>umístění skládek,</w:t>
      </w:r>
    </w:p>
    <w:p>
      <w:pPr>
        <w:pStyle w:val="Odstavec"/>
        <w:numPr>
          <w:ilvl w:val="1"/>
          <w:numId w:val="1"/>
        </w:numPr>
        <w:rPr/>
      </w:pPr>
      <w:r>
        <w:rPr/>
        <w:t>užívání veřejného prostranství pro potřeby tvorby filmových a televizních děl.</w:t>
      </w:r>
    </w:p>
    <w:p>
      <w:pPr>
        <w:pStyle w:val="Odstavec"/>
        <w:numPr>
          <w:ilvl w:val="0"/>
          <w:numId w:val="1"/>
        </w:numPr>
        <w:rPr/>
      </w:pPr>
      <w:r>
        <w:rPr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Ukotvenpoznmkypodarou"/>
        </w:rPr>
        <w:footnoteReference w:id="4"/>
      </w:r>
      <w:r>
        <w:rPr/>
        <w:t>.</w:t>
      </w:r>
    </w:p>
    <w:p>
      <w:pPr>
        <w:pStyle w:val="Nadpis2"/>
        <w:rPr/>
      </w:pPr>
      <w:r>
        <w:rPr/>
        <w:t>Čl. 3</w:t>
        <w:br/>
        <w:t>Veřejná prostranství</w:t>
      </w:r>
    </w:p>
    <w:p>
      <w:pPr>
        <w:pStyle w:val="Odstavec"/>
        <w:rPr/>
      </w:pPr>
      <w:r>
        <w:rPr/>
        <w:t>Poplatek se platí za užívání veřejných prostranství (veřejná prostranství a silnice v intravelánu obce (silnice parc.č. 869/2, 867/8, 25, 869/6, 867/9, 867/7, 867/6, 867/10, 814/44, 814/45, 814/46, 182/7, 182/32, 907/1, 907/14, 901/1, 848/7, 1012/1, 198/24, 199/2, 199/10, 1014/12, 1014/1, 249/30, 249/14, 253/10, 253/11, 253/20, 1012/2, 900/1, 849/1, 566/1, 556/3, 259/6, 692/59, 692/173, 867/11, 64/1, 867/12) a dětské hřiště 848/1, sportovní hřiště 848/9, travnaté hřiště 847/1, 848/4, „koupaliště“ 18/1, 18/3, 13/5 , a část Pracov (silnice parc.č. 1037/1, cesta parc.č. 897/4)), která jsou uvedena graficky na mapě v příloze č. 1. Tato příloha tvoří nedílnou součást této vyhlášky.</w:t>
      </w:r>
    </w:p>
    <w:p>
      <w:pPr>
        <w:pStyle w:val="Nadpis2"/>
        <w:rPr/>
      </w:pPr>
      <w:r>
        <w:rPr/>
        <w:t>Čl. 4</w:t>
        <w:br/>
        <w:t>Ohlašovací povinnost</w:t>
      </w:r>
    </w:p>
    <w:p>
      <w:pPr>
        <w:pStyle w:val="Odstavec"/>
        <w:numPr>
          <w:ilvl w:val="0"/>
          <w:numId w:val="8"/>
        </w:numPr>
        <w:rPr/>
      </w:pPr>
      <w:r>
        <w:rPr/>
        <w:t>Poplatník je povinen podat správci poplatku ohlášení nejpozději v den zahájení užívání veřejného prostranství; údaje uváděné v ohlášení upravuje zákon</w:t>
      </w:r>
      <w:r>
        <w:rPr>
          <w:rStyle w:val="Ukotvenpoznmkypodarou"/>
        </w:rPr>
        <w:footnoteReference w:id="5"/>
      </w:r>
      <w:r>
        <w:rPr/>
        <w:t>. Pokud tento den připadne na sobotu, neděli nebo státem uznaný svátek, je poplatník povinen splnit ohlašovací povinnost nejblíže následující pracovní den.</w:t>
      </w:r>
    </w:p>
    <w:p>
      <w:pPr>
        <w:pStyle w:val="Odstavec"/>
        <w:numPr>
          <w:ilvl w:val="0"/>
          <w:numId w:val="1"/>
        </w:numPr>
        <w:rPr/>
      </w:pPr>
      <w:r>
        <w:rPr/>
        <w:t>Dojde-li ke změně údajů uvedených v ohlášení, je poplatník povinen tuto změnu oznámit do 15 dnů ode dne, kdy nastala.</w:t>
      </w:r>
    </w:p>
    <w:p>
      <w:pPr>
        <w:pStyle w:val="Nadpis2"/>
        <w:rPr/>
      </w:pPr>
      <w:r>
        <w:rPr/>
        <w:t>Čl. 5</w:t>
        <w:br/>
        <w:t>Sazba poplatku</w:t>
      </w:r>
    </w:p>
    <w:p>
      <w:pPr>
        <w:pStyle w:val="Odstavec"/>
        <w:rPr/>
      </w:pPr>
      <w:r>
        <w:rPr/>
        <w:t>Sazba poplatku činí za každý i započatý m² a každý i započatý den:</w:t>
      </w:r>
    </w:p>
    <w:p>
      <w:pPr>
        <w:pStyle w:val="Odstavec"/>
        <w:numPr>
          <w:ilvl w:val="1"/>
          <w:numId w:val="1"/>
        </w:numPr>
        <w:rPr/>
      </w:pPr>
      <w:r>
        <w:rPr/>
        <w:t>za umístění zařízení sloužících pro poskytování služeb 10 Kč,</w:t>
      </w:r>
    </w:p>
    <w:p>
      <w:pPr>
        <w:pStyle w:val="Odstavec"/>
        <w:numPr>
          <w:ilvl w:val="1"/>
          <w:numId w:val="1"/>
        </w:numPr>
        <w:rPr/>
      </w:pPr>
      <w:r>
        <w:rPr/>
        <w:t>za umístění zařízení sloužících pro poskytování prodeje 10 Kč,</w:t>
      </w:r>
    </w:p>
    <w:p>
      <w:pPr>
        <w:pStyle w:val="Odstavec"/>
        <w:numPr>
          <w:ilvl w:val="1"/>
          <w:numId w:val="1"/>
        </w:numPr>
        <w:rPr/>
      </w:pPr>
      <w:r>
        <w:rPr/>
        <w:t>za umístění reklamních zařízení 5 Kč,</w:t>
      </w:r>
    </w:p>
    <w:p>
      <w:pPr>
        <w:pStyle w:val="Odstavec"/>
        <w:numPr>
          <w:ilvl w:val="1"/>
          <w:numId w:val="1"/>
        </w:numPr>
        <w:rPr/>
      </w:pPr>
      <w:r>
        <w:rPr/>
        <w:t>za provádění výkopových prací 5 Kč,</w:t>
      </w:r>
    </w:p>
    <w:p>
      <w:pPr>
        <w:pStyle w:val="Odstavec"/>
        <w:numPr>
          <w:ilvl w:val="1"/>
          <w:numId w:val="1"/>
        </w:numPr>
        <w:rPr/>
      </w:pPr>
      <w:r>
        <w:rPr/>
        <w:t>za umístění stavebních zařízení 5 Kč,</w:t>
      </w:r>
    </w:p>
    <w:p>
      <w:pPr>
        <w:pStyle w:val="Odstavec"/>
        <w:numPr>
          <w:ilvl w:val="1"/>
          <w:numId w:val="1"/>
        </w:numPr>
        <w:rPr/>
      </w:pPr>
      <w:r>
        <w:rPr/>
        <w:t>za umístění skládek 5 Kč,</w:t>
      </w:r>
    </w:p>
    <w:p>
      <w:pPr>
        <w:pStyle w:val="Odstavec"/>
        <w:numPr>
          <w:ilvl w:val="1"/>
          <w:numId w:val="1"/>
        </w:numPr>
        <w:rPr/>
      </w:pPr>
      <w:r>
        <w:rPr/>
        <w:t>za užívání veřejného prostranství pro potřeby tvorby filmových a televizních děl 10 Kč.</w:t>
      </w:r>
    </w:p>
    <w:p>
      <w:pPr>
        <w:pStyle w:val="Nadpis2"/>
        <w:rPr/>
      </w:pPr>
      <w:r>
        <w:rPr/>
        <w:t>Čl. 6</w:t>
        <w:br/>
        <w:t>Splatnost poplatku</w:t>
      </w:r>
    </w:p>
    <w:p>
      <w:pPr>
        <w:pStyle w:val="Odstavec"/>
        <w:rPr/>
      </w:pPr>
      <w:r>
        <w:rPr/>
        <w:t>Poplatek je splatný v den ukončení užívání veřejného prostranství.</w:t>
      </w:r>
    </w:p>
    <w:p>
      <w:pPr>
        <w:pStyle w:val="Nadpis2"/>
        <w:rPr/>
      </w:pPr>
      <w:r>
        <w:rPr/>
        <w:t>Čl. 7</w:t>
        <w:br/>
        <w:t xml:space="preserve"> Osvobození</w:t>
      </w:r>
    </w:p>
    <w:p>
      <w:pPr>
        <w:pStyle w:val="Odstavec"/>
        <w:numPr>
          <w:ilvl w:val="0"/>
          <w:numId w:val="9"/>
        </w:numPr>
        <w:rPr/>
      </w:pPr>
      <w:r>
        <w:rPr/>
        <w:t>Poplatek se neplatí:</w:t>
      </w:r>
    </w:p>
    <w:p>
      <w:pPr>
        <w:pStyle w:val="Odstavec"/>
        <w:numPr>
          <w:ilvl w:val="1"/>
          <w:numId w:val="1"/>
        </w:numPr>
        <w:rPr/>
      </w:pPr>
      <w:r>
        <w:rPr/>
        <w:t>za vyhrazení trvalého parkovacího místa pro osobu, která je držitelem průkazu ZTP nebo ZTP/P,</w:t>
      </w:r>
    </w:p>
    <w:p>
      <w:pPr>
        <w:pStyle w:val="Odstavec"/>
        <w:numPr>
          <w:ilvl w:val="1"/>
          <w:numId w:val="1"/>
        </w:numPr>
        <w:rPr/>
      </w:pPr>
      <w:r>
        <w:rPr/>
        <w:t>z akcí pořádaných na veřejném prostranství, jejichž celý výtěžek je odveden na charitativní a veřejně prospěšné účely</w:t>
      </w:r>
      <w:r>
        <w:rPr>
          <w:rStyle w:val="Ukotvenpoznmkypodarou"/>
        </w:rPr>
        <w:footnoteReference w:id="6"/>
      </w:r>
      <w:r>
        <w:rPr/>
        <w:t>.</w:t>
      </w:r>
    </w:p>
    <w:p>
      <w:pPr>
        <w:pStyle w:val="Odstavec"/>
        <w:numPr>
          <w:ilvl w:val="0"/>
          <w:numId w:val="1"/>
        </w:numPr>
        <w:rPr/>
      </w:pPr>
      <w:r>
        <w:rPr/>
        <w:t>V případě, že poplatník nesplní povinnost ohlásit údaj rozhodný pro osvobození ve lhůtách stanovených touto vyhláškou nebo zákonem, nárok na osvobození zaniká</w:t>
      </w:r>
      <w:r>
        <w:rPr>
          <w:rStyle w:val="Ukotvenpoznmkypodarou"/>
        </w:rPr>
        <w:footnoteReference w:id="7"/>
      </w:r>
      <w:r>
        <w:rPr/>
        <w:t>.</w:t>
      </w:r>
    </w:p>
    <w:p>
      <w:pPr>
        <w:pStyle w:val="Nadpis2"/>
        <w:rPr/>
      </w:pPr>
      <w:r>
        <w:rPr/>
        <w:t>Čl. 8</w:t>
        <w:br/>
        <w:t xml:space="preserve"> Přechodné a zrušovací ustanovení</w:t>
      </w:r>
    </w:p>
    <w:p>
      <w:pPr>
        <w:pStyle w:val="Odstavec"/>
        <w:numPr>
          <w:ilvl w:val="0"/>
          <w:numId w:val="10"/>
        </w:numPr>
        <w:rPr/>
      </w:pPr>
      <w:r>
        <w:rPr/>
        <w:t>Poplatkové povinnosti vzniklé před nabytím účinnosti této vyhlášky se posuzují podle dosavadních právních předpisů.</w:t>
      </w:r>
    </w:p>
    <w:p>
      <w:pPr>
        <w:pStyle w:val="Odstavec"/>
        <w:numPr>
          <w:ilvl w:val="0"/>
          <w:numId w:val="1"/>
        </w:numPr>
        <w:rPr/>
      </w:pPr>
      <w:r>
        <w:rPr/>
        <w:t>Zrušuje se obecně závazná vyhláška č. 3/2023, o místním poplatku za užívání veřejného prostranství, ze dne 11. prosince 2023.</w:t>
      </w:r>
    </w:p>
    <w:p>
      <w:pPr>
        <w:pStyle w:val="Nadpis2"/>
        <w:rPr/>
      </w:pPr>
      <w:r>
        <w:rPr/>
        <w:t>Čl. 9</w:t>
        <w:br/>
        <w:t>Účinnost</w:t>
      </w:r>
    </w:p>
    <w:p>
      <w:pPr>
        <w:pStyle w:val="Odstavec"/>
        <w:rPr/>
      </w:pPr>
      <w:r>
        <w:rPr/>
        <w:t>Tato vyhláška nabývá účinnosti počátkem patnáctého dne následujícího po dni jejího vyhlášení.</w:t>
      </w:r>
    </w:p>
    <w:tbl>
      <w:tblPr>
        <w:tblW w:w="964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4820"/>
        <w:gridCol w:w="4820"/>
      </w:tblGrid>
      <w:tr>
        <w:trPr>
          <w:trHeight w:val="1134" w:hRule="exact"/>
        </w:trPr>
        <w:tc>
          <w:tcPr>
            <w:tcW w:w="4820" w:type="dxa"/>
            <w:tcBorders/>
            <w:shd w:color="auto" w:fill="auto" w:val="clear"/>
            <w:vAlign w:val="bottom"/>
          </w:tcPr>
          <w:p>
            <w:pPr>
              <w:pStyle w:val="PodpisovePole"/>
              <w:widowControl w:val="false"/>
              <w:rPr/>
            </w:pPr>
            <w:r>
              <w:rPr/>
              <w:t>Jana Hnojnová v. r.</w:t>
              <w:br/>
              <w:t xml:space="preserve"> starostka</w:t>
            </w:r>
          </w:p>
        </w:tc>
        <w:tc>
          <w:tcPr>
            <w:tcW w:w="4820" w:type="dxa"/>
            <w:tcBorders/>
            <w:shd w:color="auto" w:fill="auto" w:val="clear"/>
            <w:vAlign w:val="bottom"/>
          </w:tcPr>
          <w:p>
            <w:pPr>
              <w:pStyle w:val="PodpisovePole"/>
              <w:widowControl w:val="false"/>
              <w:rPr/>
            </w:pPr>
            <w:r>
              <w:rPr/>
              <w:t>Ing. Šárka Stárová v. r.</w:t>
              <w:br/>
              <w:t xml:space="preserve"> místostarostka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shd w:color="auto" w:fill="auto" w:val="clear"/>
            <w:vAlign w:val="bottom"/>
          </w:tcPr>
          <w:p>
            <w:pPr>
              <w:pStyle w:val="PodpisovePole"/>
              <w:widowControl w:val="false"/>
              <w:rPr/>
            </w:pPr>
            <w:r>
              <w:rPr/>
            </w:r>
          </w:p>
        </w:tc>
        <w:tc>
          <w:tcPr>
            <w:tcW w:w="4820" w:type="dxa"/>
            <w:tcBorders/>
            <w:shd w:color="auto" w:fill="auto" w:val="clear"/>
            <w:vAlign w:val="bottom"/>
          </w:tcPr>
          <w:p>
            <w:pPr>
              <w:pStyle w:val="PodpisovePole"/>
              <w:widowControl w:val="false"/>
              <w:rPr/>
            </w:pPr>
            <w:r>
              <w:rPr/>
            </w:r>
          </w:p>
        </w:tc>
      </w:tr>
    </w:tbl>
    <w:p>
      <w:pPr>
        <w:pStyle w:val="Standard"/>
        <w:rPr/>
      </w:pPr>
      <w:r>
        <w:br w:type="page"/>
      </w:r>
      <w:r>
        <w:rPr>
          <w:rFonts w:cs="Arial" w:ascii="Arial" w:hAnsi="Arial"/>
          <w:b/>
        </w:rPr>
        <w:t>Příloha č. 1 k obecně závazné vyhlášce obce Radimovice u Želče o místním poplatku za užívání veřejného prostranství – znázorněné veřejné prostranství:</w:t>
      </w:r>
      <w:r>
        <w:rPr/>
        <w:t xml:space="preserve"> </w:t>
      </w:r>
      <w:r>
        <w:rPr/>
        <w:drawing>
          <wp:inline distT="0" distB="0" distL="0" distR="0">
            <wp:extent cx="6122035" cy="4796790"/>
            <wp:effectExtent l="0" t="0" r="0" b="0"/>
            <wp:docPr id="1" name="Obrázek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035" cy="479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andard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Standard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Standard"/>
        <w:spacing w:lineRule="auto" w:line="276"/>
        <w:rPr>
          <w:rFonts w:ascii="Arial" w:hAnsi="Arial" w:cs="Arial"/>
          <w:color w:val="00B0F0"/>
        </w:rPr>
      </w:pPr>
      <w:r>
        <w:rPr>
          <w:rFonts w:cs="Arial" w:ascii="Arial" w:hAnsi="Arial"/>
          <w:color w:val="00B0F0"/>
        </w:rPr>
      </w:r>
    </w:p>
    <w:p>
      <w:pPr>
        <w:pStyle w:val="Standard"/>
        <w:spacing w:lineRule="auto" w:line="276"/>
        <w:rPr>
          <w:rFonts w:ascii="Arial" w:hAnsi="Arial" w:cs="Arial"/>
          <w:b/>
          <w:b/>
          <w:bCs/>
          <w:i/>
          <w:i/>
          <w:color w:val="000000"/>
          <w:sz w:val="20"/>
          <w:szCs w:val="20"/>
        </w:rPr>
      </w:pPr>
      <w:r>
        <w:rPr>
          <w:rFonts w:cs="Arial" w:ascii="Arial" w:hAnsi="Arial"/>
          <w:b/>
          <w:bCs/>
          <w:i/>
          <w:color w:val="000000"/>
          <w:sz w:val="20"/>
          <w:szCs w:val="20"/>
        </w:rPr>
        <w:t>Pracov:</w:t>
      </w:r>
    </w:p>
    <w:p>
      <w:pPr>
        <w:pStyle w:val="Standard"/>
        <w:spacing w:lineRule="auto" w:line="276"/>
        <w:rPr/>
      </w:pPr>
      <w:r>
        <w:rPr/>
        <w:drawing>
          <wp:inline distT="0" distB="0" distL="0" distR="0">
            <wp:extent cx="6122035" cy="1830705"/>
            <wp:effectExtent l="0" t="0" r="0" b="0"/>
            <wp:docPr id="2" name="Obrázek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035" cy="183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andard"/>
        <w:spacing w:lineRule="auto" w:line="276" w:before="0" w:after="120"/>
        <w:rPr/>
      </w:pPr>
      <w:r>
        <w:rPr/>
      </w:r>
    </w:p>
    <w:p>
      <w:pPr>
        <w:pStyle w:val="Normal"/>
        <w:rPr/>
      </w:pPr>
      <w:r>
        <w:rPr/>
      </w:r>
    </w:p>
    <w:sectPr>
      <w:footnotePr>
        <w:numFmt w:val="decimal"/>
      </w:footnote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</w:t>
      </w:r>
    </w:p>
  </w:footnote>
  <w:footnote w:id="3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4 odst. 1 zákona o místních poplatcích</w:t>
      </w:r>
    </w:p>
  </w:footnote>
  <w:footnote w:id="4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4 odst. 2 zákona o místních poplatcích</w:t>
      </w:r>
    </w:p>
  </w:footnote>
  <w:footnote w:id="5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 14a odst. 1 a 2 zákona o místních poplatcích; v ohlášení poplatník uvede zejména své identifikační údaje a skutečnosti rozhodné pro stanovení poplatku</w:t>
      </w:r>
    </w:p>
  </w:footnote>
  <w:footnote w:id="6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4 odst. 1 zákona o místních poplatcích</w:t>
      </w:r>
    </w:p>
  </w:footnote>
  <w:footnote w:id="7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90"/>
  <w:defaultTabStop w:val="709"/>
  <w:autoHyphenation w:val="true"/>
  <w:hyphenationZone w:val="425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Nadpis1">
    <w:name w:val="Heading 1"/>
    <w:basedOn w:val="Nadpis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extbody"/>
    <w:uiPriority w:val="9"/>
    <w:unhideWhenUsed/>
    <w:qFormat/>
    <w:p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ymbolyproslovn" w:customStyle="1">
    <w:name w:val="Symboly pro číslování"/>
    <w:qFormat/>
    <w:rPr/>
  </w:style>
  <w:style w:type="character" w:styleId="Znakypropoznmkupodarou" w:customStyle="1">
    <w:name w:val="Znaky pro poznámku pod čarou"/>
    <w:qFormat/>
    <w:rPr/>
  </w:style>
  <w:style w:type="character" w:styleId="Ukotvenpoznmkypodarou" w:customStyle="1">
    <w:name w:val="Footnote Reference"/>
    <w:rPr>
      <w:vertAlign w:val="superscript"/>
    </w:rPr>
  </w:style>
  <w:style w:type="character" w:styleId="FootnoteCharacters">
    <w:name w:val="Footnote Characters"/>
    <w:basedOn w:val="DefaultParagraphFont"/>
    <w:qFormat/>
    <w:rPr>
      <w:vertAlign w:val="superscript"/>
    </w:rPr>
  </w:style>
  <w:style w:type="character" w:styleId="Ukotvenvysvtlivky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 w:customStyle="1">
    <w:name w:val="Nadpis"/>
    <w:basedOn w:val="Standard"/>
    <w:next w:val="Textbody"/>
    <w:qFormat/>
    <w:pPr>
      <w:keepNext w:val="true"/>
      <w:spacing w:before="240" w:after="120"/>
    </w:pPr>
    <w:rPr>
      <w:rFonts w:ascii="Arial" w:hAnsi="Arial" w:eastAsia="PingFang SC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extbody"/>
    <w:pPr/>
    <w:rPr>
      <w:rFonts w:cs="Arial Unicode M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 w:customStyle="1">
    <w:name w:val="Rejstřík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Textbody" w:customStyle="1">
    <w:name w:val="Text body"/>
    <w:basedOn w:val="Standard"/>
    <w:qFormat/>
    <w:pPr>
      <w:spacing w:lineRule="auto" w:line="276" w:before="0" w:after="140"/>
    </w:pPr>
    <w:rPr>
      <w:rFonts w:ascii="Arial" w:hAnsi="Arial" w:eastAsia="Arial" w:cs="Arial"/>
    </w:r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Nzev">
    <w:name w:val="Title"/>
    <w:basedOn w:val="Nadpis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styleId="UvodniVeta" w:customStyle="1">
    <w:name w:val="UvodniVeta"/>
    <w:basedOn w:val="Textbody"/>
    <w:qFormat/>
    <w:pPr>
      <w:spacing w:before="62" w:after="120"/>
      <w:jc w:val="both"/>
    </w:pPr>
    <w:rPr>
      <w:sz w:val="22"/>
      <w:szCs w:val="22"/>
    </w:rPr>
  </w:style>
  <w:style w:type="paragraph" w:styleId="Odstavec" w:customStyle="1">
    <w:name w:val="Odstavec"/>
    <w:basedOn w:val="Textbody"/>
    <w:qFormat/>
    <w:pPr>
      <w:tabs>
        <w:tab w:val="clear" w:pos="709"/>
        <w:tab w:val="left" w:pos="567" w:leader="none"/>
      </w:tabs>
      <w:spacing w:before="0" w:after="120"/>
      <w:jc w:val="both"/>
    </w:pPr>
    <w:rPr>
      <w:sz w:val="22"/>
      <w:szCs w:val="22"/>
    </w:rPr>
  </w:style>
  <w:style w:type="paragraph" w:styleId="Obsahtabulky" w:customStyle="1">
    <w:name w:val="Obsah tabulky"/>
    <w:basedOn w:val="Standard"/>
    <w:qFormat/>
    <w:pPr>
      <w:widowControl w:val="false"/>
      <w:suppressLineNumbers/>
    </w:pPr>
    <w:rPr/>
  </w:style>
  <w:style w:type="paragraph" w:styleId="PodpisovePole" w:customStyle="1">
    <w:name w:val="PodpisovePole"/>
    <w:basedOn w:val="Obsahtabulky"/>
    <w:qFormat/>
    <w:pPr>
      <w:jc w:val="center"/>
    </w:pPr>
    <w:rPr>
      <w:rFonts w:ascii="Arial" w:hAnsi="Arial" w:eastAsia="Arial" w:cs="Arial"/>
      <w:sz w:val="22"/>
      <w:szCs w:val="22"/>
    </w:rPr>
  </w:style>
  <w:style w:type="paragraph" w:styleId="Footnote" w:customStyle="1">
    <w:name w:val="Footnote"/>
    <w:basedOn w:val="Standard"/>
    <w:qFormat/>
    <w:pPr>
      <w:suppressLineNumbers/>
      <w:ind w:left="170" w:hanging="170"/>
    </w:pPr>
    <w:rPr>
      <w:rFonts w:ascii="Arial" w:hAnsi="Arial" w:eastAsia="Arial" w:cs="Arial"/>
      <w:sz w:val="18"/>
      <w:szCs w:val="18"/>
    </w:rPr>
  </w:style>
  <w:style w:type="paragraph" w:styleId="Poznmkapodarou">
    <w:name w:val="Footnote Text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LibreOffice/7.4.0.3$Windows_X86_64 LibreOffice_project/f85e47c08ddd19c015c0114a68350214f7066f5a</Application>
  <AppVersion>15.0000</AppVersion>
  <Pages>3</Pages>
  <Words>683</Words>
  <Characters>3877</Characters>
  <CharactersWithSpaces>4487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2024-08-20T12:38:00Z</dcterms:created>
  <dc:creator>Stárová Šárka</dc:creator>
  <dc:description/>
  <dc:language>cs-CZ</dc:language>
  <cp:lastModifiedBy>Stárová Šárka</cp:lastModifiedBy>
  <dcterms:modified xsi:type="dcterms:W3CDTF">2024-08-27T08:41:00Z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