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2758" w:y="20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Dolní Těšíce</w:t>
      </w:r>
    </w:p>
    <w:p>
      <w:pPr>
        <w:framePr w:wrap="none" w:vAnchor="page" w:hAnchor="page" w:x="200" w:y="52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pt;height:79pt;">
            <v:imagedata r:id="rId5" r:href="rId6"/>
          </v:shape>
        </w:pict>
      </w:r>
    </w:p>
    <w:p>
      <w:pPr>
        <w:pStyle w:val="Style4"/>
        <w:framePr w:wrap="none" w:vAnchor="page" w:hAnchor="page" w:x="1165" w:y="20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w w:val="100"/>
          <w:color w:val="000000"/>
          <w:position w:val="0"/>
        </w:rPr>
        <w:t>Obec</w:t>
      </w:r>
    </w:p>
    <w:p>
      <w:pPr>
        <w:pStyle w:val="Style2"/>
        <w:framePr w:w="9970" w:h="763" w:hRule="exact" w:wrap="none" w:vAnchor="page" w:hAnchor="page" w:x="589" w:y="2885"/>
        <w:widowControl w:val="0"/>
        <w:keepNext w:val="0"/>
        <w:keepLines w:val="0"/>
        <w:shd w:val="clear" w:color="auto" w:fill="auto"/>
        <w:bidi w:val="0"/>
        <w:jc w:val="left"/>
        <w:spacing w:before="0" w:after="0" w:line="355" w:lineRule="exact"/>
        <w:ind w:left="2740" w:right="4000" w:hanging="1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Obecně závazná vyhláška</w:t>
        <w:br/>
        <w:t>Obce Dolní Těšíce</w:t>
      </w:r>
    </w:p>
    <w:p>
      <w:pPr>
        <w:pStyle w:val="Style2"/>
        <w:framePr w:wrap="none" w:vAnchor="page" w:hAnchor="page" w:x="589" w:y="40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použití koeficientu pro výpočet daně z nemovitosti</w:t>
      </w:r>
    </w:p>
    <w:p>
      <w:pPr>
        <w:pStyle w:val="Style2"/>
        <w:framePr w:wrap="none" w:vAnchor="page" w:hAnchor="page" w:x="589" w:y="5053"/>
        <w:widowControl w:val="0"/>
        <w:keepNext w:val="0"/>
        <w:keepLines w:val="0"/>
        <w:shd w:val="clear" w:color="auto" w:fill="auto"/>
        <w:bidi w:val="0"/>
        <w:jc w:val="left"/>
        <w:spacing w:before="0" w:after="0" w:line="272" w:lineRule="exact"/>
        <w:ind w:left="620" w:right="0" w:firstLine="5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Starosta ooce </w:t>
      </w:r>
      <w:r>
        <w:rPr>
          <w:rStyle w:val="CharStyle6"/>
        </w:rPr>
        <w:t>Dolní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Těšíce vydává </w:t>
      </w:r>
      <w:r>
        <w:rPr>
          <w:rStyle w:val="CharStyle7"/>
        </w:rPr>
        <w:t>dne : . .</w:t>
      </w:r>
      <w:r>
        <w:rPr>
          <w:rStyle w:val="CharStyle7"/>
          <w:vertAlign w:val="superscript"/>
        </w:rPr>
        <w:t>2</w:t>
      </w:r>
      <w:r>
        <w:rPr>
          <w:rStyle w:val="CharStyle7"/>
        </w:rPr>
        <w:t>.».3.*.1.9,S,9.</w:t>
      </w:r>
    </w:p>
    <w:p>
      <w:pPr>
        <w:pStyle w:val="Style2"/>
        <w:framePr w:w="9970" w:h="1449" w:hRule="exact" w:wrap="none" w:vAnchor="page" w:hAnchor="page" w:x="589" w:y="5369"/>
        <w:widowControl w:val="0"/>
        <w:keepNext w:val="0"/>
        <w:keepLines w:val="0"/>
        <w:shd w:val="clear" w:color="auto" w:fill="auto"/>
        <w:bidi w:val="0"/>
        <w:jc w:val="left"/>
        <w:spacing w:before="0" w:after="0" w:line="346" w:lineRule="exact"/>
        <w:ind w:left="6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podle ustanovení §24,§§45 a 44 zákona ČNR č.367/1990 Sb. o obcích</w:t>
        <w:br/>
        <w:t>/obecní zřízení/, ve znění pozdějších předpisů a v souladu se</w:t>
        <w:br/>
        <w:t>zákonem ČNR č.338/1992 Sb., o dani z nemovitostí, ve znění pozděj</w:t>
        <w:t>-</w:t>
        <w:br/>
        <w:t>ších předpisů, tuto obecně závaznou vyhlášku:</w:t>
      </w:r>
    </w:p>
    <w:p>
      <w:pPr>
        <w:pStyle w:val="Style2"/>
        <w:framePr w:w="9970" w:h="2159" w:hRule="exact" w:wrap="none" w:vAnchor="page" w:hAnchor="page" w:x="589" w:y="8745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620" w:right="0" w:firstLine="56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Podle §11 odst.3 písm. b/ zákona o dani z nemovitosti se</w:t>
        <w:br/>
        <w:t xml:space="preserve">stanoví pro celou obec </w:t>
      </w:r>
      <w:r>
        <w:rPr>
          <w:rStyle w:val="CharStyle6"/>
        </w:rPr>
        <w:t>Dolní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Těšíce </w:t>
      </w:r>
      <w:r>
        <w:rPr>
          <w:rStyle w:val="CharStyle8"/>
        </w:rPr>
        <w:t>koeficient 1,5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pro</w:t>
        <w:br/>
        <w:t>výpočet konečné sazby daně u staveb:</w:t>
      </w:r>
    </w:p>
    <w:p>
      <w:pPr>
        <w:pStyle w:val="Style2"/>
        <w:framePr w:w="9970" w:h="2159" w:hRule="exact" w:wrap="none" w:vAnchor="page" w:hAnchor="page" w:x="589" w:y="8745"/>
        <w:tabs>
          <w:tab w:leader="none" w:pos="8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1160" w:firstLine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- pro individuální rekreaci,rodinných domů využívaných pro</w:t>
        <w:br/>
        <w:t>individuální rekreaci, včetně staveb plnících doplňkovou</w:t>
        <w:br/>
      </w:r>
      <w:r>
        <w:rPr>
          <w:rStyle w:val="CharStyle9"/>
        </w:rPr>
        <w:t>i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funkci k těmto stavbám.</w:t>
      </w:r>
    </w:p>
    <w:p>
      <w:pPr>
        <w:pStyle w:val="Style10"/>
        <w:framePr w:w="9970" w:h="366" w:hRule="exact" w:wrap="none" w:vAnchor="page" w:hAnchor="page" w:x="589" w:y="8185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ČI. 1</w:t>
      </w:r>
      <w:bookmarkEnd w:id="0"/>
    </w:p>
    <w:p>
      <w:pPr>
        <w:pStyle w:val="Style12"/>
        <w:framePr w:w="9970" w:h="339" w:hRule="exact" w:wrap="none" w:vAnchor="page" w:hAnchor="page" w:x="589" w:y="11701"/>
        <w:widowControl w:val="0"/>
        <w:keepNext w:val="0"/>
        <w:keepLines w:val="0"/>
        <w:shd w:val="clear" w:color="auto" w:fill="auto"/>
        <w:bidi w:val="0"/>
        <w:spacing w:before="0" w:after="0"/>
        <w:ind w:left="40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2</w:t>
      </w:r>
      <w:bookmarkEnd w:id="1"/>
    </w:p>
    <w:p>
      <w:pPr>
        <w:pStyle w:val="Style2"/>
        <w:framePr w:wrap="none" w:vAnchor="page" w:hAnchor="page" w:x="589" w:y="122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20" w:right="0" w:firstLine="5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vyhláška nabývá účinnosti dnem 1.1.2000</w:t>
      </w:r>
    </w:p>
    <w:p>
      <w:pPr>
        <w:framePr w:wrap="none" w:vAnchor="page" w:hAnchor="page" w:x="1995" w:y="13618"/>
        <w:widowControl w:val="0"/>
        <w:rPr>
          <w:sz w:val="2"/>
          <w:szCs w:val="2"/>
        </w:rPr>
      </w:pPr>
      <w:r>
        <w:pict>
          <v:shape id="_x0000_s1027" type="#_x0000_t75" style="width:366pt;height:60pt;">
            <v:imagedata r:id="rId7" r:href="rId8"/>
          </v:shape>
        </w:pict>
      </w:r>
    </w:p>
    <w:p>
      <w:pPr>
        <w:pStyle w:val="Style2"/>
        <w:framePr w:w="9970" w:h="513" w:hRule="exact" w:wrap="none" w:vAnchor="page" w:hAnchor="page" w:x="589" w:y="14902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500" w:right="538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Stanislav Hložek zástupce</w:t>
        <w:br/>
        <w:t>starosty</w:t>
      </w:r>
    </w:p>
    <w:p>
      <w:pPr>
        <w:pStyle w:val="Style14"/>
        <w:framePr w:w="3115" w:h="525" w:hRule="exact" w:wrap="none" w:vAnchor="page" w:hAnchor="page" w:x="6771" w:y="1483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Jiří Tvrdoň starosta</w:t>
        <w:br/>
        <w:t>obce</w:t>
      </w:r>
    </w:p>
    <w:p>
      <w:pPr>
        <w:framePr w:wrap="none" w:vAnchor="page" w:hAnchor="page" w:x="3737" w:y="15567"/>
        <w:widowControl w:val="0"/>
        <w:rPr>
          <w:sz w:val="2"/>
          <w:szCs w:val="2"/>
        </w:rPr>
      </w:pPr>
      <w:r>
        <w:pict>
          <v:shape id="_x0000_s1028" type="#_x0000_t75" style="width:75pt;height:14pt;">
            <v:imagedata r:id="rId9" r:href="rId10"/>
          </v:shape>
        </w:pict>
      </w:r>
    </w:p>
    <w:p>
      <w:pPr>
        <w:framePr w:wrap="none" w:vAnchor="page" w:hAnchor="page" w:x="8888" w:y="15548"/>
        <w:widowControl w:val="0"/>
        <w:rPr>
          <w:sz w:val="2"/>
          <w:szCs w:val="2"/>
        </w:rPr>
      </w:pPr>
      <w:r>
        <w:pict>
          <v:shape id="_x0000_s1029" type="#_x0000_t75" style="width:33pt;height:8pt;">
            <v:imagedata r:id="rId11" r:href="rId12"/>
          </v:shape>
        </w:pict>
      </w:r>
    </w:p>
    <w:p>
      <w:pPr>
        <w:pStyle w:val="Style2"/>
        <w:framePr w:wrap="none" w:vAnchor="page" w:hAnchor="page" w:x="1563" w:y="156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Vyvěšeno dne:</w:t>
      </w:r>
    </w:p>
    <w:p>
      <w:pPr>
        <w:pStyle w:val="Style2"/>
        <w:framePr w:wrap="none" w:vAnchor="page" w:hAnchor="page" w:x="6397" w:y="156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Sejmuto dne: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NUMBER MSG_EN_FONT_STYLE_NAME_BY_ROLE_TEXT 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character" w:customStyle="1" w:styleId="CharStyle5">
    <w:name w:val="MSG_EN_FONT_STYLE_NAME_TEMPLATE_ROLE_NUMBER MSG_EN_FONT_STYLE_NAME_BY_ROLE_TEXT 3_"/>
    <w:basedOn w:val="DefaultParagraphFont"/>
    <w:link w:val="Style4"/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  <w:spacing w:val="160"/>
    </w:rPr>
  </w:style>
  <w:style w:type="character" w:customStyle="1" w:styleId="CharStyle6">
    <w:name w:val="MSG_EN_FONT_STYLE_NAME_TEMPLATE_ROLE_NUMBER MSG_EN_FONT_STYLE_NAME_BY_ROLE_TEXT 2 + MSG_EN_FONT_STYLE_MODIFER_SPACING 7"/>
    <w:basedOn w:val="CharStyle3"/>
    <w:rPr>
      <w:lang w:val="cs-CZ" w:eastAsia="cs-CZ" w:bidi="cs-CZ"/>
      <w:w w:val="100"/>
      <w:spacing w:val="140"/>
      <w:color w:val="000000"/>
      <w:position w:val="0"/>
    </w:rPr>
  </w:style>
  <w:style w:type="character" w:customStyle="1" w:styleId="CharStyle7">
    <w:name w:val="MSG_EN_FONT_STYLE_NAME_TEMPLATE_ROLE_NUMBER MSG_EN_FONT_STYLE_NAME_BY_ROLE_TEXT 2 + MSG_EN_FONT_STYLE_MODIFER_SIZE 12,MSG_EN_FONT_STYLE_MODIFER_BOLD"/>
    <w:basedOn w:val="CharStyle3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MSG_EN_FONT_STYLE_NAME_TEMPLATE_ROLE_NUMBER MSG_EN_FONT_STYLE_NAME_BY_ROLE_TEXT 2"/>
    <w:basedOn w:val="CharStyle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9">
    <w:name w:val="MSG_EN_FONT_STYLE_NAME_TEMPLATE_ROLE_NUMBER MSG_EN_FONT_STYLE_NAME_BY_ROLE_TEXT 2 + MSG_EN_FONT_STYLE_MODIFER_NAME Times New Roman,MSG_EN_FONT_STYLE_MODIFER_SIZE 12,MSG_EN_FONT_STYLE_MODIFER_BOLD,MSG_EN_FONT_STYLE_MODIFER_ITALIC"/>
    <w:basedOn w:val="CharStyle3"/>
    <w:rPr>
      <w:lang w:val="cs-CZ" w:eastAsia="cs-CZ" w:bidi="cs-CZ"/>
      <w:b/>
      <w:bCs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">
    <w:name w:val="MSG_EN_FONT_STYLE_NAME_TEMPLATE_ROLE_LEVEL MSG_EN_FONT_STYLE_NAME_BY_ROLE_HEADING 1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Courier New" w:eastAsia="Courier New" w:hAnsi="Courier New" w:cs="Courier New"/>
    </w:rPr>
  </w:style>
  <w:style w:type="character" w:customStyle="1" w:styleId="CharStyle13">
    <w:name w:val="MSG_EN_FONT_STYLE_NAME_TEMPLATE_ROLE_LEVEL_NUMBER MSG_EN_FONT_STYLE_NAME_BY_ROLE_HEADING 1 2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character" w:customStyle="1" w:styleId="CharStyle15">
    <w:name w:val="MSG_EN_FONT_STYLE_NAME_TEMPLATE_ROLE MSG_EN_FONT_STYLE_NAME_BY_ROLE_PICTURE_CAPTION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2">
    <w:name w:val="MSG_EN_FONT_STYLE_NAME_TEMPLATE_ROLE_NUMBER MSG_EN_FONT_STYLE_NAME_BY_ROLE_TEXT 2"/>
    <w:basedOn w:val="Normal"/>
    <w:link w:val="CharStyle3"/>
    <w:pPr>
      <w:widowControl w:val="0"/>
      <w:shd w:val="clear" w:color="auto" w:fill="FFFFFF"/>
      <w:spacing w:line="250" w:lineRule="exact"/>
      <w:ind w:hanging="14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  <w:style w:type="paragraph" w:customStyle="1" w:styleId="Style4">
    <w:name w:val="MSG_EN_FONT_STYLE_NAME_TEMPLATE_ROLE_NUMBER MSG_EN_FONT_STYLE_NAME_BY_ROLE_TEXT 3"/>
    <w:basedOn w:val="Normal"/>
    <w:link w:val="CharStyle5"/>
    <w:pPr>
      <w:widowControl w:val="0"/>
      <w:shd w:val="clear" w:color="auto" w:fill="FFFFFF"/>
      <w:spacing w:line="272" w:lineRule="exact"/>
    </w:pPr>
    <w:rPr>
      <w:b/>
      <w:bCs/>
      <w:i w:val="0"/>
      <w:iCs w:val="0"/>
      <w:u w:val="none"/>
      <w:strike w:val="0"/>
      <w:smallCaps w:val="0"/>
      <w:rFonts w:ascii="Courier New" w:eastAsia="Courier New" w:hAnsi="Courier New" w:cs="Courier New"/>
      <w:spacing w:val="160"/>
    </w:rPr>
  </w:style>
  <w:style w:type="paragraph" w:customStyle="1" w:styleId="Style10">
    <w:name w:val="MSG_EN_FONT_STYLE_NAME_TEMPLATE_ROLE_LEVEL MSG_EN_FONT_STYLE_NAME_BY_ROLE_HEADING 1"/>
    <w:basedOn w:val="Normal"/>
    <w:link w:val="CharStyle11"/>
    <w:pPr>
      <w:widowControl w:val="0"/>
      <w:shd w:val="clear" w:color="auto" w:fill="FFFFFF"/>
      <w:jc w:val="center"/>
      <w:outlineLvl w:val="0"/>
      <w:spacing w:before="1400" w:after="280" w:line="31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ourier New" w:eastAsia="Courier New" w:hAnsi="Courier New" w:cs="Courier New"/>
    </w:rPr>
  </w:style>
  <w:style w:type="paragraph" w:customStyle="1" w:styleId="Style12">
    <w:name w:val="MSG_EN_FONT_STYLE_NAME_TEMPLATE_ROLE_LEVEL_NUMBER MSG_EN_FONT_STYLE_NAME_BY_ROLE_HEADING 1 2"/>
    <w:basedOn w:val="Normal"/>
    <w:link w:val="CharStyle13"/>
    <w:pPr>
      <w:widowControl w:val="0"/>
      <w:shd w:val="clear" w:color="auto" w:fill="FFFFFF"/>
      <w:jc w:val="center"/>
      <w:outlineLvl w:val="0"/>
      <w:spacing w:before="780" w:after="280" w:line="272" w:lineRule="exact"/>
    </w:pPr>
    <w:rPr>
      <w:b w:val="0"/>
      <w:bCs w:val="0"/>
      <w:i w:val="0"/>
      <w:iCs w:val="0"/>
      <w:u w:val="none"/>
      <w:strike w:val="0"/>
      <w:smallCaps w:val="0"/>
      <w:rFonts w:ascii="Courier New" w:eastAsia="Courier New" w:hAnsi="Courier New" w:cs="Courier New"/>
    </w:rPr>
  </w:style>
  <w:style w:type="paragraph" w:customStyle="1" w:styleId="Style14">
    <w:name w:val="MSG_EN_FONT_STYLE_NAME_TEMPLATE_ROLE MSG_EN_FONT_STYLE_NAME_BY_ROLE_PICTURE_CAPTION"/>
    <w:basedOn w:val="Normal"/>
    <w:link w:val="CharStyle15"/>
    <w:pPr>
      <w:widowControl w:val="0"/>
      <w:shd w:val="clear" w:color="auto" w:fill="FFFFFF"/>
      <w:jc w:val="center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ourier New" w:eastAsia="Courier New" w:hAnsi="Courier New" w:cs="Courier Ne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