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rFonts w:ascii="Tahoma" w:cs="Tahoma" w:eastAsia="Tahoma" w:hAnsi="Tahoma"/>
          <w:b w:val="1"/>
          <w:bCs w:val="1"/>
          <w:sz w:val="32"/>
          <w:szCs w:val="32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30"/>
          <w:szCs w:val="30"/>
          <w:rtl w:val="0"/>
        </w:rPr>
        <w:t xml:space="preserve">OBEC KRNSKO</w:t>
        <w:br w:type="textWrapping"/>
        <w:t xml:space="preserve">Zastupitelstvo obce Krnsko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Tahoma" w:cs="Tahoma" w:eastAsia="Tahoma" w:hAnsi="Tahoma"/>
          <w:sz w:val="26"/>
          <w:szCs w:val="26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6"/>
          <w:szCs w:val="26"/>
          <w:rtl w:val="0"/>
        </w:rPr>
        <w:t xml:space="preserve">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center" w:leader="none" w:pos="4536"/>
          <w:tab w:val="right" w:leader="none" w:pos="9072"/>
        </w:tabs>
        <w:rPr>
          <w:rFonts w:ascii="Tahoma" w:cs="Tahoma" w:eastAsia="Tahoma" w:hAnsi="Tahom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jc w:val="center"/>
        <w:rPr>
          <w:rFonts w:ascii="Tahoma" w:cs="Tahoma" w:eastAsia="Tahoma" w:hAnsi="Tahoma"/>
          <w:b w:val="1"/>
          <w:bCs w:val="1"/>
          <w:sz w:val="26"/>
          <w:szCs w:val="26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6"/>
          <w:szCs w:val="26"/>
          <w:rtl w:val="0"/>
        </w:rPr>
        <w:t xml:space="preserve">Obecně závazná vyhláška obce Krnsko </w:t>
        <w:br w:type="textWrapping"/>
        <w:t xml:space="preserve">o nočním klidu č. 1/2026</w:t>
      </w:r>
    </w:p>
    <w:p w:rsidR="00000000" w:rsidDel="00000000" w:rsidP="00000000" w:rsidRDefault="00000000" w:rsidRPr="00000000" w14:paraId="00000005">
      <w:pPr>
        <w:spacing w:line="276" w:lineRule="auto"/>
        <w:jc w:val="center"/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rPr>
          <w:rFonts w:ascii="Tahoma" w:cs="Tahoma" w:eastAsia="Tahoma" w:hAnsi="Tahoma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76" w:lineRule="auto"/>
        <w:jc w:val="both"/>
        <w:rPr>
          <w:rFonts w:ascii="Tahoma" w:cs="Tahoma" w:eastAsia="Tahoma" w:hAnsi="Tahoma"/>
          <w:sz w:val="20"/>
          <w:szCs w:val="20"/>
        </w:rPr>
      </w:pPr>
      <w:bookmarkStart w:colFirst="0" w:colLast="0" w:name="_c23ymrxqna26" w:id="0"/>
      <w:bookmarkEnd w:id="0"/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Zastupitelstvo obce Krnsko, se</w:t>
      </w:r>
      <w:r w:rsidDel="00000000" w:rsidR="00000000" w:rsidRPr="00000000">
        <w:rPr>
          <w:rFonts w:ascii="Tahoma" w:cs="Tahoma" w:eastAsia="Tahoma" w:hAnsi="Tahoma"/>
          <w:sz w:val="20"/>
          <w:szCs w:val="20"/>
          <w:highlight w:val="white"/>
          <w:rtl w:val="0"/>
        </w:rPr>
        <w:t xml:space="preserve"> na svém zasedání dne 03. 06. 2026 usne</w:t>
      </w: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slo vydat na základě § 5 odst. 7 zákona č. 251/2016 Sb., o některých přestupcích, ve znění pozdějších předpisů (dále jen „zákon o některých přestupcích“), a v souladu s § 10 písm. d) a § 84 odst. 2 písm. h) zákona č. 128/2000 Sb., o obcích (obecní zřízení), ve znění pozdějších předpisů, tuto obecně závaznou vyhlášku (dále jen „vyhláška“):</w:t>
        <w:br w:type="textWrapping"/>
      </w:r>
    </w:p>
    <w:p w:rsidR="00000000" w:rsidDel="00000000" w:rsidP="00000000" w:rsidRDefault="00000000" w:rsidRPr="00000000" w14:paraId="00000008">
      <w:pPr>
        <w:spacing w:line="276" w:lineRule="auto"/>
        <w:jc w:val="center"/>
        <w:rPr>
          <w:rFonts w:ascii="Tahoma" w:cs="Tahoma" w:eastAsia="Tahoma" w:hAnsi="Tahoma"/>
          <w:b w:val="1"/>
          <w:bCs w:val="1"/>
          <w:sz w:val="22"/>
          <w:szCs w:val="22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2"/>
          <w:szCs w:val="22"/>
          <w:rtl w:val="0"/>
        </w:rPr>
        <w:t xml:space="preserve">Čl. 1</w:t>
      </w:r>
    </w:p>
    <w:p w:rsidR="00000000" w:rsidDel="00000000" w:rsidP="00000000" w:rsidRDefault="00000000" w:rsidRPr="00000000" w14:paraId="00000009">
      <w:pPr>
        <w:spacing w:line="276" w:lineRule="auto"/>
        <w:jc w:val="center"/>
        <w:rPr>
          <w:rFonts w:ascii="Tahoma" w:cs="Tahoma" w:eastAsia="Tahoma" w:hAnsi="Tahoma"/>
          <w:b w:val="1"/>
          <w:bCs w:val="1"/>
          <w:sz w:val="22"/>
          <w:szCs w:val="22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2"/>
          <w:szCs w:val="22"/>
          <w:rtl w:val="0"/>
        </w:rPr>
        <w:t xml:space="preserve">Předmět</w:t>
      </w:r>
    </w:p>
    <w:p w:rsidR="00000000" w:rsidDel="00000000" w:rsidP="00000000" w:rsidRDefault="00000000" w:rsidRPr="00000000" w14:paraId="0000000A">
      <w:pPr>
        <w:spacing w:line="276" w:lineRule="auto"/>
        <w:jc w:val="both"/>
        <w:rPr>
          <w:rFonts w:ascii="Tahoma" w:cs="Tahoma" w:eastAsia="Tahoma" w:hAnsi="Tahom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20" w:line="276" w:lineRule="auto"/>
        <w:jc w:val="both"/>
        <w:rPr>
          <w:rFonts w:ascii="Tahoma" w:cs="Tahoma" w:eastAsia="Tahoma" w:hAnsi="Tahoma"/>
          <w:i w:val="1"/>
          <w:iCs w:val="1"/>
          <w:sz w:val="18"/>
          <w:szCs w:val="18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Předmětem této vyhlášky je stanovení výjimečných případů, při nichž je doba nočního klidu vymezena odlišně od zákona o některých přestupcích.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20" w:line="276" w:lineRule="auto"/>
        <w:jc w:val="both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76" w:lineRule="auto"/>
        <w:jc w:val="center"/>
        <w:rPr>
          <w:rFonts w:ascii="Tahoma" w:cs="Tahoma" w:eastAsia="Tahoma" w:hAnsi="Tahoma"/>
          <w:b w:val="1"/>
          <w:bCs w:val="1"/>
          <w:sz w:val="22"/>
          <w:szCs w:val="22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2"/>
          <w:szCs w:val="22"/>
          <w:rtl w:val="0"/>
        </w:rPr>
        <w:t xml:space="preserve">Čl. 2</w:t>
      </w:r>
    </w:p>
    <w:p w:rsidR="00000000" w:rsidDel="00000000" w:rsidP="00000000" w:rsidRDefault="00000000" w:rsidRPr="00000000" w14:paraId="0000000E">
      <w:pPr>
        <w:spacing w:line="276" w:lineRule="auto"/>
        <w:jc w:val="center"/>
        <w:rPr>
          <w:rFonts w:ascii="Tahoma" w:cs="Tahoma" w:eastAsia="Tahoma" w:hAnsi="Tahoma"/>
          <w:b w:val="1"/>
          <w:bCs w:val="1"/>
          <w:sz w:val="22"/>
          <w:szCs w:val="22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2"/>
          <w:szCs w:val="22"/>
          <w:rtl w:val="0"/>
        </w:rPr>
        <w:t xml:space="preserve">Doba nočního klidu</w:t>
      </w:r>
    </w:p>
    <w:p w:rsidR="00000000" w:rsidDel="00000000" w:rsidP="00000000" w:rsidRDefault="00000000" w:rsidRPr="00000000" w14:paraId="0000000F">
      <w:pPr>
        <w:spacing w:line="276" w:lineRule="auto"/>
        <w:jc w:val="center"/>
        <w:rPr>
          <w:rFonts w:ascii="Tahoma" w:cs="Tahoma" w:eastAsia="Tahoma" w:hAnsi="Tahom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20" w:line="276" w:lineRule="auto"/>
        <w:jc w:val="both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Dobou nočního klidu se rozumí doba od dvacáté druhé do šesté hodiny.</w:t>
      </w:r>
      <w:r w:rsidDel="00000000" w:rsidR="00000000" w:rsidRPr="00000000">
        <w:rPr>
          <w:rFonts w:ascii="Tahoma" w:cs="Tahoma" w:eastAsia="Tahoma" w:hAnsi="Tahoma"/>
          <w:sz w:val="20"/>
          <w:szCs w:val="20"/>
          <w:vertAlign w:val="superscript"/>
        </w:rPr>
        <w:footnoteReference w:customMarkFollows="0" w:id="0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20" w:line="276" w:lineRule="auto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76" w:lineRule="auto"/>
        <w:jc w:val="center"/>
        <w:rPr>
          <w:rFonts w:ascii="Tahoma" w:cs="Tahoma" w:eastAsia="Tahoma" w:hAnsi="Tahoma"/>
          <w:b w:val="1"/>
          <w:bCs w:val="1"/>
          <w:sz w:val="22"/>
          <w:szCs w:val="22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2"/>
          <w:szCs w:val="22"/>
          <w:rtl w:val="0"/>
        </w:rPr>
        <w:t xml:space="preserve">Čl. 3</w:t>
      </w:r>
    </w:p>
    <w:p w:rsidR="00000000" w:rsidDel="00000000" w:rsidP="00000000" w:rsidRDefault="00000000" w:rsidRPr="00000000" w14:paraId="00000013">
      <w:pPr>
        <w:spacing w:line="276" w:lineRule="auto"/>
        <w:jc w:val="center"/>
        <w:rPr>
          <w:rFonts w:ascii="Tahoma" w:cs="Tahoma" w:eastAsia="Tahoma" w:hAnsi="Tahoma"/>
          <w:b w:val="1"/>
          <w:bCs w:val="1"/>
          <w:sz w:val="22"/>
          <w:szCs w:val="22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2"/>
          <w:szCs w:val="22"/>
          <w:rtl w:val="0"/>
        </w:rPr>
        <w:t xml:space="preserve">Stanovení výjimečných případů, </w:t>
        <w:br w:type="textWrapping"/>
        <w:t xml:space="preserve">při nichž je doba nočního klidu vymezena odlišně od zákona </w:t>
      </w:r>
    </w:p>
    <w:p w:rsidR="00000000" w:rsidDel="00000000" w:rsidP="00000000" w:rsidRDefault="00000000" w:rsidRPr="00000000" w14:paraId="00000014">
      <w:pPr>
        <w:tabs>
          <w:tab w:val="left" w:leader="none" w:pos="284"/>
        </w:tabs>
        <w:spacing w:after="120" w:line="276" w:lineRule="auto"/>
        <w:jc w:val="both"/>
        <w:rPr>
          <w:rFonts w:ascii="Tahoma" w:cs="Tahoma" w:eastAsia="Tahoma" w:hAnsi="Tahoma"/>
          <w:i w:val="1"/>
          <w:iCs w:val="1"/>
          <w:color w:val="ed7d3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left"/>
        <w:rPr>
          <w:rFonts w:ascii="Tahoma" w:cs="Tahoma" w:eastAsia="Tahoma" w:hAnsi="Tahoma"/>
          <w:i w:val="0"/>
          <w:iCs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Doba nočního klidu nemusí být dodržována: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0" w:line="276" w:lineRule="auto"/>
        <w:ind w:left="927" w:right="0" w:hanging="360"/>
        <w:jc w:val="both"/>
        <w:rPr>
          <w:rFonts w:ascii="Tahoma" w:cs="Tahoma" w:eastAsia="Tahoma" w:hAnsi="Tahoma"/>
          <w:i w:val="0"/>
          <w:iCs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 noci z 31. prosince na 1. ledna z důvodu konání oslav příchodu nového roku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0" w:line="276" w:lineRule="auto"/>
        <w:ind w:left="927" w:right="0" w:hanging="360"/>
        <w:jc w:val="both"/>
        <w:rPr>
          <w:rFonts w:ascii="Tahoma" w:cs="Tahoma" w:eastAsia="Tahoma" w:hAnsi="Tahoma"/>
          <w:i w:val="0"/>
          <w:iCs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 noci z 30. dubna na 1. května z důvodu konání tradiční akce Pálení čarodějnic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</w:tabs>
        <w:spacing w:after="120" w:before="0" w:line="276" w:lineRule="auto"/>
        <w:ind w:left="567" w:right="0" w:hanging="567"/>
        <w:jc w:val="both"/>
        <w:rPr>
          <w:rFonts w:ascii="Tahoma" w:cs="Tahoma" w:eastAsia="Tahoma" w:hAnsi="Tahoma"/>
          <w:i w:val="0"/>
          <w:iCs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Doba nočního klidu se vymezuje od 02.00 do 06.00 hodin, a to v následujících případech: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0" w:line="276" w:lineRule="auto"/>
        <w:ind w:left="927" w:right="0" w:hanging="360"/>
        <w:jc w:val="both"/>
        <w:rPr>
          <w:rFonts w:ascii="Tahoma" w:cs="Tahoma" w:eastAsia="Tahoma" w:hAnsi="Tahoma"/>
          <w:i w:val="0"/>
          <w:iCs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z </w:t>
      </w:r>
      <w:r w:rsidDel="00000000" w:rsidR="00000000" w:rsidRPr="00000000">
        <w:rPr>
          <w:rFonts w:ascii="Tahoma" w:cs="Tahoma" w:eastAsia="Tahoma" w:hAnsi="Tahom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důvodu konání </w:t>
      </w: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akcí které pořádá místní Spolek v Krnsku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(Masopust, Josefská zábava, Svatojiřská zábava, Anenská zábava, Posvícenská zábava, Mikulášská zábava)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0" w:line="276" w:lineRule="auto"/>
        <w:ind w:left="927" w:right="0" w:hanging="360"/>
        <w:jc w:val="both"/>
        <w:rPr>
          <w:rFonts w:ascii="Tahoma" w:cs="Tahoma" w:eastAsia="Tahoma" w:hAnsi="Tahoma"/>
          <w:sz w:val="20"/>
          <w:szCs w:val="20"/>
          <w:u w:val="none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z důvodu konání akcí které pořádá obec Krnsko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(hudební festival Krnskofest, hudební festivaly spojené s oslavami výročí v obci, pouťové zábavy)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</w:tabs>
        <w:spacing w:after="240" w:before="0" w:line="276" w:lineRule="auto"/>
        <w:ind w:left="567" w:right="0" w:hanging="567"/>
        <w:jc w:val="both"/>
        <w:rPr>
          <w:rFonts w:ascii="Tahoma" w:cs="Tahoma" w:eastAsia="Tahoma" w:hAnsi="Tahoma"/>
          <w:i w:val="0"/>
          <w:iCs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Doba nočního klidu se na území katastrálního území Krnsko, vymezuje od 02.00 do 06.0</w:t>
      </w: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0</w:t>
      </w:r>
      <w:r w:rsidDel="00000000" w:rsidR="00000000" w:rsidRPr="00000000">
        <w:rPr>
          <w:rFonts w:ascii="Tahoma" w:cs="Tahoma" w:eastAsia="Tahoma" w:hAnsi="Tahom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hodin, a to v n</w:t>
      </w: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ě</w:t>
      </w:r>
      <w:r w:rsidDel="00000000" w:rsidR="00000000" w:rsidRPr="00000000">
        <w:rPr>
          <w:rFonts w:ascii="Tahoma" w:cs="Tahoma" w:eastAsia="Tahoma" w:hAnsi="Tahom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kterém srpnovém termínu (ze soboty na neděli),</w:t>
      </w: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 z </w:t>
      </w:r>
      <w:r w:rsidDel="00000000" w:rsidR="00000000" w:rsidRPr="00000000">
        <w:rPr>
          <w:rFonts w:ascii="Tahoma" w:cs="Tahoma" w:eastAsia="Tahoma" w:hAnsi="Tahom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důvodu konání tradiční hudební</w:t>
      </w: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ahoma" w:cs="Tahoma" w:eastAsia="Tahoma" w:hAnsi="Tahom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produkce kterou pořádá </w:t>
      </w:r>
      <w:r w:rsidDel="00000000" w:rsidR="00000000" w:rsidRPr="00000000"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Spolek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K Fests, z.s</w:t>
      </w: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, na louce u Jizery (mimo obecní zástavbu).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567" w:right="0" w:hanging="567"/>
        <w:jc w:val="both"/>
        <w:rPr>
          <w:rFonts w:ascii="Tahoma" w:cs="Tahoma" w:eastAsia="Tahoma" w:hAnsi="Tahoma"/>
          <w:i w:val="0"/>
          <w:iCs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Informace o konkrétním termínu konání akcí uvedených v odst. (2) </w:t>
      </w: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a</w:t>
      </w:r>
      <w:r w:rsidDel="00000000" w:rsidR="00000000" w:rsidRPr="00000000">
        <w:rPr>
          <w:rFonts w:ascii="Tahoma" w:cs="Tahoma" w:eastAsia="Tahoma" w:hAnsi="Tahom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(3) bude zveřejněna obecním úřadem formo</w:t>
      </w: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u pozvánky na akci </w:t>
      </w:r>
      <w:r w:rsidDel="00000000" w:rsidR="00000000" w:rsidRPr="00000000">
        <w:rPr>
          <w:rFonts w:ascii="Tahoma" w:cs="Tahoma" w:eastAsia="Tahoma" w:hAnsi="Tahom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 úřední desce, popřípadě na sociálních sítích nebo webu</w:t>
      </w: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 obce</w:t>
      </w:r>
      <w:r w:rsidDel="00000000" w:rsidR="00000000" w:rsidRPr="00000000">
        <w:rPr>
          <w:rFonts w:ascii="Tahoma" w:cs="Tahoma" w:eastAsia="Tahoma" w:hAnsi="Tahom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minimálně 5 </w:t>
      </w: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dní</w:t>
      </w:r>
      <w:r w:rsidDel="00000000" w:rsidR="00000000" w:rsidRPr="00000000">
        <w:rPr>
          <w:rFonts w:ascii="Tahoma" w:cs="Tahoma" w:eastAsia="Tahoma" w:hAnsi="Tahom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před datem konání.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tabs>
          <w:tab w:val="left" w:leader="none" w:pos="284"/>
        </w:tabs>
        <w:spacing w:after="120" w:line="276" w:lineRule="auto"/>
        <w:jc w:val="both"/>
        <w:rPr>
          <w:rFonts w:ascii="Tahoma" w:cs="Tahoma" w:eastAsia="Tahoma" w:hAnsi="Tahoma"/>
          <w:i w:val="1"/>
          <w:iCs w:val="1"/>
          <w:color w:val="ed7d3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1"/>
        <w:spacing w:line="276" w:lineRule="auto"/>
        <w:jc w:val="center"/>
        <w:rPr>
          <w:rFonts w:ascii="Tahoma" w:cs="Tahoma" w:eastAsia="Tahoma" w:hAnsi="Tahoma"/>
          <w:b w:val="1"/>
          <w:bCs w:val="1"/>
          <w:sz w:val="22"/>
          <w:szCs w:val="22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2"/>
          <w:szCs w:val="22"/>
          <w:rtl w:val="0"/>
        </w:rPr>
        <w:t xml:space="preserve">Čl. 4</w:t>
      </w:r>
    </w:p>
    <w:p w:rsidR="00000000" w:rsidDel="00000000" w:rsidP="00000000" w:rsidRDefault="00000000" w:rsidRPr="00000000" w14:paraId="0000001F">
      <w:pPr>
        <w:keepNext w:val="1"/>
        <w:spacing w:line="276" w:lineRule="auto"/>
        <w:jc w:val="center"/>
        <w:rPr>
          <w:rFonts w:ascii="Tahoma" w:cs="Tahoma" w:eastAsia="Tahoma" w:hAnsi="Tahoma"/>
          <w:b w:val="1"/>
          <w:bCs w:val="1"/>
          <w:sz w:val="22"/>
          <w:szCs w:val="22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2"/>
          <w:szCs w:val="22"/>
          <w:rtl w:val="0"/>
        </w:rPr>
        <w:t xml:space="preserve">Zrušovací ustanovení</w:t>
      </w:r>
    </w:p>
    <w:p w:rsidR="00000000" w:rsidDel="00000000" w:rsidP="00000000" w:rsidRDefault="00000000" w:rsidRPr="00000000" w14:paraId="00000020">
      <w:pPr>
        <w:spacing w:before="120" w:line="276" w:lineRule="auto"/>
        <w:jc w:val="both"/>
        <w:rPr>
          <w:rFonts w:ascii="Tahoma" w:cs="Tahoma" w:eastAsia="Tahoma" w:hAnsi="Tahoma"/>
          <w:sz w:val="22"/>
          <w:szCs w:val="22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Zrušuje se obecně závazná vyhláška č. 2/2016 Obecně závazná vyhláška o nočním klidu,</w:t>
      </w:r>
      <w:r w:rsidDel="00000000" w:rsidR="00000000" w:rsidRPr="00000000">
        <w:rPr>
          <w:rFonts w:ascii="Tahoma" w:cs="Tahoma" w:eastAsia="Tahoma" w:hAnsi="Tahoma"/>
          <w:i w:val="1"/>
          <w:iCs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ze dne 19. 12. 2016</w:t>
      </w:r>
      <w:r w:rsidDel="00000000" w:rsidR="00000000" w:rsidRPr="00000000">
        <w:rPr>
          <w:rFonts w:ascii="Tahoma" w:cs="Tahoma" w:eastAsia="Tahoma" w:hAnsi="Tahoma"/>
          <w:i w:val="1"/>
          <w:iCs w:val="1"/>
          <w:sz w:val="20"/>
          <w:szCs w:val="20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76" w:lineRule="auto"/>
        <w:rPr>
          <w:rFonts w:ascii="Tahoma" w:cs="Tahoma" w:eastAsia="Tahoma" w:hAnsi="Tahom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1"/>
        <w:spacing w:line="276" w:lineRule="auto"/>
        <w:jc w:val="center"/>
        <w:rPr>
          <w:rFonts w:ascii="Tahoma" w:cs="Tahoma" w:eastAsia="Tahoma" w:hAnsi="Tahoma"/>
          <w:b w:val="1"/>
          <w:bCs w:val="1"/>
          <w:sz w:val="22"/>
          <w:szCs w:val="22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2"/>
          <w:szCs w:val="22"/>
          <w:rtl w:val="0"/>
        </w:rPr>
        <w:t xml:space="preserve">Čl. 5</w:t>
      </w:r>
    </w:p>
    <w:p w:rsidR="00000000" w:rsidDel="00000000" w:rsidP="00000000" w:rsidRDefault="00000000" w:rsidRPr="00000000" w14:paraId="00000023">
      <w:pPr>
        <w:keepNext w:val="1"/>
        <w:spacing w:line="276" w:lineRule="auto"/>
        <w:jc w:val="center"/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2"/>
          <w:szCs w:val="22"/>
          <w:rtl w:val="0"/>
        </w:rPr>
        <w:t xml:space="preserve">Účinnost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before="120" w:line="276" w:lineRule="auto"/>
        <w:jc w:val="both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Tato vyhláška nabývá účinnosti dnem 1. července 2026.</w:t>
      </w:r>
    </w:p>
    <w:p w:rsidR="00000000" w:rsidDel="00000000" w:rsidP="00000000" w:rsidRDefault="00000000" w:rsidRPr="00000000" w14:paraId="00000025">
      <w:pPr>
        <w:spacing w:before="120" w:line="288" w:lineRule="auto"/>
        <w:jc w:val="both"/>
        <w:rPr>
          <w:rFonts w:ascii="Tahoma" w:cs="Tahoma" w:eastAsia="Tahoma" w:hAnsi="Tahom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before="120" w:line="288" w:lineRule="auto"/>
        <w:jc w:val="both"/>
        <w:rPr>
          <w:rFonts w:ascii="Tahoma" w:cs="Tahoma" w:eastAsia="Tahoma" w:hAnsi="Tahom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ind w:firstLine="708"/>
        <w:rPr>
          <w:rFonts w:ascii="Tahoma" w:cs="Tahoma" w:eastAsia="Tahoma" w:hAnsi="Tahoma"/>
          <w:i w:val="1"/>
          <w:iCs w:val="1"/>
          <w:sz w:val="22"/>
          <w:szCs w:val="22"/>
        </w:rPr>
      </w:pPr>
      <w:r w:rsidDel="00000000" w:rsidR="00000000" w:rsidRPr="00000000">
        <w:rPr>
          <w:rFonts w:ascii="Tahoma" w:cs="Tahoma" w:eastAsia="Tahoma" w:hAnsi="Tahoma"/>
          <w:i w:val="1"/>
          <w:iCs w:val="1"/>
          <w:sz w:val="22"/>
          <w:szCs w:val="22"/>
          <w:rtl w:val="0"/>
        </w:rPr>
        <w:tab/>
        <w:tab/>
        <w:tab/>
        <w:tab/>
        <w:tab/>
        <w:tab/>
        <w:tab/>
      </w:r>
    </w:p>
    <w:p w:rsidR="00000000" w:rsidDel="00000000" w:rsidP="00000000" w:rsidRDefault="00000000" w:rsidRPr="00000000" w14:paraId="00000028">
      <w:pPr>
        <w:ind w:left="708" w:firstLine="0"/>
        <w:rPr>
          <w:rFonts w:ascii="Tahoma" w:cs="Tahoma" w:eastAsia="Tahoma" w:hAnsi="Tahoma"/>
          <w:sz w:val="22"/>
          <w:szCs w:val="22"/>
        </w:rPr>
      </w:pPr>
      <w:r w:rsidDel="00000000" w:rsidR="00000000" w:rsidRPr="00000000">
        <w:rPr>
          <w:rFonts w:ascii="Tahoma" w:cs="Tahoma" w:eastAsia="Tahoma" w:hAnsi="Tahoma"/>
          <w:sz w:val="22"/>
          <w:szCs w:val="22"/>
          <w:rtl w:val="0"/>
        </w:rPr>
        <w:t xml:space="preserve">………………...……………….</w:t>
        <w:tab/>
        <w:tab/>
        <w:tab/>
        <w:t xml:space="preserve">………………...……………….</w:t>
      </w:r>
    </w:p>
    <w:p w:rsidR="00000000" w:rsidDel="00000000" w:rsidP="00000000" w:rsidRDefault="00000000" w:rsidRPr="00000000" w14:paraId="00000029">
      <w:pPr>
        <w:ind w:firstLine="708"/>
        <w:rPr>
          <w:rFonts w:ascii="Tahoma" w:cs="Tahoma" w:eastAsia="Tahoma" w:hAnsi="Tahoma"/>
          <w:sz w:val="20"/>
          <w:szCs w:val="20"/>
        </w:rPr>
      </w:pPr>
      <w:bookmarkStart w:colFirst="0" w:colLast="0" w:name="_30j0zll" w:id="1"/>
      <w:bookmarkEnd w:id="1"/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František Honc</w:t>
        <w:tab/>
        <w:tab/>
        <w:tab/>
        <w:tab/>
        <w:tab/>
        <w:t xml:space="preserve">Libor Šotek</w:t>
      </w:r>
    </w:p>
    <w:p w:rsidR="00000000" w:rsidDel="00000000" w:rsidP="00000000" w:rsidRDefault="00000000" w:rsidRPr="00000000" w14:paraId="0000002A">
      <w:pPr>
        <w:ind w:left="708" w:firstLine="0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starosta</w:t>
        <w:tab/>
        <w:tab/>
        <w:tab/>
        <w:tab/>
        <w:tab/>
        <w:tab/>
        <w:t xml:space="preserve">místostarosta</w:t>
      </w:r>
    </w:p>
    <w:p w:rsidR="00000000" w:rsidDel="00000000" w:rsidP="00000000" w:rsidRDefault="00000000" w:rsidRPr="00000000" w14:paraId="0000002B">
      <w:pPr>
        <w:tabs>
          <w:tab w:val="left" w:leader="none" w:pos="1080"/>
          <w:tab w:val="left" w:leader="none" w:pos="7020"/>
        </w:tabs>
        <w:spacing w:line="288" w:lineRule="auto"/>
        <w:rPr>
          <w:rFonts w:ascii="Tahoma" w:cs="Tahoma" w:eastAsia="Tahoma" w:hAnsi="Tahom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80"/>
          <w:tab w:val="left" w:leader="none" w:pos="7020"/>
        </w:tabs>
        <w:spacing w:after="0" w:before="0" w:line="276" w:lineRule="auto"/>
        <w:ind w:left="0" w:right="0" w:firstLine="0"/>
        <w:jc w:val="left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tl w:val="0"/>
        </w:rPr>
      </w:r>
    </w:p>
    <w:sectPr>
      <w:footerReference r:id="rId7" w:type="default"/>
      <w:pgSz w:h="16838" w:w="11906" w:orient="portrait"/>
      <w:pgMar w:bottom="2693" w:top="1418" w:left="1418" w:right="1418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  <w:font w:name="Calibri"/>
  <w:font w:name="Tahoma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both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§ 5 odst. 7 zákona o některých přestupcích.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)"/>
      <w:lvlJc w:val="left"/>
      <w:pPr>
        <w:ind w:left="927" w:hanging="360"/>
      </w:pPr>
      <w:rPr/>
    </w:lvl>
    <w:lvl w:ilvl="1">
      <w:start w:val="1"/>
      <w:numFmt w:val="lowerLetter"/>
      <w:lvlText w:val="%2."/>
      <w:lvlJc w:val="left"/>
      <w:pPr>
        <w:ind w:left="1647" w:hanging="360"/>
      </w:pPr>
      <w:rPr/>
    </w:lvl>
    <w:lvl w:ilvl="2">
      <w:start w:val="1"/>
      <w:numFmt w:val="lowerRoman"/>
      <w:lvlText w:val="%3."/>
      <w:lvlJc w:val="right"/>
      <w:pPr>
        <w:ind w:left="2367" w:hanging="180"/>
      </w:pPr>
      <w:rPr/>
    </w:lvl>
    <w:lvl w:ilvl="3">
      <w:start w:val="1"/>
      <w:numFmt w:val="decimal"/>
      <w:lvlText w:val="%4."/>
      <w:lvlJc w:val="left"/>
      <w:pPr>
        <w:ind w:left="3087" w:hanging="360"/>
      </w:pPr>
      <w:rPr/>
    </w:lvl>
    <w:lvl w:ilvl="4">
      <w:start w:val="1"/>
      <w:numFmt w:val="lowerLetter"/>
      <w:lvlText w:val="%5."/>
      <w:lvlJc w:val="left"/>
      <w:pPr>
        <w:ind w:left="3807" w:hanging="360"/>
      </w:pPr>
      <w:rPr/>
    </w:lvl>
    <w:lvl w:ilvl="5">
      <w:start w:val="1"/>
      <w:numFmt w:val="lowerRoman"/>
      <w:lvlText w:val="%6."/>
      <w:lvlJc w:val="right"/>
      <w:pPr>
        <w:ind w:left="4527" w:hanging="180"/>
      </w:pPr>
      <w:rPr/>
    </w:lvl>
    <w:lvl w:ilvl="6">
      <w:start w:val="1"/>
      <w:numFmt w:val="decimal"/>
      <w:lvlText w:val="%7."/>
      <w:lvlJc w:val="left"/>
      <w:pPr>
        <w:ind w:left="5247" w:hanging="360"/>
      </w:pPr>
      <w:rPr/>
    </w:lvl>
    <w:lvl w:ilvl="7">
      <w:start w:val="1"/>
      <w:numFmt w:val="lowerLetter"/>
      <w:lvlText w:val="%8."/>
      <w:lvlJc w:val="left"/>
      <w:pPr>
        <w:ind w:left="5967" w:hanging="360"/>
      </w:pPr>
      <w:rPr/>
    </w:lvl>
    <w:lvl w:ilvl="8">
      <w:start w:val="1"/>
      <w:numFmt w:val="lowerRoman"/>
      <w:lvlText w:val="%9."/>
      <w:lvlJc w:val="right"/>
      <w:pPr>
        <w:ind w:left="6687" w:hanging="180"/>
      </w:pPr>
      <w:rPr/>
    </w:lvl>
  </w:abstractNum>
  <w:abstractNum w:abstractNumId="2">
    <w:lvl w:ilvl="0">
      <w:start w:val="1"/>
      <w:numFmt w:val="lowerLetter"/>
      <w:lvlText w:val="%1)"/>
      <w:lvlJc w:val="left"/>
      <w:pPr>
        <w:ind w:left="927" w:hanging="360"/>
      </w:pPr>
      <w:rPr/>
    </w:lvl>
    <w:lvl w:ilvl="1">
      <w:start w:val="1"/>
      <w:numFmt w:val="lowerLetter"/>
      <w:lvlText w:val="%2."/>
      <w:lvlJc w:val="left"/>
      <w:pPr>
        <w:ind w:left="1647" w:hanging="360"/>
      </w:pPr>
      <w:rPr/>
    </w:lvl>
    <w:lvl w:ilvl="2">
      <w:start w:val="1"/>
      <w:numFmt w:val="lowerRoman"/>
      <w:lvlText w:val="%3."/>
      <w:lvlJc w:val="right"/>
      <w:pPr>
        <w:ind w:left="2367" w:hanging="180"/>
      </w:pPr>
      <w:rPr/>
    </w:lvl>
    <w:lvl w:ilvl="3">
      <w:start w:val="1"/>
      <w:numFmt w:val="decimal"/>
      <w:lvlText w:val="%4."/>
      <w:lvlJc w:val="left"/>
      <w:pPr>
        <w:ind w:left="3087" w:hanging="360"/>
      </w:pPr>
      <w:rPr/>
    </w:lvl>
    <w:lvl w:ilvl="4">
      <w:start w:val="1"/>
      <w:numFmt w:val="lowerLetter"/>
      <w:lvlText w:val="%5."/>
      <w:lvlJc w:val="left"/>
      <w:pPr>
        <w:ind w:left="3807" w:hanging="360"/>
      </w:pPr>
      <w:rPr/>
    </w:lvl>
    <w:lvl w:ilvl="5">
      <w:start w:val="1"/>
      <w:numFmt w:val="lowerRoman"/>
      <w:lvlText w:val="%6."/>
      <w:lvlJc w:val="right"/>
      <w:pPr>
        <w:ind w:left="4527" w:hanging="180"/>
      </w:pPr>
      <w:rPr/>
    </w:lvl>
    <w:lvl w:ilvl="6">
      <w:start w:val="1"/>
      <w:numFmt w:val="decimal"/>
      <w:lvlText w:val="%7."/>
      <w:lvlJc w:val="left"/>
      <w:pPr>
        <w:ind w:left="5247" w:hanging="360"/>
      </w:pPr>
      <w:rPr/>
    </w:lvl>
    <w:lvl w:ilvl="7">
      <w:start w:val="1"/>
      <w:numFmt w:val="lowerLetter"/>
      <w:lvlText w:val="%8."/>
      <w:lvlJc w:val="left"/>
      <w:pPr>
        <w:ind w:left="5967" w:hanging="360"/>
      </w:pPr>
      <w:rPr/>
    </w:lvl>
    <w:lvl w:ilvl="8">
      <w:start w:val="1"/>
      <w:numFmt w:val="lowerRoman"/>
      <w:lvlText w:val="%9."/>
      <w:lvlJc w:val="right"/>
      <w:pPr>
        <w:ind w:left="6687" w:hanging="180"/>
      </w:pPr>
      <w:rPr/>
    </w:lvl>
  </w:abstractNum>
  <w:abstractNum w:abstractNumId="3">
    <w:lvl w:ilvl="0">
      <w:start w:val="1"/>
      <w:numFmt w:val="decimal"/>
      <w:lvlText w:val="(%1)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c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jc w:val="both"/>
    </w:pPr>
    <w:rPr>
      <w:u w:val="singl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