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5DF0" w14:textId="77777777" w:rsidR="001860AA" w:rsidRPr="001860AA" w:rsidRDefault="001860AA" w:rsidP="00186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AF91C8" w14:textId="77777777" w:rsidR="001860AA" w:rsidRPr="001860AA" w:rsidRDefault="001860AA" w:rsidP="001860A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Loučná nad Desnou</w:t>
      </w:r>
    </w:p>
    <w:p w14:paraId="48789E71" w14:textId="77777777" w:rsidR="001860AA" w:rsidRPr="001860AA" w:rsidRDefault="001860AA" w:rsidP="001860A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Loučná nad Desnou</w:t>
      </w:r>
    </w:p>
    <w:p w14:paraId="56632765" w14:textId="77777777" w:rsidR="001860AA" w:rsidRPr="001860AA" w:rsidRDefault="001860AA" w:rsidP="001860A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Loučná nad Desnou č. 3/2021,</w:t>
      </w:r>
    </w:p>
    <w:p w14:paraId="34EB3F6F" w14:textId="77777777" w:rsidR="001860AA" w:rsidRPr="001860AA" w:rsidRDefault="001860AA" w:rsidP="001860AA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kterou se </w:t>
      </w:r>
      <w:r w:rsidRPr="001860AA">
        <w:rPr>
          <w:rFonts w:ascii="Arial" w:eastAsia="Arial" w:hAnsi="Arial" w:cs="Arial"/>
          <w:b/>
          <w:kern w:val="0"/>
          <w:lang w:eastAsia="ar-SA"/>
          <w14:ligatures w14:val="none"/>
        </w:rPr>
        <w:t>stanovují pravidla pro pohyb psů na veřejném prostranství</w:t>
      </w:r>
      <w:r w:rsidRPr="001860A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Pr="001860AA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  <w:t>v obci Loučná nad Desnou.</w:t>
      </w:r>
    </w:p>
    <w:p w14:paraId="3FED54D3" w14:textId="77777777" w:rsidR="001860AA" w:rsidRPr="001860AA" w:rsidRDefault="001860AA" w:rsidP="001860AA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EDBF1C8" w14:textId="77777777" w:rsidR="001860AA" w:rsidRPr="001860AA" w:rsidRDefault="001860AA" w:rsidP="001860AA">
      <w:pPr>
        <w:widowControl w:val="0"/>
        <w:autoSpaceDE w:val="0"/>
        <w:spacing w:after="12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Zastupitelstvo obce Loučná nad Desnou se na svém zasedání</w:t>
      </w:r>
      <w:r w:rsidRPr="001860A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Pr="001860AA">
        <w:rPr>
          <w:rFonts w:ascii="Arial" w:eastAsia="Arial" w:hAnsi="Arial" w:cs="Arial"/>
          <w:kern w:val="0"/>
          <w:lang w:eastAsia="ar-SA"/>
          <w14:ligatures w14:val="none"/>
        </w:rPr>
        <w:t>dne 25.2.2021 usnesením č. 674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26D731F1" w14:textId="77777777" w:rsidR="001860AA" w:rsidRPr="001860AA" w:rsidRDefault="001860AA" w:rsidP="001860AA">
      <w:pPr>
        <w:keepNext/>
        <w:keepLines/>
        <w:spacing w:before="480" w:after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28A3AB71" w14:textId="77777777" w:rsidR="001860AA" w:rsidRPr="001860AA" w:rsidRDefault="001860AA" w:rsidP="001860AA">
      <w:pPr>
        <w:widowControl w:val="0"/>
        <w:autoSpaceDE w:val="0"/>
        <w:spacing w:after="120" w:line="276" w:lineRule="auto"/>
        <w:jc w:val="center"/>
        <w:rPr>
          <w:rFonts w:ascii="Arial" w:eastAsia="Arial" w:hAnsi="Arial" w:cs="Arial"/>
          <w:b/>
          <w:bCs/>
          <w:kern w:val="0"/>
          <w:lang w:eastAsia="ar-SA"/>
          <w14:ligatures w14:val="none"/>
        </w:rPr>
      </w:pPr>
      <w:r w:rsidRPr="001860AA">
        <w:rPr>
          <w:rFonts w:ascii="Arial" w:eastAsia="Arial" w:hAnsi="Arial" w:cs="Arial"/>
          <w:b/>
          <w:bCs/>
          <w:kern w:val="0"/>
          <w:lang w:eastAsia="ar-SA"/>
          <w14:ligatures w14:val="none"/>
        </w:rPr>
        <w:t>Pravidla pro pohyb psů na veřejném prostranství</w:t>
      </w:r>
    </w:p>
    <w:p w14:paraId="29F4CD11" w14:textId="77777777" w:rsidR="001860AA" w:rsidRPr="001860AA" w:rsidRDefault="001860AA" w:rsidP="001860AA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Arial" w:eastAsia="Calibri" w:hAnsi="Arial" w:cs="Arial"/>
          <w:iCs/>
          <w:kern w:val="0"/>
          <w:vertAlign w:val="superscript"/>
          <w:lang w:eastAsia="ar-SA"/>
          <w14:ligatures w14:val="none"/>
        </w:rPr>
      </w:pP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>Stanovují se následující pravidla pro pohyb psů na veřejném prostranství v obci</w:t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footnoteReference w:id="1"/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t>)</w:t>
      </w: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>:</w:t>
      </w:r>
    </w:p>
    <w:p w14:paraId="2F6BD5CD" w14:textId="77777777" w:rsidR="001860AA" w:rsidRPr="001860AA" w:rsidRDefault="001860AA" w:rsidP="001860AA">
      <w:pPr>
        <w:widowControl w:val="0"/>
        <w:numPr>
          <w:ilvl w:val="1"/>
          <w:numId w:val="1"/>
        </w:numPr>
        <w:spacing w:after="120" w:line="276" w:lineRule="auto"/>
        <w:ind w:left="851"/>
        <w:contextualSpacing/>
        <w:jc w:val="both"/>
        <w:rPr>
          <w:rFonts w:ascii="Arial" w:eastAsia="Calibri" w:hAnsi="Arial" w:cs="Arial"/>
          <w:iCs/>
          <w:kern w:val="0"/>
          <w:lang w:eastAsia="ar-SA"/>
          <w14:ligatures w14:val="none"/>
        </w:rPr>
      </w:pP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 xml:space="preserve">na </w:t>
      </w:r>
      <w:r w:rsidRPr="001860AA">
        <w:rPr>
          <w:rFonts w:ascii="Arial" w:eastAsia="Calibri" w:hAnsi="Arial" w:cs="Arial"/>
          <w:b/>
          <w:iCs/>
          <w:kern w:val="0"/>
          <w:lang w:eastAsia="ar-SA"/>
          <w14:ligatures w14:val="none"/>
        </w:rPr>
        <w:t>všech veřejných prostranstvích</w:t>
      </w: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 xml:space="preserve"> v obci je možný pohyb psů pouze na vodítku.</w:t>
      </w:r>
    </w:p>
    <w:p w14:paraId="56F5DE08" w14:textId="77777777" w:rsidR="001860AA" w:rsidRPr="001860AA" w:rsidRDefault="001860AA" w:rsidP="001860AA">
      <w:pPr>
        <w:widowControl w:val="0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Arial" w:eastAsia="Calibri" w:hAnsi="Arial" w:cs="Arial"/>
          <w:iCs/>
          <w:kern w:val="0"/>
          <w:lang w:eastAsia="ar-SA"/>
          <w14:ligatures w14:val="none"/>
        </w:rPr>
      </w:pP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 xml:space="preserve">Splnění povinností stanovených v odst. 1 zajišťuje fyzická osoba, která má psa na veřejném prostranství pod kontrolou či dohledem </w:t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footnoteReference w:id="2"/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t>)</w:t>
      </w: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>.</w:t>
      </w:r>
    </w:p>
    <w:p w14:paraId="3153BA77" w14:textId="77777777" w:rsidR="001860AA" w:rsidRPr="001860AA" w:rsidRDefault="001860AA" w:rsidP="001860AA">
      <w:pPr>
        <w:widowControl w:val="0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Arial" w:eastAsia="Calibri" w:hAnsi="Arial" w:cs="Arial"/>
          <w:iCs/>
          <w:kern w:val="0"/>
          <w:lang w:eastAsia="ar-SA"/>
          <w14:ligatures w14:val="none"/>
        </w:rPr>
      </w:pPr>
      <w:r w:rsidRPr="001860AA">
        <w:rPr>
          <w:rFonts w:ascii="Arial" w:eastAsia="Calibri" w:hAnsi="Arial" w:cs="Arial"/>
          <w:kern w:val="0"/>
          <w14:ligatures w14:val="none"/>
        </w:rPr>
        <w:t xml:space="preserve">Pravidlo stanovené v odst. 1 </w:t>
      </w:r>
      <w:r w:rsidRPr="001860AA">
        <w:rPr>
          <w:rFonts w:ascii="Arial" w:eastAsia="Calibri" w:hAnsi="Arial" w:cs="Arial"/>
          <w:kern w:val="0"/>
          <w:lang w:eastAsia="ar-SA"/>
          <w14:ligatures w14:val="none"/>
        </w:rPr>
        <w:t>se nevztahuje na psy při jejich použití dle zvláštních předpisů</w:t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footnoteReference w:id="3"/>
      </w:r>
      <w:r w:rsidRPr="001860AA">
        <w:rPr>
          <w:rFonts w:ascii="Arial" w:eastAsia="Calibri" w:hAnsi="Arial" w:cs="Arial"/>
          <w:kern w:val="0"/>
          <w:vertAlign w:val="superscript"/>
          <w:lang w:eastAsia="ar-SA"/>
          <w14:ligatures w14:val="none"/>
        </w:rPr>
        <w:t>)</w:t>
      </w:r>
      <w:r w:rsidRPr="001860AA">
        <w:rPr>
          <w:rFonts w:ascii="Arial" w:eastAsia="Calibri" w:hAnsi="Arial" w:cs="Arial"/>
          <w:kern w:val="0"/>
          <w:lang w:eastAsia="ar-SA"/>
          <w14:ligatures w14:val="none"/>
        </w:rPr>
        <w:t xml:space="preserve">. </w:t>
      </w:r>
    </w:p>
    <w:p w14:paraId="74252DBC" w14:textId="77777777" w:rsidR="001860AA" w:rsidRPr="001860AA" w:rsidRDefault="001860AA" w:rsidP="001860AA">
      <w:pPr>
        <w:keepNext/>
        <w:keepLines/>
        <w:spacing w:before="480" w:after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51588294" w14:textId="77777777" w:rsidR="001860AA" w:rsidRPr="001860AA" w:rsidRDefault="001860AA" w:rsidP="001860A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lang w:eastAsia="cs-CZ"/>
          <w14:ligatures w14:val="none"/>
        </w:rPr>
        <w:t>Vymezení prostor pro volné pobíhání psů</w:t>
      </w:r>
    </w:p>
    <w:p w14:paraId="4B963637" w14:textId="77777777" w:rsidR="001860AA" w:rsidRPr="001860AA" w:rsidRDefault="001860AA" w:rsidP="001860AA">
      <w:pPr>
        <w:widowControl w:val="0"/>
        <w:spacing w:after="120" w:line="276" w:lineRule="auto"/>
        <w:ind w:left="721"/>
        <w:contextualSpacing/>
        <w:jc w:val="both"/>
        <w:rPr>
          <w:rFonts w:ascii="Arial" w:eastAsia="Calibri" w:hAnsi="Arial" w:cs="Arial"/>
          <w:iCs/>
          <w:noProof/>
          <w:kern w:val="0"/>
          <w14:ligatures w14:val="none"/>
        </w:rPr>
      </w:pPr>
    </w:p>
    <w:p w14:paraId="5CAABCA3" w14:textId="77777777" w:rsidR="001860AA" w:rsidRPr="001860AA" w:rsidRDefault="001860AA" w:rsidP="001860AA">
      <w:pPr>
        <w:widowControl w:val="0"/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Arial" w:eastAsia="Calibri" w:hAnsi="Arial" w:cs="Arial"/>
          <w:iCs/>
          <w:kern w:val="0"/>
          <w:lang w:eastAsia="ar-SA"/>
          <w14:ligatures w14:val="none"/>
        </w:rPr>
      </w:pP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>Pro volné pobíhání psů, které je možné pouze pod neustálým dohledem a přímým vlivem fyzické osoby doprovázející psa, se vymezují prostory uvedené v příloze č. 1 této obecně závazné vyhlášky.</w:t>
      </w:r>
    </w:p>
    <w:p w14:paraId="1D139F32" w14:textId="77777777" w:rsidR="001860AA" w:rsidRPr="001860AA" w:rsidRDefault="001860AA" w:rsidP="001860AA">
      <w:pPr>
        <w:widowControl w:val="0"/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Arial" w:eastAsia="Calibri" w:hAnsi="Arial" w:cs="Arial"/>
          <w:iCs/>
          <w:kern w:val="0"/>
          <w:lang w:eastAsia="ar-SA"/>
          <w14:ligatures w14:val="none"/>
        </w:rPr>
      </w:pPr>
      <w:r w:rsidRPr="001860AA">
        <w:rPr>
          <w:rFonts w:ascii="Arial" w:eastAsia="Calibri" w:hAnsi="Arial" w:cs="Arial"/>
          <w:iCs/>
          <w:kern w:val="0"/>
          <w:lang w:eastAsia="ar-SA"/>
          <w14:ligatures w14:val="none"/>
        </w:rPr>
        <w:t>Prostory dle odst. 1 jsou pro zvýšení právní jistoty osob osazeny nápisem „Místo pro volný pohyb psů“.</w:t>
      </w:r>
    </w:p>
    <w:p w14:paraId="14CEFCCF" w14:textId="77777777" w:rsidR="001860AA" w:rsidRPr="001860AA" w:rsidRDefault="001860AA" w:rsidP="001860AA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3C55B27" w14:textId="77777777" w:rsidR="001860AA" w:rsidRPr="001860AA" w:rsidRDefault="001860AA" w:rsidP="001860AA">
      <w:pPr>
        <w:keepNext/>
        <w:keepLines/>
        <w:spacing w:before="480" w:after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lastRenderedPageBreak/>
        <w:t>Čl. 3</w:t>
      </w:r>
    </w:p>
    <w:p w14:paraId="2546CBB9" w14:textId="77777777" w:rsidR="001860AA" w:rsidRPr="001860AA" w:rsidRDefault="001860AA" w:rsidP="001860AA">
      <w:pPr>
        <w:keepNext/>
        <w:keepLines/>
        <w:spacing w:before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Zákaz vstupu se psy</w:t>
      </w:r>
    </w:p>
    <w:p w14:paraId="280248E8" w14:textId="77777777" w:rsidR="001860AA" w:rsidRPr="001860AA" w:rsidRDefault="001860AA" w:rsidP="001860AA">
      <w:pPr>
        <w:keepNext/>
        <w:keepLines/>
        <w:spacing w:before="480" w:after="60" w:line="276" w:lineRule="auto"/>
        <w:ind w:left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 xml:space="preserve">Z důvodu ochrany zdraví a života dětí se zakazuje vstup se psy do zámeckého parku a na všechna veřejná sportoviště a hřiště, </w:t>
      </w:r>
      <w:r w:rsidRPr="001860AA">
        <w:rPr>
          <w:rFonts w:ascii="Arial" w:eastAsia="Times New Roman" w:hAnsi="Arial" w:cs="Arial"/>
          <w:iCs/>
          <w:kern w:val="0"/>
          <w:lang w:eastAsia="ar-SA"/>
          <w14:ligatures w14:val="none"/>
        </w:rPr>
        <w:t>tyto prostory jsou konkrétně vymezeny v příloze č. 2 této obecně závazné vyhlášky.</w:t>
      </w:r>
    </w:p>
    <w:p w14:paraId="7AB3B7CE" w14:textId="77777777" w:rsidR="001860AA" w:rsidRPr="001860AA" w:rsidRDefault="001860AA" w:rsidP="001860AA">
      <w:pPr>
        <w:keepNext/>
        <w:keepLines/>
        <w:spacing w:before="480" w:after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4</w:t>
      </w:r>
    </w:p>
    <w:p w14:paraId="5B9F5DA2" w14:textId="77777777" w:rsidR="001860AA" w:rsidRPr="001860AA" w:rsidRDefault="001860AA" w:rsidP="001860AA">
      <w:pPr>
        <w:keepNext/>
        <w:keepLines/>
        <w:spacing w:before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0BD7FD2D" w14:textId="77777777" w:rsidR="001860AA" w:rsidRPr="001860AA" w:rsidRDefault="001860AA" w:rsidP="001860A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 2/2005, kterou se upravují pravidla pro pohyb psů na veřejném prostranství a vymezují prostory pro volné pobíhání psů, schválena zastupitelstvem dne 29.8.2005, číslo usnesení 512.</w:t>
      </w:r>
    </w:p>
    <w:p w14:paraId="78185B58" w14:textId="77777777" w:rsidR="001860AA" w:rsidRPr="001860AA" w:rsidRDefault="001860AA" w:rsidP="001860AA">
      <w:pPr>
        <w:tabs>
          <w:tab w:val="left" w:pos="3780"/>
        </w:tabs>
        <w:spacing w:after="0" w:line="276" w:lineRule="auto"/>
        <w:ind w:left="567"/>
        <w:jc w:val="both"/>
        <w:rPr>
          <w:rFonts w:ascii="Arial" w:eastAsia="Times New Roman" w:hAnsi="Arial" w:cs="Arial"/>
          <w:i/>
          <w:color w:val="0070C0"/>
          <w:kern w:val="0"/>
          <w:sz w:val="20"/>
          <w:szCs w:val="20"/>
          <w:u w:val="single"/>
          <w:lang w:eastAsia="cs-CZ"/>
          <w14:ligatures w14:val="none"/>
        </w:rPr>
      </w:pPr>
    </w:p>
    <w:p w14:paraId="5975416B" w14:textId="77777777" w:rsidR="001860AA" w:rsidRPr="001860AA" w:rsidRDefault="001860AA" w:rsidP="001860AA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5</w:t>
      </w:r>
    </w:p>
    <w:p w14:paraId="025B88DB" w14:textId="77777777" w:rsidR="001860AA" w:rsidRPr="001860AA" w:rsidRDefault="001860AA" w:rsidP="001860A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0C9DEB04" w14:textId="77777777" w:rsidR="001860AA" w:rsidRPr="001860AA" w:rsidRDefault="001860AA" w:rsidP="001860AA">
      <w:pPr>
        <w:widowControl w:val="0"/>
        <w:spacing w:after="0" w:line="276" w:lineRule="auto"/>
        <w:ind w:firstLine="708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noProof/>
          <w:kern w:val="0"/>
          <w:lang w:eastAsia="cs-CZ"/>
          <w14:ligatures w14:val="none"/>
        </w:rPr>
        <w:t>Tato obecně závazná vyhláška nabývá účinnosti 1.4.2021.</w:t>
      </w:r>
    </w:p>
    <w:p w14:paraId="214DA770" w14:textId="77777777" w:rsidR="001860AA" w:rsidRPr="001860AA" w:rsidRDefault="001860AA" w:rsidP="001860AA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1D39E3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6B428B9F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2F3464C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9DCD568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27F3E41A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528293E2" w14:textId="77777777" w:rsidR="001860AA" w:rsidRPr="001860AA" w:rsidRDefault="001860AA" w:rsidP="001860AA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76702827" w14:textId="77777777" w:rsidR="001860AA" w:rsidRPr="001860AA" w:rsidRDefault="001860AA" w:rsidP="001860AA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1860AA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..........................................</w:t>
      </w:r>
    </w:p>
    <w:p w14:paraId="47C16551" w14:textId="77777777" w:rsidR="001860AA" w:rsidRPr="001860AA" w:rsidRDefault="001860AA" w:rsidP="001860AA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Mgr. Martin Přidalík, MBA 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ab/>
        <w:t>Petra Harazímová, MBA</w:t>
      </w:r>
    </w:p>
    <w:p w14:paraId="6158A5B9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ab/>
        <w:t>místostarosta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starostka</w:t>
      </w:r>
    </w:p>
    <w:p w14:paraId="20DA871F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7E6CBA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1E0BD0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EB8084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232E5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1B68F10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9B1428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6116F9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ABB5A7F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8BA6B6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874F29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F4B6D4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16C22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24060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08E20F" w14:textId="77777777" w:rsidR="001860AA" w:rsidRPr="001860AA" w:rsidRDefault="001860AA" w:rsidP="001860AA">
      <w:pPr>
        <w:tabs>
          <w:tab w:val="left" w:pos="1080"/>
          <w:tab w:val="left" w:pos="7020"/>
        </w:tabs>
        <w:spacing w:after="12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Vyvěšeno na úřední desce dne:</w:t>
      </w:r>
    </w:p>
    <w:p w14:paraId="7CD54245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Sejmuto z úřední desky dne:</w:t>
      </w:r>
    </w:p>
    <w:p w14:paraId="1C5C55C4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D530E0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4EFE5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F80F000" w14:textId="77777777" w:rsidR="001860AA" w:rsidRPr="001860AA" w:rsidRDefault="001860AA" w:rsidP="001860AA">
      <w:pPr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Příloha č. 1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 xml:space="preserve"> k obecně závazné vyhlášce obce Loučná nad Desnou č. 3/2021, ve které je uveden výčet veřejných prostranství pro volné pobíhání psů v obci, na nichž se uplatňuje regulace dle </w:t>
      </w:r>
      <w:proofErr w:type="spellStart"/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ust</w:t>
      </w:r>
      <w:proofErr w:type="spellEnd"/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. čl. 2 odst. 2</w:t>
      </w:r>
      <w:r w:rsidRPr="001860AA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obecně závazné vyhlášky obce.</w:t>
      </w:r>
    </w:p>
    <w:p w14:paraId="4084355F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18"/>
        <w:gridCol w:w="3019"/>
      </w:tblGrid>
      <w:tr w:rsidR="001860AA" w:rsidRPr="001860AA" w14:paraId="457EA19D" w14:textId="77777777" w:rsidTr="00F06A79">
        <w:tc>
          <w:tcPr>
            <w:tcW w:w="3070" w:type="dxa"/>
            <w:shd w:val="clear" w:color="auto" w:fill="auto"/>
          </w:tcPr>
          <w:p w14:paraId="2B0063A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3071" w:type="dxa"/>
            <w:shd w:val="clear" w:color="auto" w:fill="auto"/>
          </w:tcPr>
          <w:p w14:paraId="48FB5428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Číslo parcely</w:t>
            </w:r>
          </w:p>
        </w:tc>
        <w:tc>
          <w:tcPr>
            <w:tcW w:w="3071" w:type="dxa"/>
            <w:shd w:val="clear" w:color="auto" w:fill="auto"/>
          </w:tcPr>
          <w:p w14:paraId="6CD86A9B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Vlastník parcely</w:t>
            </w:r>
          </w:p>
        </w:tc>
      </w:tr>
      <w:tr w:rsidR="001860AA" w:rsidRPr="001860AA" w14:paraId="28F6E52E" w14:textId="77777777" w:rsidTr="00F06A79">
        <w:tc>
          <w:tcPr>
            <w:tcW w:w="3070" w:type="dxa"/>
            <w:shd w:val="clear" w:color="auto" w:fill="auto"/>
          </w:tcPr>
          <w:p w14:paraId="260ACDB1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Rejhotice</w:t>
            </w:r>
          </w:p>
        </w:tc>
        <w:tc>
          <w:tcPr>
            <w:tcW w:w="3071" w:type="dxa"/>
            <w:shd w:val="clear" w:color="auto" w:fill="auto"/>
          </w:tcPr>
          <w:p w14:paraId="0781C7FC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1554/2</w:t>
            </w:r>
          </w:p>
        </w:tc>
        <w:tc>
          <w:tcPr>
            <w:tcW w:w="3071" w:type="dxa"/>
            <w:shd w:val="clear" w:color="auto" w:fill="auto"/>
          </w:tcPr>
          <w:p w14:paraId="18E1C95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4E129964" w14:textId="77777777" w:rsidTr="00F06A79">
        <w:tc>
          <w:tcPr>
            <w:tcW w:w="3070" w:type="dxa"/>
            <w:shd w:val="clear" w:color="auto" w:fill="auto"/>
          </w:tcPr>
          <w:p w14:paraId="22C2DADF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Rejhotice</w:t>
            </w:r>
          </w:p>
        </w:tc>
        <w:tc>
          <w:tcPr>
            <w:tcW w:w="3071" w:type="dxa"/>
            <w:shd w:val="clear" w:color="auto" w:fill="auto"/>
          </w:tcPr>
          <w:p w14:paraId="28536997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1373/1</w:t>
            </w:r>
          </w:p>
        </w:tc>
        <w:tc>
          <w:tcPr>
            <w:tcW w:w="3071" w:type="dxa"/>
            <w:shd w:val="clear" w:color="auto" w:fill="auto"/>
          </w:tcPr>
          <w:p w14:paraId="230691C3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4A73E832" w14:textId="77777777" w:rsidTr="00F06A79">
        <w:tc>
          <w:tcPr>
            <w:tcW w:w="3070" w:type="dxa"/>
            <w:shd w:val="clear" w:color="auto" w:fill="auto"/>
          </w:tcPr>
          <w:p w14:paraId="3A9369F8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Rejhotice</w:t>
            </w:r>
          </w:p>
        </w:tc>
        <w:tc>
          <w:tcPr>
            <w:tcW w:w="3071" w:type="dxa"/>
            <w:shd w:val="clear" w:color="auto" w:fill="auto"/>
          </w:tcPr>
          <w:p w14:paraId="4455245D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1554/1</w:t>
            </w:r>
          </w:p>
        </w:tc>
        <w:tc>
          <w:tcPr>
            <w:tcW w:w="3071" w:type="dxa"/>
            <w:shd w:val="clear" w:color="auto" w:fill="auto"/>
          </w:tcPr>
          <w:p w14:paraId="1160D263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6D9F6E29" w14:textId="77777777" w:rsidTr="00F06A79">
        <w:tc>
          <w:tcPr>
            <w:tcW w:w="3070" w:type="dxa"/>
            <w:shd w:val="clear" w:color="auto" w:fill="auto"/>
          </w:tcPr>
          <w:p w14:paraId="5B9FA3E6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Rejhotice</w:t>
            </w:r>
          </w:p>
        </w:tc>
        <w:tc>
          <w:tcPr>
            <w:tcW w:w="3071" w:type="dxa"/>
            <w:shd w:val="clear" w:color="auto" w:fill="auto"/>
          </w:tcPr>
          <w:p w14:paraId="165F9150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1554/3</w:t>
            </w:r>
          </w:p>
        </w:tc>
        <w:tc>
          <w:tcPr>
            <w:tcW w:w="3071" w:type="dxa"/>
            <w:shd w:val="clear" w:color="auto" w:fill="auto"/>
          </w:tcPr>
          <w:p w14:paraId="6B566CF9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</w:tbl>
    <w:p w14:paraId="185215B4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176924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29603F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5E2660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F33AB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216D42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69358C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381B05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715CAB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FCDB65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799246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EED6671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47FBCD1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37B6782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3EA7F1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EBD877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03B66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7A62B7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29EEB6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B762A1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44FA243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E10D423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6A6F67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4B06F5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56ADE8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5A935F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CD4612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A0E7F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9F0E3CD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95FF1E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0D13C15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FADEF4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447EAB8" w14:textId="77777777" w:rsidR="001860AA" w:rsidRPr="001860AA" w:rsidRDefault="001860AA" w:rsidP="001860AA">
      <w:pPr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860A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Příloha č. 2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 xml:space="preserve"> k obecně závazné vyhlášce obce Loučná nad Desnou č. 3/2021, ve které je uveden výčet veřejných prostranství v obci, na kterých je zákaz vstupu se psy, uplatňuje se na nich regulace dle </w:t>
      </w:r>
      <w:proofErr w:type="spellStart"/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ust</w:t>
      </w:r>
      <w:proofErr w:type="spellEnd"/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. čl. 3</w:t>
      </w:r>
      <w:r w:rsidRPr="001860AA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1860AA">
        <w:rPr>
          <w:rFonts w:ascii="Arial" w:eastAsia="Times New Roman" w:hAnsi="Arial" w:cs="Arial"/>
          <w:kern w:val="0"/>
          <w:lang w:eastAsia="cs-CZ"/>
          <w14:ligatures w14:val="none"/>
        </w:rPr>
        <w:t>obecně závazné vyhlášky obce.</w:t>
      </w:r>
    </w:p>
    <w:p w14:paraId="76045188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18"/>
        <w:gridCol w:w="3019"/>
      </w:tblGrid>
      <w:tr w:rsidR="001860AA" w:rsidRPr="001860AA" w14:paraId="33BA3BEC" w14:textId="77777777" w:rsidTr="00F06A79">
        <w:tc>
          <w:tcPr>
            <w:tcW w:w="3070" w:type="dxa"/>
            <w:shd w:val="clear" w:color="auto" w:fill="auto"/>
          </w:tcPr>
          <w:p w14:paraId="1EB8D38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3071" w:type="dxa"/>
            <w:shd w:val="clear" w:color="auto" w:fill="auto"/>
          </w:tcPr>
          <w:p w14:paraId="3398BFE2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Číslo parcely</w:t>
            </w:r>
          </w:p>
        </w:tc>
        <w:tc>
          <w:tcPr>
            <w:tcW w:w="3071" w:type="dxa"/>
            <w:shd w:val="clear" w:color="auto" w:fill="auto"/>
          </w:tcPr>
          <w:p w14:paraId="06061E0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Vlastník parcely</w:t>
            </w:r>
          </w:p>
        </w:tc>
      </w:tr>
      <w:tr w:rsidR="001860AA" w:rsidRPr="001860AA" w14:paraId="05FA9949" w14:textId="77777777" w:rsidTr="00F06A79">
        <w:tc>
          <w:tcPr>
            <w:tcW w:w="3070" w:type="dxa"/>
            <w:shd w:val="clear" w:color="auto" w:fill="auto"/>
          </w:tcPr>
          <w:p w14:paraId="0A99969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4133E29F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719/1</w:t>
            </w:r>
          </w:p>
        </w:tc>
        <w:tc>
          <w:tcPr>
            <w:tcW w:w="3071" w:type="dxa"/>
            <w:shd w:val="clear" w:color="auto" w:fill="auto"/>
          </w:tcPr>
          <w:p w14:paraId="7E89C29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06B963CB" w14:textId="77777777" w:rsidTr="00F06A79">
        <w:tc>
          <w:tcPr>
            <w:tcW w:w="3070" w:type="dxa"/>
            <w:shd w:val="clear" w:color="auto" w:fill="auto"/>
          </w:tcPr>
          <w:p w14:paraId="79D7402F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51C653E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747</w:t>
            </w:r>
          </w:p>
        </w:tc>
        <w:tc>
          <w:tcPr>
            <w:tcW w:w="3071" w:type="dxa"/>
            <w:shd w:val="clear" w:color="auto" w:fill="auto"/>
          </w:tcPr>
          <w:p w14:paraId="408D45B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505BE9C1" w14:textId="77777777" w:rsidTr="00F06A79">
        <w:tc>
          <w:tcPr>
            <w:tcW w:w="3070" w:type="dxa"/>
            <w:shd w:val="clear" w:color="auto" w:fill="auto"/>
          </w:tcPr>
          <w:p w14:paraId="11360717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60BAB480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748</w:t>
            </w:r>
          </w:p>
        </w:tc>
        <w:tc>
          <w:tcPr>
            <w:tcW w:w="3071" w:type="dxa"/>
            <w:shd w:val="clear" w:color="auto" w:fill="auto"/>
          </w:tcPr>
          <w:p w14:paraId="75AB86B6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7DFB84D5" w14:textId="77777777" w:rsidTr="00F06A79">
        <w:tc>
          <w:tcPr>
            <w:tcW w:w="3070" w:type="dxa"/>
            <w:shd w:val="clear" w:color="auto" w:fill="auto"/>
          </w:tcPr>
          <w:p w14:paraId="712371D8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77D35869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3071" w:type="dxa"/>
            <w:shd w:val="clear" w:color="auto" w:fill="auto"/>
          </w:tcPr>
          <w:p w14:paraId="01F3B88C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5BA027DA" w14:textId="77777777" w:rsidTr="00F06A79">
        <w:trPr>
          <w:trHeight w:val="58"/>
        </w:trPr>
        <w:tc>
          <w:tcPr>
            <w:tcW w:w="3070" w:type="dxa"/>
            <w:shd w:val="clear" w:color="auto" w:fill="auto"/>
          </w:tcPr>
          <w:p w14:paraId="3523E581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3D2855AA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701</w:t>
            </w:r>
          </w:p>
        </w:tc>
        <w:tc>
          <w:tcPr>
            <w:tcW w:w="3071" w:type="dxa"/>
            <w:shd w:val="clear" w:color="auto" w:fill="auto"/>
          </w:tcPr>
          <w:p w14:paraId="4F6B1F6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2E2E0C21" w14:textId="77777777" w:rsidTr="00F06A79">
        <w:trPr>
          <w:trHeight w:val="58"/>
        </w:trPr>
        <w:tc>
          <w:tcPr>
            <w:tcW w:w="3070" w:type="dxa"/>
            <w:shd w:val="clear" w:color="auto" w:fill="auto"/>
          </w:tcPr>
          <w:p w14:paraId="2A25BEF2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051B2136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755/2</w:t>
            </w:r>
          </w:p>
        </w:tc>
        <w:tc>
          <w:tcPr>
            <w:tcW w:w="3071" w:type="dxa"/>
            <w:shd w:val="clear" w:color="auto" w:fill="auto"/>
          </w:tcPr>
          <w:p w14:paraId="7CD5B92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4256210B" w14:textId="77777777" w:rsidTr="00F06A79">
        <w:trPr>
          <w:trHeight w:val="58"/>
        </w:trPr>
        <w:tc>
          <w:tcPr>
            <w:tcW w:w="3070" w:type="dxa"/>
            <w:shd w:val="clear" w:color="auto" w:fill="auto"/>
          </w:tcPr>
          <w:p w14:paraId="37940F8D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46256B97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755/3</w:t>
            </w:r>
          </w:p>
        </w:tc>
        <w:tc>
          <w:tcPr>
            <w:tcW w:w="3071" w:type="dxa"/>
            <w:shd w:val="clear" w:color="auto" w:fill="auto"/>
          </w:tcPr>
          <w:p w14:paraId="249D51C1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7F90C273" w14:textId="77777777" w:rsidTr="00F06A79">
        <w:trPr>
          <w:trHeight w:val="58"/>
        </w:trPr>
        <w:tc>
          <w:tcPr>
            <w:tcW w:w="3070" w:type="dxa"/>
            <w:shd w:val="clear" w:color="auto" w:fill="auto"/>
          </w:tcPr>
          <w:p w14:paraId="7D3E8B38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636FD695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667/35</w:t>
            </w:r>
          </w:p>
        </w:tc>
        <w:tc>
          <w:tcPr>
            <w:tcW w:w="3071" w:type="dxa"/>
            <w:shd w:val="clear" w:color="auto" w:fill="auto"/>
          </w:tcPr>
          <w:p w14:paraId="5487FA0E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  <w:tr w:rsidR="001860AA" w:rsidRPr="001860AA" w14:paraId="646DF5C5" w14:textId="77777777" w:rsidTr="00F06A79">
        <w:trPr>
          <w:trHeight w:val="58"/>
        </w:trPr>
        <w:tc>
          <w:tcPr>
            <w:tcW w:w="3070" w:type="dxa"/>
            <w:shd w:val="clear" w:color="auto" w:fill="auto"/>
          </w:tcPr>
          <w:p w14:paraId="6F80AE09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Kociánov</w:t>
            </w:r>
          </w:p>
        </w:tc>
        <w:tc>
          <w:tcPr>
            <w:tcW w:w="3071" w:type="dxa"/>
            <w:shd w:val="clear" w:color="auto" w:fill="auto"/>
          </w:tcPr>
          <w:p w14:paraId="36A17DA4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680/1</w:t>
            </w:r>
          </w:p>
        </w:tc>
        <w:tc>
          <w:tcPr>
            <w:tcW w:w="3071" w:type="dxa"/>
            <w:shd w:val="clear" w:color="auto" w:fill="auto"/>
          </w:tcPr>
          <w:p w14:paraId="6C5DC57B" w14:textId="77777777" w:rsidR="001860AA" w:rsidRPr="001860AA" w:rsidRDefault="001860AA" w:rsidP="001860AA">
            <w:p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860A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Obec Loučná nad Desnou</w:t>
            </w:r>
          </w:p>
        </w:tc>
      </w:tr>
    </w:tbl>
    <w:p w14:paraId="697A6A98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85835DE" w14:textId="77777777" w:rsidR="001860AA" w:rsidRPr="001860AA" w:rsidRDefault="001860AA" w:rsidP="001860A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BD7E79" w14:textId="77777777" w:rsidR="001860AA" w:rsidRDefault="001860AA"/>
    <w:sectPr w:rsidR="001860A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303B" w14:textId="77777777" w:rsidR="009608D7" w:rsidRDefault="009608D7" w:rsidP="001860AA">
      <w:pPr>
        <w:spacing w:after="0" w:line="240" w:lineRule="auto"/>
      </w:pPr>
      <w:r>
        <w:separator/>
      </w:r>
    </w:p>
  </w:endnote>
  <w:endnote w:type="continuationSeparator" w:id="0">
    <w:p w14:paraId="66CE194A" w14:textId="77777777" w:rsidR="009608D7" w:rsidRDefault="009608D7" w:rsidP="0018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AF3B" w14:textId="77777777" w:rsidR="009608D7" w:rsidRDefault="009608D7" w:rsidP="001860AA">
      <w:pPr>
        <w:spacing w:after="0" w:line="240" w:lineRule="auto"/>
      </w:pPr>
      <w:r>
        <w:separator/>
      </w:r>
    </w:p>
  </w:footnote>
  <w:footnote w:type="continuationSeparator" w:id="0">
    <w:p w14:paraId="0901637E" w14:textId="77777777" w:rsidR="009608D7" w:rsidRDefault="009608D7" w:rsidP="001860AA">
      <w:pPr>
        <w:spacing w:after="0" w:line="240" w:lineRule="auto"/>
      </w:pPr>
      <w:r>
        <w:continuationSeparator/>
      </w:r>
    </w:p>
  </w:footnote>
  <w:footnote w:id="1">
    <w:p w14:paraId="0B1747AA" w14:textId="77777777" w:rsidR="001860AA" w:rsidRDefault="001860AA" w:rsidP="001860AA">
      <w:pPr>
        <w:pStyle w:val="Textpoznpodarou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§ 34 zákona č. 128/2000 Sb., o obcích (obecní zřízení), ve znění pozdějších předpisů</w:t>
      </w:r>
      <w:r>
        <w:rPr>
          <w:rFonts w:ascii="Arial" w:eastAsia="Calibri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</w:p>
  </w:footnote>
  <w:footnote w:id="2">
    <w:p w14:paraId="1724F936" w14:textId="77777777" w:rsidR="001860AA" w:rsidRDefault="001860AA" w:rsidP="001860AA">
      <w:pPr>
        <w:pStyle w:val="Default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</w:t>
      </w:r>
      <w:proofErr w:type="gramStart"/>
      <w:r>
        <w:rPr>
          <w:sz w:val="20"/>
          <w:szCs w:val="20"/>
        </w:rPr>
        <w:t>řeší</w:t>
      </w:r>
      <w:proofErr w:type="gramEnd"/>
      <w:r>
        <w:rPr>
          <w:sz w:val="20"/>
          <w:szCs w:val="20"/>
        </w:rPr>
        <w:t xml:space="preserve">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007945CB" w14:textId="77777777" w:rsidR="001860AA" w:rsidRDefault="001860AA" w:rsidP="001860AA">
      <w:pPr>
        <w:pStyle w:val="Textpoznpodarou"/>
        <w:ind w:left="142" w:hanging="142"/>
        <w:jc w:val="both"/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Např. zákon č. 273/2008 Sb., o Policii České republiky, ve znění pozdějších předpisů, zákon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0BA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59D6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6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7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AA"/>
    <w:rsid w:val="001860AA"/>
    <w:rsid w:val="009608D7"/>
    <w:rsid w:val="00B0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148E"/>
  <w15:chartTrackingRefBased/>
  <w15:docId w15:val="{282F2B40-69D3-4BD0-BE28-3EE329E7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0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0AA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1860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1860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1860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8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1</cp:revision>
  <dcterms:created xsi:type="dcterms:W3CDTF">2023-12-15T08:25:00Z</dcterms:created>
  <dcterms:modified xsi:type="dcterms:W3CDTF">2023-12-15T09:23:00Z</dcterms:modified>
</cp:coreProperties>
</file>