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Zhlav"/>
        <w:tabs>
          <w:tab w:val="clear" w:pos="4536"/>
          <w:tab w:val="clear" w:pos="9072"/>
        </w:tabs>
        <w:bidi w:val="0"/>
        <w:jc w:val="center"/>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84200" cy="67183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104" t="-90" r="-104" b="-90"/>
                    <a:stretch>
                      <a:fillRect/>
                    </a:stretch>
                  </pic:blipFill>
                  <pic:spPr bwMode="auto">
                    <a:xfrm>
                      <a:off x="0" y="0"/>
                      <a:ext cx="584200" cy="671830"/>
                    </a:xfrm>
                    <a:prstGeom prst="rect">
                      <a:avLst/>
                    </a:prstGeom>
                  </pic:spPr>
                </pic:pic>
              </a:graphicData>
            </a:graphic>
          </wp:anchor>
        </w:drawing>
      </w:r>
    </w:p>
    <w:p>
      <w:pPr>
        <w:pStyle w:val="Zhlav"/>
        <w:tabs>
          <w:tab w:val="clear" w:pos="4536"/>
          <w:tab w:val="clear" w:pos="9072"/>
        </w:tabs>
        <w:bidi w:val="0"/>
        <w:jc w:val="center"/>
        <w:rPr/>
      </w:pPr>
      <w:r>
        <w:rPr/>
      </w:r>
    </w:p>
    <w:p>
      <w:pPr>
        <w:pStyle w:val="Normal"/>
        <w:bidi w:val="0"/>
        <w:spacing w:lineRule="auto" w:line="276"/>
        <w:jc w:val="center"/>
        <w:rPr>
          <w:rFonts w:ascii="Arial" w:hAnsi="Arial" w:cs="Arial"/>
          <w:b/>
          <w:b/>
        </w:rPr>
      </w:pPr>
      <w:r>
        <w:rPr>
          <w:rFonts w:cs="Arial" w:ascii="Arial" w:hAnsi="Arial"/>
          <w:b/>
        </w:rPr>
      </w:r>
    </w:p>
    <w:p>
      <w:pPr>
        <w:pStyle w:val="Normal"/>
        <w:bidi w:val="0"/>
        <w:spacing w:lineRule="auto" w:line="276"/>
        <w:jc w:val="center"/>
        <w:rPr>
          <w:rFonts w:ascii="Arial" w:hAnsi="Arial" w:cs="Arial"/>
          <w:b/>
          <w:b/>
        </w:rPr>
      </w:pPr>
      <w:r>
        <w:rPr>
          <w:rFonts w:cs="Arial" w:ascii="Arial" w:hAnsi="Arial"/>
          <w:b/>
        </w:rPr>
      </w:r>
    </w:p>
    <w:p>
      <w:pPr>
        <w:pStyle w:val="Normal"/>
        <w:bidi w:val="0"/>
        <w:spacing w:lineRule="auto" w:line="276"/>
        <w:jc w:val="center"/>
        <w:rPr>
          <w:rFonts w:ascii="Arial" w:hAnsi="Arial" w:cs="Arial"/>
          <w:b/>
          <w:b/>
        </w:rPr>
      </w:pPr>
      <w:r>
        <w:rPr>
          <w:rFonts w:cs="Arial" w:ascii="Arial" w:hAnsi="Arial"/>
          <w:b/>
        </w:rPr>
      </w:r>
    </w:p>
    <w:p>
      <w:pPr>
        <w:pStyle w:val="Normal"/>
        <w:bidi w:val="0"/>
        <w:spacing w:lineRule="auto" w:line="276"/>
        <w:jc w:val="center"/>
        <w:rPr>
          <w:rFonts w:ascii="Liberation Serif" w:hAnsi="Liberation Serif" w:eastAsia="NSimSun" w:cs="Lucida Sans"/>
          <w:color w:val="auto"/>
          <w:kern w:val="2"/>
          <w:sz w:val="24"/>
          <w:szCs w:val="24"/>
          <w:lang w:val="cs-CZ" w:eastAsia="zh-CN" w:bidi="hi-IN"/>
        </w:rPr>
      </w:pPr>
      <w:r>
        <w:rPr>
          <w:rFonts w:eastAsia="NSimSun" w:cs="Lucida Sans"/>
          <w:b/>
          <w:color w:val="auto"/>
          <w:kern w:val="2"/>
          <w:sz w:val="24"/>
          <w:szCs w:val="24"/>
          <w:lang w:val="cs-CZ" w:eastAsia="zh-CN" w:bidi="hi-IN"/>
        </w:rPr>
        <w:t>OBEC PASEKY NAD JIZEROU</w:t>
      </w:r>
    </w:p>
    <w:p>
      <w:pPr>
        <w:pStyle w:val="Normal"/>
        <w:bidi w:val="0"/>
        <w:spacing w:lineRule="auto" w:line="276"/>
        <w:jc w:val="center"/>
        <w:rPr>
          <w:rFonts w:ascii="Liberation Serif" w:hAnsi="Liberation Serif" w:eastAsia="NSimSun" w:cs="Lucida Sans"/>
          <w:color w:val="auto"/>
          <w:kern w:val="2"/>
          <w:sz w:val="24"/>
          <w:szCs w:val="24"/>
          <w:lang w:val="cs-CZ" w:eastAsia="zh-CN" w:bidi="hi-IN"/>
        </w:rPr>
      </w:pPr>
      <w:r>
        <w:rPr>
          <w:rFonts w:eastAsia="NSimSun" w:cs="Lucida Sans"/>
          <w:b/>
          <w:color w:val="auto"/>
          <w:kern w:val="2"/>
          <w:sz w:val="24"/>
          <w:szCs w:val="24"/>
          <w:lang w:val="cs-CZ" w:eastAsia="zh-CN" w:bidi="hi-IN"/>
        </w:rPr>
        <w:t>Zastupitelstvo obce Paseky nad Jizerou</w:t>
      </w:r>
    </w:p>
    <w:p>
      <w:pPr>
        <w:pStyle w:val="Normal"/>
        <w:bidi w:val="0"/>
        <w:spacing w:lineRule="auto" w:line="276"/>
        <w:jc w:val="center"/>
        <w:rPr>
          <w:rFonts w:ascii="Liberation Serif" w:hAnsi="Liberation Serif" w:eastAsia="NSimSun" w:cs="Lucida Sans"/>
          <w:b/>
          <w:b/>
          <w:color w:val="auto"/>
          <w:kern w:val="2"/>
          <w:sz w:val="24"/>
          <w:szCs w:val="24"/>
          <w:lang w:val="cs-CZ" w:eastAsia="zh-CN" w:bidi="hi-IN"/>
        </w:rPr>
      </w:pPr>
      <w:r>
        <w:rPr>
          <w:rFonts w:eastAsia="NSimSun" w:cs="Lucida Sans"/>
          <w:b/>
          <w:color w:val="auto"/>
          <w:kern w:val="2"/>
          <w:sz w:val="24"/>
          <w:szCs w:val="24"/>
          <w:lang w:val="cs-CZ" w:eastAsia="zh-CN" w:bidi="hi-IN"/>
        </w:rPr>
      </w:r>
    </w:p>
    <w:p>
      <w:pPr>
        <w:pStyle w:val="Normal"/>
        <w:bidi w:val="0"/>
        <w:spacing w:lineRule="auto" w:line="276"/>
        <w:jc w:val="center"/>
        <w:rPr>
          <w:rFonts w:ascii="Liberation Serif" w:hAnsi="Liberation Serif" w:eastAsia="NSimSun" w:cs="Lucida Sans"/>
          <w:color w:val="auto"/>
          <w:kern w:val="2"/>
          <w:sz w:val="24"/>
          <w:szCs w:val="24"/>
          <w:lang w:val="cs-CZ" w:eastAsia="zh-CN" w:bidi="hi-IN"/>
        </w:rPr>
      </w:pPr>
      <w:r>
        <w:rPr>
          <w:rFonts w:eastAsia="NSimSun" w:cs="Lucida Sans"/>
          <w:b/>
          <w:color w:val="auto"/>
          <w:kern w:val="2"/>
          <w:sz w:val="24"/>
          <w:szCs w:val="24"/>
          <w:lang w:val="cs-CZ" w:eastAsia="zh-CN" w:bidi="hi-IN"/>
        </w:rPr>
        <w:t>Obecně závazná vyhláška obce Paseky nad Jizerou č.</w:t>
      </w:r>
      <w:r>
        <w:rPr>
          <w:rFonts w:eastAsia="NSimSun" w:cs="Lucida Sans"/>
          <w:b/>
          <w:color w:val="000000"/>
          <w:kern w:val="2"/>
          <w:sz w:val="24"/>
          <w:szCs w:val="24"/>
          <w:shd w:fill="auto" w:val="clear"/>
          <w:lang w:val="cs-CZ" w:eastAsia="zh-CN" w:bidi="hi-IN"/>
        </w:rPr>
        <w:t xml:space="preserve">  ...</w:t>
      </w:r>
    </w:p>
    <w:p>
      <w:pPr>
        <w:pStyle w:val="Normal"/>
        <w:bidi w:val="0"/>
        <w:jc w:val="center"/>
        <w:rPr>
          <w:rFonts w:ascii="Liberation Serif" w:hAnsi="Liberation Serif" w:eastAsia="NSimSun" w:cs="Lucida Sans"/>
          <w:color w:val="auto"/>
          <w:kern w:val="2"/>
          <w:sz w:val="24"/>
          <w:szCs w:val="24"/>
          <w:lang w:val="cs-CZ" w:eastAsia="zh-CN" w:bidi="hi-IN"/>
        </w:rPr>
      </w:pPr>
      <w:r>
        <w:rPr>
          <w:rFonts w:eastAsia="NSimSun" w:cs="Lucida Sans"/>
          <w:b/>
          <w:color w:val="auto"/>
          <w:kern w:val="2"/>
          <w:sz w:val="24"/>
          <w:szCs w:val="24"/>
          <w:lang w:val="cs-CZ" w:eastAsia="zh-CN" w:bidi="hi-IN"/>
        </w:rPr>
        <w:t>o místním poplatku za odkládání komunálního odpadu z nemovité věci</w:t>
      </w:r>
    </w:p>
    <w:p>
      <w:pPr>
        <w:pStyle w:val="Nzevzkona"/>
        <w:tabs>
          <w:tab w:val="clear" w:pos="709"/>
          <w:tab w:val="left" w:pos="2977" w:leader="none"/>
        </w:tabs>
        <w:bidi w:val="0"/>
        <w:spacing w:lineRule="auto" w:line="264" w:before="0" w:after="0"/>
        <w:jc w:val="both"/>
        <w:rPr>
          <w:rFonts w:ascii="Liberation Serif" w:hAnsi="Liberation Serif" w:eastAsia="NSimSun" w:cs="Lucida Sans"/>
          <w:b w:val="false"/>
          <w:b w:val="false"/>
          <w:color w:val="auto"/>
          <w:kern w:val="2"/>
          <w:sz w:val="24"/>
          <w:szCs w:val="24"/>
          <w:lang w:val="cs-CZ" w:eastAsia="zh-CN" w:bidi="hi-IN"/>
        </w:rPr>
      </w:pPr>
      <w:r>
        <w:rPr>
          <w:rFonts w:eastAsia="NSimSun" w:cs="Lucida Sans" w:ascii="Liberation Serif" w:hAnsi="Liberation Serif"/>
          <w:b w:val="false"/>
          <w:color w:val="auto"/>
          <w:kern w:val="2"/>
          <w:sz w:val="24"/>
          <w:szCs w:val="24"/>
          <w:lang w:val="cs-CZ" w:eastAsia="zh-CN" w:bidi="hi-IN"/>
        </w:rPr>
      </w:r>
    </w:p>
    <w:p>
      <w:pPr>
        <w:pStyle w:val="Nzevzkona"/>
        <w:tabs>
          <w:tab w:val="clear" w:pos="709"/>
          <w:tab w:val="left" w:pos="2977" w:leader="none"/>
        </w:tabs>
        <w:bidi w:val="0"/>
        <w:spacing w:lineRule="auto" w:line="264" w:before="0" w:after="0"/>
        <w:jc w:val="both"/>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b w:val="false"/>
          <w:color w:val="auto"/>
          <w:kern w:val="2"/>
          <w:sz w:val="24"/>
          <w:szCs w:val="24"/>
          <w:lang w:val="cs-CZ" w:eastAsia="zh-CN" w:bidi="hi-IN"/>
        </w:rPr>
        <w:t xml:space="preserve">Zastupitelstvo obce Paseky nad Jizerou se na svém zasedání dne </w:t>
      </w:r>
      <w:r>
        <w:rPr>
          <w:rFonts w:eastAsia="NSimSun" w:cs="Lucida Sans" w:ascii="Liberation Serif" w:hAnsi="Liberation Serif"/>
          <w:b w:val="false"/>
          <w:color w:val="auto"/>
          <w:kern w:val="2"/>
          <w:sz w:val="24"/>
          <w:szCs w:val="24"/>
          <w:lang w:val="cs-CZ" w:eastAsia="zh-CN" w:bidi="hi-IN"/>
        </w:rPr>
        <w:t>22.11.2022</w:t>
      </w:r>
      <w:r>
        <w:rPr>
          <w:rFonts w:eastAsia="NSimSun" w:cs="Lucida Sans" w:ascii="Liberation Serif" w:hAnsi="Liberation Serif"/>
          <w:b w:val="false"/>
          <w:color w:val="auto"/>
          <w:kern w:val="2"/>
          <w:sz w:val="24"/>
          <w:szCs w:val="24"/>
          <w:lang w:val="cs-CZ" w:eastAsia="zh-CN" w:bidi="hi-IN"/>
        </w:rPr>
        <w:t xml:space="preserve"> usnesením č. </w:t>
      </w:r>
      <w:r>
        <w:rPr>
          <w:rFonts w:eastAsia="NSimSun" w:cs="Lucida Sans" w:ascii="Liberation Serif" w:hAnsi="Liberation Serif"/>
          <w:b w:val="false"/>
          <w:color w:val="auto"/>
          <w:kern w:val="2"/>
          <w:sz w:val="24"/>
          <w:szCs w:val="24"/>
          <w:lang w:val="cs-CZ" w:eastAsia="zh-CN" w:bidi="hi-IN"/>
        </w:rPr>
        <w:t>71/2022</w:t>
      </w:r>
      <w:r>
        <w:rPr>
          <w:rFonts w:eastAsia="NSimSun" w:cs="Lucida Sans" w:ascii="Liberation Serif" w:hAnsi="Liberation Serif"/>
          <w:b w:val="false"/>
          <w:color w:val="auto"/>
          <w:kern w:val="2"/>
          <w:sz w:val="24"/>
          <w:szCs w:val="24"/>
          <w:lang w:val="cs-CZ" w:eastAsia="zh-CN" w:bidi="hi-IN"/>
        </w:rPr>
        <w:t xml:space="preserve"> usneslo vydat na základě</w:t>
      </w:r>
      <w:r>
        <w:rPr>
          <w:rFonts w:eastAsia="NSimSun" w:cs="Lucida Sans" w:ascii="Liberation Serif" w:hAnsi="Liberation Serif"/>
          <w:b w:val="false"/>
          <w:bCs w:val="false"/>
          <w:color w:val="auto"/>
          <w:kern w:val="2"/>
          <w:sz w:val="24"/>
          <w:szCs w:val="24"/>
          <w:lang w:val="cs-CZ" w:eastAsia="zh-CN" w:bidi="hi-IN"/>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pPr>
        <w:pStyle w:val="Slalnk"/>
        <w:bidi w:val="0"/>
        <w:spacing w:before="480" w:after="60"/>
        <w:rPr>
          <w:rFonts w:ascii="Times New Roman" w:hAnsi="Times New Roman"/>
          <w:sz w:val="24"/>
          <w:szCs w:val="24"/>
        </w:rPr>
      </w:pPr>
      <w:r>
        <w:rPr>
          <w:rFonts w:cs="Arial" w:ascii="Times New Roman" w:hAnsi="Times New Roman"/>
          <w:sz w:val="24"/>
          <w:szCs w:val="24"/>
        </w:rPr>
        <w:t>Čl. 1</w:t>
      </w:r>
    </w:p>
    <w:p>
      <w:pPr>
        <w:pStyle w:val="Nzvylnk"/>
        <w:bidi w:val="0"/>
        <w:rPr>
          <w:rFonts w:ascii="Times New Roman" w:hAnsi="Times New Roman"/>
          <w:sz w:val="24"/>
          <w:szCs w:val="24"/>
        </w:rPr>
      </w:pPr>
      <w:r>
        <w:rPr>
          <w:rFonts w:cs="Arial" w:ascii="Times New Roman" w:hAnsi="Times New Roman"/>
          <w:sz w:val="24"/>
          <w:szCs w:val="24"/>
        </w:rPr>
        <w:t>Úvodní ustanovení</w:t>
      </w:r>
    </w:p>
    <w:p>
      <w:pPr>
        <w:pStyle w:val="Tlotextu"/>
        <w:numPr>
          <w:ilvl w:val="0"/>
          <w:numId w:val="2"/>
        </w:numPr>
        <w:rPr/>
      </w:pPr>
      <w:r>
        <w:rPr/>
        <w:t>Obec Paseky nad Jizerou touto vyhláškou zavádí místní poplatek za odkládání komunálního odpadu z nemovité věci (dále jen „poplatek“).</w:t>
      </w:r>
    </w:p>
    <w:p>
      <w:pPr>
        <w:pStyle w:val="Normal"/>
        <w:numPr>
          <w:ilvl w:val="0"/>
          <w:numId w:val="2"/>
        </w:numPr>
        <w:bidi w:val="0"/>
        <w:spacing w:lineRule="auto" w:line="288"/>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Správcem poplatku je obecní úřad Paseky nad Jizerou.</w:t>
      </w:r>
      <w:r>
        <w:rPr>
          <w:rStyle w:val="Ukotvenpoznmkypodarou"/>
          <w:rFonts w:eastAsia="NSimSun" w:cs="Lucida Sans"/>
          <w:color w:val="auto"/>
          <w:kern w:val="2"/>
          <w:sz w:val="24"/>
          <w:szCs w:val="24"/>
          <w:vertAlign w:val="superscript"/>
          <w:lang w:val="cs-CZ" w:eastAsia="zh-CN" w:bidi="hi-IN"/>
        </w:rPr>
        <w:footnoteReference w:id="2"/>
      </w:r>
    </w:p>
    <w:p>
      <w:pPr>
        <w:pStyle w:val="Slalnk"/>
        <w:bidi w:val="0"/>
        <w:spacing w:before="480" w:after="60"/>
        <w:rPr>
          <w:rFonts w:ascii="Times New Roman" w:hAnsi="Times New Roman"/>
          <w:sz w:val="24"/>
          <w:szCs w:val="24"/>
        </w:rPr>
      </w:pPr>
      <w:r>
        <w:rPr>
          <w:rFonts w:cs="Arial" w:ascii="Times New Roman" w:hAnsi="Times New Roman"/>
          <w:sz w:val="24"/>
          <w:szCs w:val="24"/>
        </w:rPr>
        <w:t>Čl. 2</w:t>
      </w:r>
    </w:p>
    <w:p>
      <w:pPr>
        <w:pStyle w:val="Nzvylnk"/>
        <w:bidi w:val="0"/>
        <w:rPr>
          <w:rFonts w:ascii="Times New Roman" w:hAnsi="Times New Roman"/>
          <w:sz w:val="24"/>
          <w:szCs w:val="24"/>
        </w:rPr>
      </w:pPr>
      <w:r>
        <w:rPr>
          <w:rFonts w:cs="Arial" w:ascii="Times New Roman" w:hAnsi="Times New Roman"/>
          <w:sz w:val="24"/>
          <w:szCs w:val="24"/>
        </w:rPr>
        <w:t>Předmět poplatku, poplatník a plátce poplatku</w:t>
      </w:r>
    </w:p>
    <w:p>
      <w:pPr>
        <w:pStyle w:val="Tlotextu"/>
        <w:numPr>
          <w:ilvl w:val="0"/>
          <w:numId w:val="3"/>
        </w:numPr>
        <w:rPr/>
      </w:pPr>
      <w:r>
        <w:rPr/>
        <w:t>Předmětem poplatku je odkládání směsného komunálního odpadu z jednotlivé nemovité věci zahrnující byt, rodinný dům nebo stavbu pro rodinnou rekreaci, která se nachází na území obce.</w:t>
      </w:r>
      <w:r>
        <w:rPr>
          <w:rStyle w:val="Ukotvenpoznmkypodarou"/>
        </w:rPr>
        <w:footnoteReference w:id="3"/>
      </w:r>
      <w:r>
        <w:rPr/>
        <w:t xml:space="preserve"> </w:t>
      </w:r>
    </w:p>
    <w:p>
      <w:pPr>
        <w:pStyle w:val="Normal"/>
        <w:numPr>
          <w:ilvl w:val="0"/>
          <w:numId w:val="3"/>
        </w:numPr>
        <w:bidi w:val="0"/>
        <w:spacing w:lineRule="auto" w:line="264" w:before="120" w:after="6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Poplatníkem poplatku je</w:t>
      </w:r>
      <w:r>
        <w:rPr>
          <w:rStyle w:val="Ukotvenpoznmkypodarou"/>
          <w:rFonts w:eastAsia="NSimSun" w:cs="Lucida Sans"/>
          <w:color w:val="auto"/>
          <w:kern w:val="2"/>
          <w:sz w:val="24"/>
          <w:szCs w:val="24"/>
          <w:lang w:val="cs-CZ" w:eastAsia="zh-CN" w:bidi="hi-IN"/>
        </w:rPr>
        <w:footnoteReference w:id="4"/>
      </w:r>
    </w:p>
    <w:p>
      <w:pPr>
        <w:pStyle w:val="Default"/>
        <w:spacing w:before="0" w:after="53"/>
        <w:ind w:firstLine="567"/>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 xml:space="preserve">a) fyzická osoba, která má v nemovité věci bydliště, nebo </w:t>
      </w:r>
    </w:p>
    <w:p>
      <w:pPr>
        <w:pStyle w:val="Default"/>
        <w:ind w:firstLine="567"/>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b) vlastník nemovité věci, ve které nemá bydliště žádná fyzická osoba.</w:t>
      </w:r>
    </w:p>
    <w:p>
      <w:pPr>
        <w:pStyle w:val="Default"/>
        <w:ind w:firstLine="567"/>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r>
    </w:p>
    <w:p>
      <w:pPr>
        <w:pStyle w:val="Tlotextu"/>
        <w:numPr>
          <w:ilvl w:val="0"/>
          <w:numId w:val="19"/>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Plátcem poplatku je</w:t>
      </w:r>
      <w:r>
        <w:rPr>
          <w:rStyle w:val="Ukotvenpoznmkypodarou"/>
          <w:rFonts w:eastAsia="NSimSun" w:cs="Lucida Sans"/>
          <w:color w:val="auto"/>
          <w:kern w:val="2"/>
          <w:sz w:val="24"/>
          <w:szCs w:val="24"/>
          <w:lang w:val="cs-CZ" w:eastAsia="zh-CN" w:bidi="hi-IN"/>
        </w:rPr>
        <w:footnoteReference w:id="5"/>
      </w:r>
      <w:r>
        <w:rPr>
          <w:rFonts w:eastAsia="NSimSun" w:cs="Lucida Sans"/>
          <w:color w:val="auto"/>
          <w:kern w:val="2"/>
          <w:sz w:val="24"/>
          <w:szCs w:val="24"/>
          <w:lang w:val="cs-CZ" w:eastAsia="zh-CN" w:bidi="hi-IN"/>
        </w:rPr>
        <w:t xml:space="preserve"> </w:t>
      </w:r>
    </w:p>
    <w:p>
      <w:pPr>
        <w:pStyle w:val="Default"/>
        <w:spacing w:before="0" w:after="53"/>
        <w:ind w:firstLine="567"/>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 xml:space="preserve">a) společenství vlastníků jednotek, pokud pro dům vzniklo, nebo </w:t>
      </w:r>
    </w:p>
    <w:p>
      <w:pPr>
        <w:pStyle w:val="Default"/>
        <w:ind w:firstLine="567"/>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 xml:space="preserve">b) vlastník nemovité věci v ostatních případech. </w:t>
      </w:r>
    </w:p>
    <w:p>
      <w:pPr>
        <w:pStyle w:val="Tlotextu"/>
        <w:numPr>
          <w:ilvl w:val="0"/>
          <w:numId w:val="20"/>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Plátce poplatku je povinen vybrat poplatek od poplatníka</w:t>
      </w:r>
      <w:r>
        <w:rPr>
          <w:rStyle w:val="Ukotvenpoznmkypodarou"/>
          <w:rFonts w:eastAsia="NSimSun" w:cs="Lucida Sans"/>
          <w:color w:val="auto"/>
          <w:kern w:val="2"/>
          <w:sz w:val="24"/>
          <w:szCs w:val="24"/>
          <w:lang w:val="cs-CZ" w:eastAsia="zh-CN" w:bidi="hi-IN"/>
        </w:rPr>
        <w:footnoteReference w:id="6"/>
      </w:r>
      <w:r>
        <w:rPr>
          <w:rFonts w:eastAsia="NSimSun" w:cs="Lucida Sans"/>
          <w:color w:val="auto"/>
          <w:kern w:val="2"/>
          <w:sz w:val="24"/>
          <w:szCs w:val="24"/>
          <w:lang w:val="cs-CZ" w:eastAsia="zh-CN" w:bidi="hi-IN"/>
        </w:rPr>
        <w:t>.</w:t>
      </w:r>
    </w:p>
    <w:p>
      <w:pPr>
        <w:pStyle w:val="Normal"/>
        <w:numPr>
          <w:ilvl w:val="0"/>
          <w:numId w:val="21"/>
        </w:numPr>
        <w:bidi w:val="0"/>
        <w:spacing w:lineRule="auto" w:line="264" w:before="120" w:after="6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Spoluvlastníci nemovité věci zahrnující byt, rodinný dům nebo stavbu pro rodinnou rekreaci jsou povinni plnit poplatkovou povinnost společně a nerozdílně.</w:t>
      </w:r>
      <w:r>
        <w:rPr>
          <w:rStyle w:val="Ukotvenpoznmkypodarou"/>
          <w:rFonts w:eastAsia="NSimSun" w:cs="Lucida Sans"/>
          <w:color w:val="auto"/>
          <w:kern w:val="2"/>
          <w:sz w:val="24"/>
          <w:szCs w:val="24"/>
          <w:lang w:val="cs-CZ" w:eastAsia="zh-CN" w:bidi="hi-IN"/>
        </w:rPr>
        <w:footnoteReference w:id="7"/>
      </w:r>
    </w:p>
    <w:p>
      <w:pPr>
        <w:pStyle w:val="Slalnk"/>
        <w:bidi w:val="0"/>
        <w:spacing w:before="480" w:after="60"/>
        <w:ind w:left="4122" w:firstLine="126"/>
        <w:jc w:val="left"/>
        <w:rPr>
          <w:rFonts w:ascii="Times New Roman" w:hAnsi="Times New Roman"/>
          <w:sz w:val="24"/>
          <w:szCs w:val="24"/>
        </w:rPr>
      </w:pPr>
      <w:r>
        <w:rPr>
          <w:rFonts w:cs="Arial" w:ascii="Times New Roman" w:hAnsi="Times New Roman"/>
          <w:sz w:val="24"/>
          <w:szCs w:val="24"/>
        </w:rPr>
        <w:t>Čl. 3</w:t>
      </w:r>
    </w:p>
    <w:p>
      <w:pPr>
        <w:pStyle w:val="Nzvylnk"/>
        <w:bidi w:val="0"/>
        <w:ind w:left="3477" w:firstLine="63"/>
        <w:jc w:val="left"/>
        <w:rPr>
          <w:rFonts w:ascii="Times New Roman" w:hAnsi="Times New Roman"/>
          <w:sz w:val="24"/>
          <w:szCs w:val="24"/>
        </w:rPr>
      </w:pPr>
      <w:r>
        <w:rPr>
          <w:rFonts w:cs="Arial" w:ascii="Times New Roman" w:hAnsi="Times New Roman"/>
          <w:sz w:val="24"/>
          <w:szCs w:val="24"/>
        </w:rPr>
        <w:t>Poplatkové období</w:t>
      </w:r>
    </w:p>
    <w:p>
      <w:pPr>
        <w:pStyle w:val="Normal"/>
        <w:bidi w:val="0"/>
        <w:spacing w:lineRule="auto" w:line="312" w:before="120" w:after="0"/>
        <w:ind w:firstLine="708"/>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Poplatkovým obdobím poplatku je kalendářní rok.</w:t>
      </w:r>
      <w:r>
        <w:rPr>
          <w:rStyle w:val="Ukotvenpoznmkypodarou"/>
          <w:rFonts w:eastAsia="NSimSun" w:cs="Lucida Sans"/>
          <w:color w:val="auto"/>
          <w:kern w:val="2"/>
          <w:sz w:val="24"/>
          <w:szCs w:val="24"/>
          <w:lang w:val="cs-CZ" w:eastAsia="zh-CN" w:bidi="hi-IN"/>
        </w:rPr>
        <w:footnoteReference w:id="8"/>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4</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Ohlašovací povinnost</w:t>
      </w:r>
    </w:p>
    <w:p>
      <w:pPr>
        <w:pStyle w:val="Normal"/>
        <w:numPr>
          <w:ilvl w:val="0"/>
          <w:numId w:val="4"/>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Plátce poplatku je povinen podat správci poplatku ohlášení nejpozději do 15 dnů ode dne, kdy nabyl postavení plátce poplatku. Pozbytí postavení plátce ohlásí plátce poplatku správci poplatku ve lhůtě 15 dnů.</w:t>
      </w:r>
    </w:p>
    <w:p>
      <w:pPr>
        <w:pStyle w:val="Normal"/>
        <w:numPr>
          <w:ilvl w:val="0"/>
          <w:numId w:val="4"/>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V ohlášení plátce poplatku uvede</w:t>
      </w:r>
      <w:r>
        <w:rPr>
          <w:rStyle w:val="Ukotvenpoznmkypodarou"/>
          <w:rFonts w:eastAsia="NSimSun" w:cs="Lucida Sans"/>
          <w:color w:val="auto"/>
          <w:kern w:val="2"/>
          <w:sz w:val="24"/>
          <w:szCs w:val="24"/>
          <w:lang w:val="cs-CZ" w:eastAsia="zh-CN" w:bidi="hi-IN"/>
        </w:rPr>
        <w:footnoteReference w:id="9"/>
      </w:r>
      <w:r>
        <w:rPr>
          <w:rFonts w:eastAsia="NSimSun" w:cs="Lucida Sans"/>
          <w:color w:val="auto"/>
          <w:kern w:val="2"/>
          <w:sz w:val="24"/>
          <w:szCs w:val="24"/>
          <w:lang w:val="cs-CZ" w:eastAsia="zh-CN" w:bidi="hi-IN"/>
        </w:rPr>
        <w:t xml:space="preserve"> </w:t>
      </w:r>
    </w:p>
    <w:p>
      <w:pPr>
        <w:pStyle w:val="Normal"/>
        <w:numPr>
          <w:ilvl w:val="1"/>
          <w:numId w:val="1"/>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1"/>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1"/>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další údaje rozhodné pro stanovení poplatku, zejména identifikační údaje nemovité věci zahrnující byt, rodinný dům nebo stavbu pro rodinnou rekreaci podle katastru nemovitostí.</w:t>
      </w:r>
    </w:p>
    <w:p>
      <w:pPr>
        <w:pStyle w:val="Tlotextu"/>
        <w:numPr>
          <w:ilvl w:val="0"/>
          <w:numId w:val="22"/>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eastAsia="NSimSun" w:cs="Lucida Sans"/>
          <w:color w:val="auto"/>
          <w:kern w:val="2"/>
          <w:sz w:val="24"/>
          <w:szCs w:val="24"/>
          <w:lang w:val="cs-CZ" w:eastAsia="zh-CN" w:bidi="hi-IN"/>
        </w:rPr>
        <w:footnoteReference w:id="10"/>
      </w:r>
    </w:p>
    <w:p>
      <w:pPr>
        <w:pStyle w:val="Normal"/>
        <w:numPr>
          <w:ilvl w:val="0"/>
          <w:numId w:val="23"/>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Dojde-li ke změně údajů uvedených v ohlášení, je plátce povinen tuto změnu oznámit do 15 dnů ode dne, kdy nastala.</w:t>
      </w:r>
      <w:r>
        <w:rPr>
          <w:rStyle w:val="Ukotvenpoznmkypodarou"/>
          <w:rFonts w:eastAsia="NSimSun" w:cs="Lucida Sans"/>
          <w:color w:val="auto"/>
          <w:kern w:val="2"/>
          <w:sz w:val="24"/>
          <w:szCs w:val="24"/>
          <w:lang w:val="cs-CZ" w:eastAsia="zh-CN" w:bidi="hi-IN"/>
        </w:rPr>
        <w:footnoteReference w:id="11"/>
      </w:r>
    </w:p>
    <w:p>
      <w:pPr>
        <w:pStyle w:val="Normal"/>
        <w:numPr>
          <w:ilvl w:val="0"/>
          <w:numId w:val="24"/>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eastAsia="NSimSun" w:cs="Lucida Sans"/>
          <w:color w:val="auto"/>
          <w:kern w:val="2"/>
          <w:sz w:val="24"/>
          <w:szCs w:val="24"/>
          <w:lang w:val="cs-CZ" w:eastAsia="zh-CN" w:bidi="hi-IN"/>
        </w:rPr>
        <w:footnoteReference w:id="12"/>
      </w:r>
    </w:p>
    <w:p>
      <w:pPr>
        <w:pStyle w:val="Normal"/>
        <w:numPr>
          <w:ilvl w:val="0"/>
          <w:numId w:val="25"/>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Není-li plátce, plní ohlašovací povinnost poplatník.</w:t>
      </w:r>
      <w:r>
        <w:rPr>
          <w:rStyle w:val="Ukotvenpoznmkypodarou"/>
          <w:rFonts w:eastAsia="NSimSun" w:cs="Lucida Sans"/>
          <w:color w:val="auto"/>
          <w:kern w:val="2"/>
          <w:sz w:val="24"/>
          <w:szCs w:val="24"/>
          <w:lang w:val="cs-CZ" w:eastAsia="zh-CN" w:bidi="hi-IN"/>
        </w:rPr>
        <w:footnoteReference w:id="13"/>
      </w:r>
    </w:p>
    <w:p>
      <w:pPr>
        <w:pStyle w:val="Normal"/>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Normal"/>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Normal"/>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Normal"/>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Normal"/>
        <w:bidi w:val="0"/>
        <w:spacing w:lineRule="auto" w:line="312" w:before="120" w:after="0"/>
        <w:jc w:val="center"/>
        <w:rPr>
          <w:rFonts w:ascii="Liberation Serif" w:hAnsi="Liberation Serif" w:eastAsia="NSimSun" w:cs="Lucida Sans"/>
          <w:color w:val="auto"/>
          <w:kern w:val="2"/>
          <w:sz w:val="24"/>
          <w:szCs w:val="24"/>
          <w:lang w:val="cs-CZ" w:eastAsia="zh-CN" w:bidi="hi-IN"/>
        </w:rPr>
      </w:pPr>
      <w:r>
        <w:rPr>
          <w:rFonts w:eastAsia="NSimSun" w:cs="Lucida Sans"/>
          <w:b/>
          <w:bCs/>
          <w:color w:val="auto"/>
          <w:kern w:val="2"/>
          <w:sz w:val="24"/>
          <w:szCs w:val="24"/>
          <w:lang w:val="cs-CZ" w:eastAsia="zh-CN" w:bidi="hi-IN"/>
        </w:rPr>
        <w:t>Čl. 5</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Základ poplatku</w:t>
      </w:r>
      <w:r>
        <w:rPr>
          <w:rStyle w:val="Ukotvenpoznmkypodarou"/>
          <w:rFonts w:eastAsia="NSimSun" w:cs="Lucida Sans"/>
          <w:color w:val="auto"/>
          <w:kern w:val="2"/>
          <w:sz w:val="24"/>
          <w:szCs w:val="24"/>
          <w:lang w:val="cs-CZ" w:eastAsia="zh-CN" w:bidi="hi-IN"/>
        </w:rPr>
        <w:footnoteReference w:id="14"/>
      </w:r>
    </w:p>
    <w:p>
      <w:pPr>
        <w:pStyle w:val="Tlotextu"/>
        <w:numPr>
          <w:ilvl w:val="0"/>
          <w:numId w:val="5"/>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Základem dílčího poplatku je kapacita soustřeďovacích prostředků pro nemovitou věc na odpad za kalendářní měsíc v litrech připadající na poplatníka. </w:t>
      </w:r>
    </w:p>
    <w:p>
      <w:pPr>
        <w:pStyle w:val="Default"/>
        <w:numPr>
          <w:ilvl w:val="0"/>
          <w:numId w:val="5"/>
        </w:numPr>
        <w:jc w:val="both"/>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 xml:space="preserve">Objednanou kapacitou soustřeďovacích prostředků pro nemovitou věc na kalendářní měsíc připadající na poplatníka je </w:t>
      </w:r>
    </w:p>
    <w:p>
      <w:pPr>
        <w:pStyle w:val="Default"/>
        <w:spacing w:before="0" w:after="55"/>
        <w:ind w:left="567" w:hanging="0"/>
        <w:jc w:val="both"/>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rFonts w:ascii="Liberation Serif" w:hAnsi="Liberation Serif" w:eastAsia="NSimSun" w:cs="Lucida Sans"/>
          <w:color w:val="auto"/>
          <w:kern w:val="2"/>
          <w:sz w:val="24"/>
          <w:szCs w:val="24"/>
          <w:lang w:val="cs-CZ" w:eastAsia="zh-CN" w:bidi="hi-IN"/>
        </w:rPr>
      </w:pPr>
      <w:r>
        <w:rPr>
          <w:rFonts w:eastAsia="NSimSun" w:cs="Lucida Sans" w:ascii="Liberation Serif" w:hAnsi="Liberation Serif"/>
          <w:color w:val="auto"/>
          <w:kern w:val="2"/>
          <w:sz w:val="24"/>
          <w:szCs w:val="24"/>
          <w:lang w:val="cs-CZ" w:eastAsia="zh-CN" w:bidi="hi-IN"/>
        </w:rPr>
        <w:t xml:space="preserve">b) kapacita soustřeďovacích prostředků pro tuto nemovitou věc na kalendářní měsíc </w:t>
        <w:br/>
        <w:t xml:space="preserve">v případě, že v nemovité věci nemá bydliště žádná fyzická osoba. </w:t>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6</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Sazba poplatku</w:t>
      </w:r>
    </w:p>
    <w:p>
      <w:pPr>
        <w:pStyle w:val="Normal"/>
        <w:bidi w:val="0"/>
        <w:spacing w:lineRule="auto" w:line="264" w:before="120" w:after="60"/>
        <w:ind w:left="567" w:hanging="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Sazba poplatku činí 1,- Kč za jeden litr . </w:t>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7</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Výpočet poplatku</w:t>
      </w:r>
      <w:r>
        <w:rPr>
          <w:rStyle w:val="Ukotvenpoznmkypodarou"/>
          <w:rFonts w:eastAsia="NSimSun" w:cs="Lucida Sans"/>
          <w:color w:val="auto"/>
          <w:kern w:val="2"/>
          <w:sz w:val="24"/>
          <w:szCs w:val="24"/>
          <w:lang w:val="cs-CZ" w:eastAsia="zh-CN" w:bidi="hi-IN"/>
        </w:rPr>
        <w:footnoteReference w:id="15"/>
      </w:r>
    </w:p>
    <w:p>
      <w:pPr>
        <w:pStyle w:val="Tlotextu"/>
        <w:numPr>
          <w:ilvl w:val="0"/>
          <w:numId w:val="6"/>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Poplatek se vypočte jako součet dílčích poplatků za jednotlivé kalendářní měsíce, na jejichž konci </w:t>
      </w:r>
    </w:p>
    <w:p>
      <w:pPr>
        <w:pStyle w:val="Normal"/>
        <w:bidi w:val="0"/>
        <w:spacing w:lineRule="auto" w:line="264" w:before="120" w:after="60"/>
        <w:ind w:left="567" w:hanging="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a) měl poplatník v nemovité věci bydliště, nebo </w:t>
      </w:r>
    </w:p>
    <w:p>
      <w:pPr>
        <w:pStyle w:val="Normal"/>
        <w:bidi w:val="0"/>
        <w:spacing w:lineRule="auto" w:line="264" w:before="120" w:after="60"/>
        <w:ind w:left="567" w:hanging="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b) neměla v nemovité věci bydliště žádná fyzická osoba v případě, že poplatníkem je vlastník této nemovité věci. </w:t>
      </w:r>
    </w:p>
    <w:p>
      <w:pPr>
        <w:pStyle w:val="Tlotextu"/>
        <w:numPr>
          <w:ilvl w:val="0"/>
          <w:numId w:val="26"/>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Dílčí poplatek za kalendářní měsíc se vypočte jako součin základu dílčího poplatku zaokrouhleného na celé litry nahoru a sazby pro tento základ. </w:t>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8</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Splatnost poplatku</w:t>
      </w:r>
    </w:p>
    <w:p>
      <w:pPr>
        <w:pStyle w:val="Tlotextu"/>
        <w:numPr>
          <w:ilvl w:val="0"/>
          <w:numId w:val="7"/>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Plátce poplatku odvede vybraný poplatek správci poplatku nejpozděj</w:t>
      </w:r>
      <w:r>
        <w:rPr>
          <w:rFonts w:eastAsia="NSimSun" w:cs="Lucida Sans"/>
          <w:color w:val="000000"/>
          <w:kern w:val="2"/>
          <w:sz w:val="24"/>
          <w:szCs w:val="24"/>
          <w:shd w:fill="auto" w:val="clear"/>
          <w:lang w:val="cs-CZ" w:eastAsia="zh-CN" w:bidi="hi-IN"/>
        </w:rPr>
        <w:t xml:space="preserve">i do 1. února  </w:t>
      </w:r>
      <w:r>
        <w:rPr>
          <w:rFonts w:eastAsia="NSimSun" w:cs="Lucida Sans"/>
          <w:color w:val="auto"/>
          <w:kern w:val="2"/>
          <w:sz w:val="24"/>
          <w:szCs w:val="24"/>
          <w:lang w:val="cs-CZ" w:eastAsia="zh-CN" w:bidi="hi-IN"/>
        </w:rPr>
        <w:t xml:space="preserve">následujícího kalendářního roku. </w:t>
      </w:r>
    </w:p>
    <w:p>
      <w:pPr>
        <w:pStyle w:val="Normal"/>
        <w:numPr>
          <w:ilvl w:val="0"/>
          <w:numId w:val="7"/>
        </w:numPr>
        <w:bidi w:val="0"/>
        <w:spacing w:lineRule="auto" w:line="264" w:before="120" w:after="6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Není-li plátce poplatku, zaplatí poplatek ve lhůtě podle odstavce 1 poplatník.</w:t>
      </w:r>
      <w:r>
        <w:rPr>
          <w:rFonts w:eastAsia="NSimSun" w:cs="Lucida Sans"/>
          <w:color w:val="auto"/>
          <w:kern w:val="2"/>
          <w:sz w:val="24"/>
          <w:szCs w:val="24"/>
          <w:vertAlign w:val="superscript"/>
          <w:lang w:val="cs-CZ" w:eastAsia="zh-CN" w:bidi="hi-IN"/>
        </w:rPr>
        <w:t>12</w:t>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9</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Navýšení poplatku </w:t>
      </w:r>
    </w:p>
    <w:p>
      <w:pPr>
        <w:pStyle w:val="Tlotextu"/>
        <w:numPr>
          <w:ilvl w:val="0"/>
          <w:numId w:val="8"/>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 xml:space="preserve">Nebudou-li poplatky zaplaceny poplatníkem včas nebo ve správné výši, vyměří mu správce poplatku poplatek platebním výměrem nebo hromadným předpisným seznamem. </w:t>
      </w:r>
      <w:r>
        <w:rPr>
          <w:rStyle w:val="Ukotvenpoznmkypodarou"/>
          <w:rFonts w:eastAsia="NSimSun" w:cs="Lucida Sans"/>
          <w:color w:val="auto"/>
          <w:kern w:val="2"/>
          <w:sz w:val="24"/>
          <w:szCs w:val="24"/>
          <w:lang w:val="cs-CZ" w:eastAsia="zh-CN" w:bidi="hi-IN"/>
        </w:rPr>
        <w:footnoteReference w:id="16"/>
      </w:r>
    </w:p>
    <w:p>
      <w:pPr>
        <w:pStyle w:val="Normal"/>
        <w:numPr>
          <w:ilvl w:val="0"/>
          <w:numId w:val="8"/>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Nebudou-li poplatky odvedeny plátcem poplatku včas nebo ve správné výši, vyměří mu správce poplatku poplatek platebním výměrem k přímé úhradě.</w:t>
      </w:r>
      <w:r>
        <w:rPr>
          <w:rStyle w:val="Ukotvenpoznmkypodarou"/>
          <w:rFonts w:eastAsia="NSimSun" w:cs="Lucida Sans"/>
          <w:color w:val="auto"/>
          <w:kern w:val="2"/>
          <w:sz w:val="24"/>
          <w:szCs w:val="24"/>
          <w:lang w:val="cs-CZ" w:eastAsia="zh-CN" w:bidi="hi-IN"/>
        </w:rPr>
        <w:footnoteReference w:id="17"/>
      </w:r>
    </w:p>
    <w:p>
      <w:pPr>
        <w:pStyle w:val="Normal"/>
        <w:numPr>
          <w:ilvl w:val="0"/>
          <w:numId w:val="8"/>
        </w:numPr>
        <w:bidi w:val="0"/>
        <w:spacing w:lineRule="auto" w:line="312"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Včas nezaplacené nebo neodvedené poplatky nebo část těchto poplatků může správce poplatku zvýšit až na trojnásobek; toto zvýšení je příslušenstvím poplatku sledujícím jeho osud.</w:t>
      </w:r>
      <w:r>
        <w:rPr>
          <w:rStyle w:val="Ukotvenpoznmkypodarou"/>
          <w:rFonts w:eastAsia="NSimSun" w:cs="Lucida Sans"/>
          <w:color w:val="auto"/>
          <w:kern w:val="2"/>
          <w:sz w:val="24"/>
          <w:szCs w:val="24"/>
          <w:lang w:val="cs-CZ" w:eastAsia="zh-CN" w:bidi="hi-IN"/>
        </w:rPr>
        <w:footnoteReference w:id="18"/>
      </w:r>
    </w:p>
    <w:p>
      <w:pPr>
        <w:pStyle w:val="Slalnk"/>
        <w:bidi w:val="0"/>
        <w:spacing w:before="480" w:after="60"/>
        <w:ind w:left="3540" w:firstLine="708"/>
        <w:jc w:val="left"/>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10</w:t>
      </w:r>
    </w:p>
    <w:p>
      <w:pPr>
        <w:pStyle w:val="Nzvylnk"/>
        <w:bidi w:val="0"/>
        <w:ind w:left="3399" w:firstLine="141"/>
        <w:jc w:val="left"/>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Společná ustanovení</w:t>
      </w:r>
    </w:p>
    <w:p>
      <w:pPr>
        <w:pStyle w:val="Tlotextu"/>
        <w:numPr>
          <w:ilvl w:val="0"/>
          <w:numId w:val="9"/>
        </w:numPr>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eastAsia="NSimSun" w:cs="Lucida Sans"/>
          <w:color w:val="auto"/>
          <w:kern w:val="2"/>
          <w:sz w:val="24"/>
          <w:szCs w:val="24"/>
          <w:lang w:val="cs-CZ" w:eastAsia="zh-CN" w:bidi="hi-IN"/>
        </w:rPr>
        <w:footnoteReference w:id="19"/>
      </w:r>
    </w:p>
    <w:p>
      <w:pPr>
        <w:pStyle w:val="Normal"/>
        <w:numPr>
          <w:ilvl w:val="0"/>
          <w:numId w:val="9"/>
        </w:numPr>
        <w:bidi w:val="0"/>
        <w:spacing w:lineRule="auto" w:line="264"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eastAsia="NSimSun" w:cs="Lucida Sans"/>
          <w:color w:val="auto"/>
          <w:kern w:val="2"/>
          <w:sz w:val="24"/>
          <w:szCs w:val="24"/>
          <w:lang w:val="cs-CZ" w:eastAsia="zh-CN" w:bidi="hi-IN"/>
        </w:rPr>
        <w:footnoteReference w:id="20"/>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11</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Přechodné ustanovení</w:t>
      </w:r>
    </w:p>
    <w:p>
      <w:pPr>
        <w:pStyle w:val="Normal"/>
        <w:bidi w:val="0"/>
        <w:spacing w:lineRule="auto" w:line="264" w:before="120" w:after="0"/>
        <w:ind w:left="567" w:hanging="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Poplatkové povinnosti vzniklé před nabytím účinnosti této vyhlášky se posuzují podle dosavadních právních předpisů.</w:t>
      </w:r>
    </w:p>
    <w:p>
      <w:pPr>
        <w:pStyle w:val="Normal"/>
        <w:bidi w:val="0"/>
        <w:spacing w:lineRule="auto" w:line="264" w:before="120" w:after="0"/>
        <w:ind w:left="567" w:hanging="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Normal"/>
        <w:bidi w:val="0"/>
        <w:spacing w:lineRule="auto" w:line="264" w:before="120" w:after="0"/>
        <w:ind w:left="567" w:hanging="0"/>
        <w:jc w:val="center"/>
        <w:rPr>
          <w:b/>
          <w:b/>
          <w:bCs/>
        </w:rPr>
      </w:pPr>
      <w:r>
        <w:rPr>
          <w:rFonts w:eastAsia="NSimSun" w:cs="Lucida Sans"/>
          <w:b/>
          <w:bCs/>
          <w:color w:val="auto"/>
          <w:kern w:val="2"/>
          <w:sz w:val="24"/>
          <w:szCs w:val="24"/>
          <w:lang w:val="cs-CZ" w:eastAsia="zh-CN" w:bidi="hi-IN"/>
        </w:rPr>
        <w:t>Čl. 12</w:t>
      </w:r>
    </w:p>
    <w:p>
      <w:pPr>
        <w:pStyle w:val="Normal"/>
        <w:bidi w:val="0"/>
        <w:spacing w:lineRule="auto" w:line="264" w:before="120" w:after="0"/>
        <w:ind w:left="567" w:hanging="0"/>
        <w:jc w:val="center"/>
        <w:rPr>
          <w:b/>
          <w:b/>
          <w:bCs/>
        </w:rPr>
      </w:pPr>
      <w:r>
        <w:rPr>
          <w:rFonts w:eastAsia="NSimSun" w:cs="Lucida Sans"/>
          <w:b/>
          <w:bCs/>
          <w:color w:val="auto"/>
          <w:kern w:val="2"/>
          <w:sz w:val="24"/>
          <w:szCs w:val="24"/>
          <w:lang w:val="cs-CZ" w:eastAsia="zh-CN" w:bidi="hi-IN"/>
        </w:rPr>
        <w:t>Zrušovací  ustanovení</w:t>
      </w:r>
    </w:p>
    <w:p>
      <w:pPr>
        <w:pStyle w:val="Normal"/>
        <w:bidi w:val="0"/>
        <w:spacing w:lineRule="auto" w:line="264" w:before="120" w:after="0"/>
        <w:ind w:left="567" w:hanging="0"/>
        <w:jc w:val="left"/>
        <w:rPr>
          <w:b w:val="false"/>
          <w:b w:val="false"/>
          <w:bCs w:val="false"/>
        </w:rPr>
      </w:pPr>
      <w:r>
        <w:rPr>
          <w:rFonts w:eastAsia="NSimSun" w:cs="Lucida Sans"/>
          <w:b w:val="false"/>
          <w:bCs w:val="false"/>
          <w:color w:val="auto"/>
          <w:kern w:val="2"/>
          <w:sz w:val="24"/>
          <w:szCs w:val="24"/>
          <w:lang w:val="cs-CZ" w:eastAsia="zh-CN" w:bidi="hi-IN"/>
        </w:rPr>
        <w:t xml:space="preserve">Zrušuje se Obecně závazná vyhláška obce Paseky nad Jizerou č. 3/2021, o místním poplatku za odkládání komunálního odpadu z nemovité věci, ze dne 6.12.2021 . </w:t>
      </w:r>
    </w:p>
    <w:p>
      <w:pPr>
        <w:pStyle w:val="Normal"/>
        <w:bidi w:val="0"/>
        <w:spacing w:lineRule="auto" w:line="264" w:before="120" w:after="0"/>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Slalnk"/>
        <w:bidi w:val="0"/>
        <w:spacing w:before="480" w:after="6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Čl. 1</w:t>
      </w:r>
      <w:r>
        <w:rPr>
          <w:rFonts w:eastAsia="NSimSun" w:cs="Lucida Sans"/>
          <w:color w:val="auto"/>
          <w:kern w:val="2"/>
          <w:sz w:val="24"/>
          <w:szCs w:val="24"/>
          <w:lang w:val="cs-CZ" w:eastAsia="zh-CN" w:bidi="hi-IN"/>
        </w:rPr>
        <w:t>3</w:t>
      </w:r>
    </w:p>
    <w:p>
      <w:pPr>
        <w:pStyle w:val="Nzvylnk"/>
        <w:bidi w:val="0"/>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Účinnost</w:t>
      </w:r>
    </w:p>
    <w:p>
      <w:pPr>
        <w:pStyle w:val="Normal"/>
        <w:bidi w:val="0"/>
        <w:spacing w:lineRule="auto" w:line="288" w:before="120" w:after="0"/>
        <w:ind w:firstLine="708"/>
        <w:jc w:val="both"/>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Tato vyhláška nabývá účinnosti dnem 1. ledna 2023.</w:t>
      </w:r>
    </w:p>
    <w:p>
      <w:pPr>
        <w:pStyle w:val="Nzvylnk"/>
        <w:bidi w:val="0"/>
        <w:jc w:val="left"/>
        <w:rPr>
          <w:rFonts w:ascii="Times New Roman" w:hAnsi="Times New Roman" w:cs="Arial"/>
          <w:b w:val="false"/>
          <w:b w:val="false"/>
          <w:bCs w:val="false"/>
          <w:i/>
          <w:i/>
          <w:color w:val="1A4BD6"/>
          <w:sz w:val="24"/>
          <w:szCs w:val="24"/>
        </w:rPr>
      </w:pPr>
      <w:r>
        <w:rPr>
          <w:rFonts w:cs="Arial" w:ascii="Times New Roman" w:hAnsi="Times New Roman"/>
          <w:b w:val="false"/>
          <w:bCs w:val="false"/>
          <w:i/>
          <w:color w:val="1A4BD6"/>
          <w:sz w:val="24"/>
          <w:szCs w:val="24"/>
        </w:rPr>
      </w:r>
    </w:p>
    <w:p>
      <w:pPr>
        <w:pStyle w:val="Normal"/>
        <w:bidi w:val="0"/>
        <w:spacing w:lineRule="auto" w:line="264" w:before="120" w:after="0"/>
        <w:jc w:val="both"/>
        <w:rPr>
          <w:rFonts w:ascii="Times New Roman" w:hAnsi="Times New Roman" w:cs="Arial"/>
          <w:sz w:val="24"/>
          <w:szCs w:val="24"/>
        </w:rPr>
      </w:pPr>
      <w:r>
        <w:rPr>
          <w:rFonts w:cs="Arial" w:ascii="Times New Roman" w:hAnsi="Times New Roman"/>
          <w:sz w:val="24"/>
          <w:szCs w:val="24"/>
        </w:rPr>
      </w:r>
    </w:p>
    <w:p>
      <w:pPr>
        <w:pStyle w:val="Normal"/>
        <w:bidi w:val="0"/>
        <w:spacing w:lineRule="auto" w:line="264" w:before="120" w:after="0"/>
        <w:jc w:val="both"/>
        <w:rPr>
          <w:rFonts w:ascii="Times New Roman" w:hAnsi="Times New Roman" w:cs="Arial"/>
          <w:sz w:val="24"/>
          <w:szCs w:val="24"/>
        </w:rPr>
      </w:pPr>
      <w:r>
        <w:rPr>
          <w:rFonts w:cs="Arial" w:ascii="Times New Roman" w:hAnsi="Times New Roman"/>
          <w:sz w:val="24"/>
          <w:szCs w:val="24"/>
        </w:rPr>
      </w:r>
    </w:p>
    <w:p>
      <w:pPr>
        <w:pStyle w:val="Normal"/>
        <w:bidi w:val="0"/>
        <w:spacing w:lineRule="auto" w:line="264" w:before="120" w:after="0"/>
        <w:jc w:val="both"/>
        <w:rPr>
          <w:rFonts w:ascii="Times New Roman" w:hAnsi="Times New Roman" w:cs="Arial"/>
          <w:sz w:val="24"/>
          <w:szCs w:val="24"/>
        </w:rPr>
      </w:pPr>
      <w:r>
        <w:rPr>
          <w:rFonts w:cs="Arial" w:ascii="Times New Roman" w:hAnsi="Times New Roman"/>
          <w:sz w:val="24"/>
          <w:szCs w:val="24"/>
        </w:rPr>
      </w:r>
    </w:p>
    <w:p>
      <w:pPr>
        <w:pStyle w:val="Tlotextu"/>
        <w:tabs>
          <w:tab w:val="clear" w:pos="709"/>
          <w:tab w:val="left" w:pos="1440" w:leader="none"/>
          <w:tab w:val="left" w:pos="7020" w:leader="none"/>
        </w:tabs>
        <w:bidi w:val="0"/>
        <w:spacing w:lineRule="auto" w:line="264" w:before="0" w:after="0"/>
        <w:jc w:val="left"/>
        <w:rPr>
          <w:rFonts w:ascii="Times New Roman" w:hAnsi="Times New Roman"/>
          <w:sz w:val="24"/>
          <w:szCs w:val="24"/>
        </w:rPr>
      </w:pPr>
      <w:r>
        <w:rPr>
          <w:rFonts w:cs="Arial" w:ascii="Times New Roman" w:hAnsi="Times New Roman"/>
          <w:i/>
          <w:sz w:val="24"/>
          <w:szCs w:val="24"/>
        </w:rPr>
        <w:tab/>
        <w:tab/>
      </w:r>
    </w:p>
    <w:p>
      <w:pPr>
        <w:pStyle w:val="Tlotextu"/>
        <w:tabs>
          <w:tab w:val="clear" w:pos="709"/>
          <w:tab w:val="left" w:pos="720" w:leader="none"/>
          <w:tab w:val="left" w:pos="6120" w:leader="none"/>
        </w:tabs>
        <w:bidi w:val="0"/>
        <w:spacing w:lineRule="auto" w:line="264" w:before="0" w:after="0"/>
        <w:jc w:val="left"/>
        <w:rPr>
          <w:rFonts w:ascii="Times New Roman" w:hAnsi="Times New Roman"/>
          <w:sz w:val="24"/>
          <w:szCs w:val="24"/>
        </w:rPr>
      </w:pPr>
      <w:r>
        <w:rPr>
          <w:rFonts w:cs="Arial" w:ascii="Times New Roman" w:hAnsi="Times New Roman"/>
          <w:i/>
          <w:sz w:val="24"/>
          <w:szCs w:val="24"/>
        </w:rPr>
        <w:tab/>
        <w:t xml:space="preserve">   ...................................</w:t>
        <w:tab/>
        <w:t>..........................................</w:t>
      </w:r>
    </w:p>
    <w:p>
      <w:pPr>
        <w:pStyle w:val="Tlotextu"/>
        <w:tabs>
          <w:tab w:val="clear" w:pos="709"/>
          <w:tab w:val="left" w:pos="1080" w:leader="none"/>
          <w:tab w:val="left" w:pos="6660" w:leader="none"/>
        </w:tabs>
        <w:bidi w:val="0"/>
        <w:spacing w:lineRule="auto" w:line="264" w:before="0" w:after="0"/>
        <w:jc w:val="left"/>
        <w:rPr>
          <w:rFonts w:ascii="Times New Roman" w:hAnsi="Times New Roman"/>
          <w:sz w:val="24"/>
          <w:szCs w:val="24"/>
        </w:rPr>
      </w:pPr>
      <w:r>
        <w:rPr>
          <w:rFonts w:cs="Arial" w:ascii="Times New Roman" w:hAnsi="Times New Roman"/>
          <w:sz w:val="24"/>
          <w:szCs w:val="24"/>
        </w:rPr>
        <w:tab/>
      </w:r>
      <w:r>
        <w:rPr>
          <w:rFonts w:eastAsia="NSimSun" w:cs="Lucida Sans"/>
          <w:color w:val="auto"/>
          <w:kern w:val="2"/>
          <w:sz w:val="24"/>
          <w:szCs w:val="24"/>
          <w:lang w:val="cs-CZ" w:eastAsia="zh-CN" w:bidi="hi-IN"/>
        </w:rPr>
        <w:t xml:space="preserve">Bc. Jan Špidlen </w:t>
        <w:tab/>
        <w:t>Hana Růžičková</w:t>
      </w:r>
    </w:p>
    <w:p>
      <w:pPr>
        <w:pStyle w:val="Tlotextu"/>
        <w:tabs>
          <w:tab w:val="clear" w:pos="709"/>
          <w:tab w:val="left" w:pos="1080" w:leader="none"/>
          <w:tab w:val="left" w:pos="7020" w:leader="none"/>
        </w:tabs>
        <w:bidi w:val="0"/>
        <w:spacing w:lineRule="auto" w:line="264" w:before="0" w:after="0"/>
        <w:jc w:val="left"/>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tab/>
        <w:t xml:space="preserve">  místostarosta</w:t>
        <w:tab/>
        <w:t>starostka</w:t>
      </w:r>
    </w:p>
    <w:p>
      <w:pPr>
        <w:pStyle w:val="Tlotextu"/>
        <w:tabs>
          <w:tab w:val="clear" w:pos="709"/>
          <w:tab w:val="left" w:pos="1080" w:leader="none"/>
          <w:tab w:val="left" w:pos="7020" w:leader="none"/>
        </w:tabs>
        <w:bidi w:val="0"/>
        <w:spacing w:lineRule="auto" w:line="264" w:before="0" w:after="0"/>
        <w:jc w:val="left"/>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Tlotextu"/>
        <w:tabs>
          <w:tab w:val="clear" w:pos="709"/>
          <w:tab w:val="left" w:pos="1080" w:leader="none"/>
          <w:tab w:val="left" w:pos="7020" w:leader="none"/>
        </w:tabs>
        <w:bidi w:val="0"/>
        <w:spacing w:lineRule="auto" w:line="264" w:before="120" w:after="0"/>
        <w:jc w:val="left"/>
        <w:rPr>
          <w:rFonts w:ascii="Liberation Serif" w:hAnsi="Liberation Serif" w:eastAsia="NSimSun" w:cs="Lucida Sans"/>
          <w:color w:val="auto"/>
          <w:kern w:val="2"/>
          <w:sz w:val="24"/>
          <w:szCs w:val="24"/>
          <w:lang w:val="cs-CZ" w:eastAsia="zh-CN" w:bidi="hi-IN"/>
        </w:rPr>
      </w:pPr>
      <w:r>
        <w:rPr>
          <w:rFonts w:eastAsia="NSimSun" w:cs="Lucida Sans"/>
          <w:color w:val="auto"/>
          <w:kern w:val="2"/>
          <w:sz w:val="24"/>
          <w:szCs w:val="24"/>
          <w:lang w:val="cs-CZ" w:eastAsia="zh-CN" w:bidi="hi-IN"/>
        </w:rPr>
      </w:r>
    </w:p>
    <w:p>
      <w:pPr>
        <w:pStyle w:val="Tlotextu"/>
        <w:tabs>
          <w:tab w:val="clear" w:pos="709"/>
          <w:tab w:val="left" w:pos="1080" w:leader="none"/>
          <w:tab w:val="left" w:pos="7020" w:leader="none"/>
        </w:tabs>
        <w:bidi w:val="0"/>
        <w:spacing w:lineRule="auto" w:line="264" w:before="120" w:after="0"/>
        <w:jc w:val="left"/>
        <w:rPr>
          <w:rFonts w:ascii="Liberation Serif" w:hAnsi="Liberation Serif" w:eastAsia="NSimSun" w:cs="Lucida Sans"/>
          <w:color w:val="auto"/>
          <w:kern w:val="2"/>
          <w:sz w:val="24"/>
          <w:szCs w:val="24"/>
          <w:lang w:val="cs-CZ" w:eastAsia="zh-CN" w:bidi="hi-IN"/>
        </w:rPr>
      </w:pPr>
      <w:r>
        <w:rPr/>
      </w:r>
    </w:p>
    <w:sectPr>
      <w:footnotePr>
        <w:numFmt w:val="decimal"/>
      </w:footnotePr>
      <w:type w:val="nextPage"/>
      <w:pgSz w:w="11906" w:h="16838"/>
      <w:pgMar w:left="1134" w:right="1134" w:header="0" w:top="850"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Cambria">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bidi w:val="0"/>
        <w:jc w:val="left"/>
        <w:rPr>
          <w:rFonts w:ascii="Arial" w:hAnsi="Arial" w:cs="Arial"/>
          <w:sz w:val="18"/>
          <w:szCs w:val="18"/>
        </w:rPr>
      </w:pPr>
      <w:r>
        <w:rPr>
          <w:rStyle w:val="Znakypropoznmkupodarou"/>
        </w:rPr>
        <w:footnoteRef/>
      </w:r>
      <w:r>
        <w:rPr>
          <w:rStyle w:val="FootnoteCharacters"/>
        </w:rPr>
        <w:tab/>
        <w:t xml:space="preserve"> </w:t>
      </w:r>
      <w:r>
        <w:rPr>
          <w:rFonts w:cs="Arial" w:ascii="Arial" w:hAnsi="Arial"/>
          <w:sz w:val="18"/>
          <w:szCs w:val="18"/>
        </w:rPr>
        <w:t>§ 15 odst. 1 zákona, o místních poplatcích</w:t>
      </w:r>
    </w:p>
  </w:footnote>
  <w:footnote w:id="3">
    <w:p>
      <w:pPr>
        <w:pStyle w:val="Poznmkapodarou"/>
        <w:suppressLineNumbers/>
        <w:bidi w:val="0"/>
        <w:ind w:left="339" w:hanging="339"/>
        <w:jc w:val="left"/>
        <w:rPr/>
      </w:pPr>
      <w:r>
        <w:rPr>
          <w:rStyle w:val="Znakypropoznmkupodarou"/>
        </w:rPr>
        <w:footnoteRef/>
      </w:r>
      <w:r>
        <w:rPr/>
        <w:tab/>
        <w:t xml:space="preserve"> </w:t>
      </w:r>
      <w:r>
        <w:rPr>
          <w:rStyle w:val="FootnoteCharacters"/>
          <w:position w:val="0"/>
          <w:sz w:val="20"/>
          <w:sz w:val="20"/>
          <w:vertAlign w:val="baseline"/>
        </w:rPr>
        <w:t>§</w:t>
      </w:r>
      <w:r>
        <w:rPr>
          <w:rFonts w:cs="Arial" w:ascii="Arial" w:hAnsi="Arial"/>
          <w:sz w:val="18"/>
          <w:szCs w:val="18"/>
        </w:rPr>
        <w:t xml:space="preserve"> 10j zákona o místních poplatcích</w:t>
      </w:r>
    </w:p>
  </w:footnote>
  <w:footnote w:id="4">
    <w:p>
      <w:pPr>
        <w:pStyle w:val="Poznmkapodarou"/>
        <w:bidi w:val="0"/>
        <w:jc w:val="left"/>
        <w:rPr>
          <w:rFonts w:ascii="Arial" w:hAnsi="Arial" w:cs="Arial"/>
          <w:sz w:val="18"/>
          <w:szCs w:val="18"/>
        </w:rPr>
      </w:pPr>
      <w:r>
        <w:rPr>
          <w:rStyle w:val="Znakypropoznmkupodarou"/>
        </w:rPr>
        <w:footnoteRef/>
      </w:r>
      <w:r>
        <w:rPr>
          <w:rStyle w:val="FootnoteCharacters"/>
        </w:rPr>
        <w:tab/>
        <w:t xml:space="preserve"> </w:t>
      </w:r>
      <w:r>
        <w:rPr>
          <w:rStyle w:val="FootnoteCharacters"/>
          <w:position w:val="0"/>
          <w:sz w:val="20"/>
          <w:sz w:val="20"/>
          <w:vertAlign w:val="baseline"/>
        </w:rPr>
        <w:t>§</w:t>
      </w:r>
      <w:r>
        <w:rPr>
          <w:rFonts w:cs="Arial" w:ascii="Arial" w:hAnsi="Arial"/>
          <w:sz w:val="18"/>
          <w:szCs w:val="18"/>
        </w:rPr>
        <w:t xml:space="preserve"> 10i zákona o místních poplatcích</w:t>
      </w:r>
    </w:p>
  </w:footnote>
  <w:footnote w:id="5">
    <w:p>
      <w:pPr>
        <w:pStyle w:val="Poznmkapodarou"/>
        <w:suppressLineNumbers/>
        <w:bidi w:val="0"/>
        <w:ind w:left="339" w:hanging="339"/>
        <w:jc w:val="left"/>
        <w:rPr/>
      </w:pPr>
      <w:r>
        <w:rPr>
          <w:rStyle w:val="Znakypropoznmkupodarou"/>
        </w:rPr>
        <w:footnoteRef/>
      </w:r>
      <w:r>
        <w:rPr/>
        <w:tab/>
        <w:t xml:space="preserve"> </w:t>
      </w:r>
      <w:r>
        <w:rPr/>
        <w:t xml:space="preserve">§ </w:t>
      </w:r>
      <w:r>
        <w:rPr>
          <w:rFonts w:cs="Arial" w:ascii="Arial" w:hAnsi="Arial"/>
          <w:sz w:val="18"/>
          <w:szCs w:val="18"/>
        </w:rPr>
        <w:t>10n odst. 1  zákona o místních poplatcích</w:t>
      </w:r>
    </w:p>
  </w:footnote>
  <w:footnote w:id="6">
    <w:p>
      <w:pPr>
        <w:pStyle w:val="Poznmkapodarou"/>
        <w:suppressLineNumbers/>
        <w:bidi w:val="0"/>
        <w:ind w:left="339" w:hanging="339"/>
        <w:jc w:val="left"/>
        <w:rPr/>
      </w:pPr>
      <w:r>
        <w:rPr>
          <w:rStyle w:val="Znakypropoznmkupodarou"/>
        </w:rPr>
        <w:footnoteRef/>
      </w:r>
      <w:r>
        <w:rPr/>
        <w:tab/>
        <w:t xml:space="preserve"> </w:t>
      </w:r>
      <w:r>
        <w:rPr/>
        <w:t xml:space="preserve">§ </w:t>
      </w:r>
      <w:r>
        <w:rPr>
          <w:rFonts w:cs="Arial" w:ascii="Arial" w:hAnsi="Arial"/>
          <w:sz w:val="18"/>
          <w:szCs w:val="18"/>
        </w:rPr>
        <w:t>10n odst. 2  zákona o místních poplatcích</w:t>
      </w:r>
    </w:p>
  </w:footnote>
  <w:footnote w:id="7">
    <w:p>
      <w:pPr>
        <w:pStyle w:val="Poznmkapodarou"/>
        <w:suppressLineNumbers/>
        <w:bidi w:val="0"/>
        <w:ind w:left="339" w:hanging="339"/>
        <w:jc w:val="left"/>
        <w:rPr/>
      </w:pPr>
      <w:r>
        <w:rPr>
          <w:rStyle w:val="Znakypropoznmkupodarou"/>
        </w:rPr>
        <w:footnoteRef/>
      </w:r>
      <w:r>
        <w:rPr/>
        <w:tab/>
        <w:t xml:space="preserve"> </w:t>
      </w:r>
      <w:r>
        <w:rPr>
          <w:rStyle w:val="FootnoteCharacters"/>
          <w:position w:val="0"/>
          <w:sz w:val="20"/>
          <w:sz w:val="20"/>
          <w:vertAlign w:val="baseline"/>
        </w:rPr>
        <w:t>§</w:t>
      </w:r>
      <w:r>
        <w:rPr>
          <w:rFonts w:cs="Arial" w:ascii="Arial" w:hAnsi="Arial"/>
          <w:sz w:val="18"/>
          <w:szCs w:val="18"/>
        </w:rPr>
        <w:t xml:space="preserve"> 10p zákona o místních poplatcích</w:t>
      </w:r>
    </w:p>
  </w:footnote>
  <w:footnote w:id="8">
    <w:p>
      <w:pPr>
        <w:pStyle w:val="Poznmkapodarou"/>
        <w:suppressLineNumbers/>
        <w:bidi w:val="0"/>
        <w:ind w:left="339" w:hanging="339"/>
        <w:jc w:val="left"/>
        <w:rPr/>
      </w:pPr>
      <w:r>
        <w:rPr>
          <w:rStyle w:val="Znakypropoznmkupodarou"/>
        </w:rPr>
        <w:footnoteRef/>
      </w:r>
      <w:r>
        <w:rPr/>
        <w:tab/>
        <w:t xml:space="preserve"> </w:t>
      </w:r>
      <w:r>
        <w:rPr>
          <w:rFonts w:cs="Arial" w:ascii="Arial" w:hAnsi="Arial"/>
          <w:sz w:val="18"/>
          <w:szCs w:val="18"/>
        </w:rPr>
        <w:t>§ 10o odst. 1 zákona o místních poplatcích</w:t>
      </w:r>
    </w:p>
  </w:footnote>
  <w:footnote w:id="9">
    <w:p>
      <w:pPr>
        <w:pStyle w:val="Poznmkapodarou"/>
        <w:bidi w:val="0"/>
        <w:jc w:val="left"/>
        <w:rPr>
          <w:rFonts w:ascii="Arial" w:hAnsi="Arial" w:cs="Arial"/>
          <w:sz w:val="18"/>
          <w:szCs w:val="18"/>
        </w:rPr>
      </w:pPr>
      <w:r>
        <w:rPr>
          <w:rStyle w:val="Znakypropoznmkupodarou"/>
        </w:rPr>
        <w:footnoteRef/>
      </w:r>
      <w:r>
        <w:rPr>
          <w:rFonts w:cs="Arial" w:ascii="Arial" w:hAnsi="Arial"/>
          <w:sz w:val="18"/>
          <w:szCs w:val="18"/>
        </w:rPr>
        <w:tab/>
        <w:t xml:space="preserve"> </w:t>
      </w:r>
      <w:r>
        <w:rPr>
          <w:rFonts w:cs="Arial" w:ascii="Arial" w:hAnsi="Arial"/>
          <w:sz w:val="18"/>
          <w:szCs w:val="18"/>
        </w:rPr>
        <w:t>§ 14a odst. 2 zákona o místních poplatcích</w:t>
      </w:r>
    </w:p>
  </w:footnote>
  <w:footnote w:id="10">
    <w:p>
      <w:pPr>
        <w:pStyle w:val="Poznmkapodarou"/>
        <w:bidi w:val="0"/>
        <w:jc w:val="left"/>
        <w:rPr>
          <w:rFonts w:ascii="Arial" w:hAnsi="Arial" w:cs="Arial"/>
          <w:sz w:val="18"/>
          <w:szCs w:val="18"/>
        </w:rPr>
      </w:pPr>
      <w:r>
        <w:rPr>
          <w:rStyle w:val="Znakypropoznmkupodarou"/>
        </w:rPr>
        <w:footnoteRef/>
      </w:r>
      <w:r>
        <w:rPr>
          <w:rFonts w:cs="Arial" w:ascii="Arial" w:hAnsi="Arial"/>
          <w:sz w:val="18"/>
          <w:szCs w:val="18"/>
        </w:rPr>
        <w:tab/>
        <w:t xml:space="preserve"> </w:t>
      </w:r>
      <w:r>
        <w:rPr>
          <w:rFonts w:cs="Arial" w:ascii="Arial" w:hAnsi="Arial"/>
          <w:sz w:val="18"/>
          <w:szCs w:val="18"/>
        </w:rPr>
        <w:t>§ 14a odst. 3 zákona o místních poplatcích</w:t>
      </w:r>
    </w:p>
  </w:footnote>
  <w:footnote w:id="11">
    <w:p>
      <w:pPr>
        <w:pStyle w:val="Poznmkapodarou"/>
        <w:bidi w:val="0"/>
        <w:jc w:val="left"/>
        <w:rPr>
          <w:rFonts w:ascii="Arial" w:hAnsi="Arial" w:cs="Arial"/>
          <w:sz w:val="18"/>
          <w:szCs w:val="18"/>
        </w:rPr>
      </w:pPr>
      <w:r>
        <w:rPr>
          <w:rStyle w:val="Znakypropoznmkupodarou"/>
        </w:rPr>
        <w:footnoteRef/>
      </w:r>
      <w:r>
        <w:rPr>
          <w:rFonts w:cs="Arial" w:ascii="Arial" w:hAnsi="Arial"/>
          <w:sz w:val="18"/>
          <w:szCs w:val="18"/>
        </w:rPr>
        <w:tab/>
        <w:t xml:space="preserve"> </w:t>
      </w:r>
      <w:r>
        <w:rPr>
          <w:rFonts w:cs="Arial" w:ascii="Arial" w:hAnsi="Arial"/>
          <w:sz w:val="18"/>
          <w:szCs w:val="18"/>
        </w:rPr>
        <w:t>§ 14a odst. 4 zákona o místních poplatcích</w:t>
      </w:r>
    </w:p>
  </w:footnote>
  <w:footnote w:id="12">
    <w:p>
      <w:pPr>
        <w:pStyle w:val="Poznmkapodarou"/>
        <w:suppressLineNumbers/>
        <w:bidi w:val="0"/>
        <w:ind w:left="339" w:hanging="339"/>
        <w:jc w:val="left"/>
        <w:rPr/>
      </w:pPr>
      <w:r>
        <w:rPr>
          <w:rStyle w:val="Znakypropoznmkupodarou"/>
        </w:rPr>
        <w:footnoteRef/>
      </w:r>
      <w:r>
        <w:rPr/>
        <w:tab/>
        <w:t xml:space="preserve"> </w:t>
      </w:r>
      <w:r>
        <w:rPr>
          <w:rFonts w:cs="Arial" w:ascii="Arial" w:hAnsi="Arial"/>
          <w:sz w:val="18"/>
          <w:szCs w:val="18"/>
        </w:rPr>
        <w:t>§ 14a odst. 5 zákona o místních poplatcích</w:t>
      </w:r>
    </w:p>
  </w:footnote>
  <w:footnote w:id="13">
    <w:p>
      <w:pPr>
        <w:pStyle w:val="Poznmkapodarou"/>
        <w:bidi w:val="0"/>
        <w:jc w:val="left"/>
        <w:rPr>
          <w:rFonts w:ascii="Arial" w:hAnsi="Arial" w:cs="Arial"/>
          <w:sz w:val="18"/>
          <w:szCs w:val="18"/>
        </w:rPr>
      </w:pPr>
      <w:r>
        <w:rPr>
          <w:rStyle w:val="Znakypropoznmkupodarou"/>
        </w:rPr>
        <w:footnoteRef/>
      </w:r>
      <w:r>
        <w:rPr/>
        <w:tab/>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suppressLineNumbers/>
        <w:bidi w:val="0"/>
        <w:ind w:left="339" w:hanging="339"/>
        <w:jc w:val="left"/>
        <w:rPr/>
      </w:pPr>
      <w:r>
        <w:rPr>
          <w:rStyle w:val="Znakypropoznmkupodarou"/>
        </w:rPr>
        <w:footnoteRef/>
      </w:r>
      <w:r>
        <w:rPr/>
        <w:tab/>
        <w:t xml:space="preserve"> </w:t>
      </w:r>
      <w:r>
        <w:rPr/>
        <w:t xml:space="preserve">§ </w:t>
      </w:r>
      <w:r>
        <w:rPr>
          <w:rFonts w:cs="Arial" w:ascii="Arial" w:hAnsi="Arial"/>
          <w:sz w:val="18"/>
          <w:szCs w:val="18"/>
        </w:rPr>
        <w:t>10k ve spojení s § 10o odst. 2 zákona o místních poplatcích</w:t>
      </w:r>
    </w:p>
  </w:footnote>
  <w:footnote w:id="15">
    <w:p>
      <w:pPr>
        <w:pStyle w:val="Poznmkapodarou"/>
        <w:suppressLineNumbers/>
        <w:bidi w:val="0"/>
        <w:ind w:left="339" w:hanging="339"/>
        <w:jc w:val="left"/>
        <w:rPr/>
      </w:pPr>
      <w:r>
        <w:rPr>
          <w:rStyle w:val="Znakypropoznmkupodarou"/>
        </w:rPr>
        <w:footnoteRef/>
      </w:r>
      <w:r>
        <w:rPr/>
        <w:tab/>
        <w:t xml:space="preserve">  </w:t>
      </w:r>
      <w:r>
        <w:rPr/>
        <w:t xml:space="preserve">§ </w:t>
      </w:r>
      <w:r>
        <w:rPr>
          <w:rFonts w:cs="Arial" w:ascii="Arial" w:hAnsi="Arial"/>
          <w:sz w:val="18"/>
          <w:szCs w:val="18"/>
        </w:rPr>
        <w:t>10m ve spojení s § 10o odst. 2 zákona o místních poplatcích</w:t>
      </w:r>
    </w:p>
  </w:footnote>
  <w:footnote w:id="16">
    <w:p>
      <w:pPr>
        <w:pStyle w:val="Poznmkapodarou"/>
        <w:suppressLineNumbers/>
        <w:bidi w:val="0"/>
        <w:ind w:left="339" w:hanging="339"/>
        <w:jc w:val="left"/>
        <w:rPr/>
      </w:pPr>
      <w:r>
        <w:rPr>
          <w:rStyle w:val="Znakypropoznmkupodarou"/>
        </w:rPr>
        <w:footnoteRef/>
      </w:r>
      <w:r>
        <w:rPr/>
        <w:tab/>
        <w:t xml:space="preserve"> </w:t>
      </w:r>
      <w:r>
        <w:rPr>
          <w:rFonts w:cs="Arial" w:ascii="Arial" w:hAnsi="Arial"/>
          <w:sz w:val="18"/>
          <w:szCs w:val="18"/>
        </w:rPr>
        <w:t>§ 11 odst. 1 zákona o místních poplatcích</w:t>
      </w:r>
    </w:p>
  </w:footnote>
  <w:footnote w:id="17">
    <w:p>
      <w:pPr>
        <w:pStyle w:val="Poznmkapodarou"/>
        <w:bidi w:val="0"/>
        <w:jc w:val="left"/>
        <w:rPr>
          <w:rFonts w:ascii="Arial" w:hAnsi="Arial" w:cs="Arial"/>
          <w:sz w:val="18"/>
          <w:szCs w:val="18"/>
        </w:rPr>
      </w:pPr>
      <w:r>
        <w:rPr>
          <w:rStyle w:val="Znakypropoznmkupodarou"/>
        </w:rPr>
        <w:footnoteRef/>
      </w:r>
      <w:r>
        <w:rPr>
          <w:rFonts w:cs="Arial" w:ascii="Arial" w:hAnsi="Arial"/>
          <w:sz w:val="22"/>
          <w:szCs w:val="22"/>
        </w:rPr>
        <w:tab/>
        <w:t xml:space="preserve"> </w:t>
      </w:r>
      <w:r>
        <w:rPr>
          <w:rFonts w:cs="Arial" w:ascii="Arial" w:hAnsi="Arial"/>
          <w:sz w:val="18"/>
          <w:szCs w:val="18"/>
        </w:rPr>
        <w:t>§ 11 odst. 2 zákona o místních poplatcích</w:t>
      </w:r>
    </w:p>
  </w:footnote>
  <w:footnote w:id="18">
    <w:p>
      <w:pPr>
        <w:pStyle w:val="Poznmkapodarou"/>
        <w:bidi w:val="0"/>
        <w:jc w:val="left"/>
        <w:rPr>
          <w:rFonts w:ascii="Arial" w:hAnsi="Arial" w:cs="Arial"/>
          <w:sz w:val="18"/>
          <w:szCs w:val="18"/>
        </w:rPr>
      </w:pPr>
      <w:r>
        <w:rPr>
          <w:rStyle w:val="Znakypropoznmkupodarou"/>
        </w:rPr>
        <w:footnoteRef/>
      </w:r>
      <w:r>
        <w:rPr>
          <w:rFonts w:cs="Arial" w:ascii="Arial" w:hAnsi="Arial"/>
          <w:sz w:val="18"/>
          <w:szCs w:val="18"/>
        </w:rPr>
        <w:tab/>
        <w:t xml:space="preserve"> </w:t>
      </w:r>
      <w:r>
        <w:rPr>
          <w:rFonts w:cs="Arial" w:ascii="Arial" w:hAnsi="Arial"/>
          <w:sz w:val="18"/>
          <w:szCs w:val="18"/>
        </w:rPr>
        <w:t>§ 11 odst. 3 zákona o místních poplatcích</w:t>
      </w:r>
    </w:p>
  </w:footnote>
  <w:footnote w:id="19">
    <w:p>
      <w:pPr>
        <w:pStyle w:val="Poznmkapodarou"/>
        <w:suppressLineNumbers/>
        <w:bidi w:val="0"/>
        <w:ind w:left="339" w:hanging="339"/>
        <w:jc w:val="left"/>
        <w:rPr/>
      </w:pPr>
      <w:r>
        <w:rPr>
          <w:rStyle w:val="Znakypropoznmkupodarou"/>
        </w:rPr>
        <w:footnoteRef/>
      </w:r>
      <w:r>
        <w:rPr/>
        <w:tab/>
        <w:t xml:space="preserve"> </w:t>
      </w:r>
      <w:r>
        <w:rPr>
          <w:rFonts w:cs="Arial" w:ascii="Arial" w:hAnsi="Arial"/>
          <w:sz w:val="18"/>
          <w:szCs w:val="18"/>
        </w:rPr>
        <w:t>§ 10q zákona o místních poplatcích</w:t>
      </w:r>
    </w:p>
  </w:footnote>
  <w:footnote w:id="20">
    <w:p>
      <w:pPr>
        <w:pStyle w:val="Poznmkapodarou"/>
        <w:suppressLineNumbers/>
        <w:bidi w:val="0"/>
        <w:ind w:left="339" w:hanging="339"/>
        <w:jc w:val="left"/>
        <w:rPr/>
      </w:pPr>
      <w:r>
        <w:rPr>
          <w:rStyle w:val="Znakypropoznmkupodarou"/>
        </w:rPr>
        <w:footnoteRef/>
      </w:r>
      <w:r>
        <w:rPr/>
        <w:tab/>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4"/>
        <w:sz w:val="24"/>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3">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5">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7">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8">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9">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0">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1">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2">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3">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5">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7">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0"/>
    <w:lvlOverride w:ilvl="0">
      <w:startOverride w:val="3"/>
    </w:lvlOverride>
  </w:num>
  <w:num w:numId="20">
    <w:abstractNumId w:val="11"/>
    <w:lvlOverride w:ilvl="0">
      <w:startOverride w:val="4"/>
    </w:lvlOverride>
  </w:num>
  <w:num w:numId="21">
    <w:abstractNumId w:val="11"/>
  </w:num>
  <w:num w:numId="22">
    <w:abstractNumId w:val="13"/>
    <w:lvlOverride w:ilvl="0">
      <w:startOverride w:val="3"/>
    </w:lvlOverride>
  </w:num>
  <w:num w:numId="23">
    <w:abstractNumId w:val="13"/>
  </w:num>
  <w:num w:numId="24">
    <w:abstractNumId w:val="13"/>
  </w:num>
  <w:num w:numId="25">
    <w:abstractNumId w:val="13"/>
  </w:num>
  <w:num w:numId="26">
    <w:abstractNumId w:val="17"/>
    <w:lvlOverride w:ilvl="0">
      <w:startOverride w:val="2"/>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cs-CZ" w:eastAsia="zh-CN" w:bidi="hi-IN"/>
    </w:rPr>
  </w:style>
  <w:style w:type="character" w:styleId="FootnoteCharacters">
    <w:name w:val="Footnote Characters"/>
    <w:qFormat/>
    <w:rPr>
      <w:vertAlign w:val="superscript"/>
    </w:rPr>
  </w:style>
  <w:style w:type="character" w:styleId="Ukotvenpoznmkypodarou">
    <w:name w:val="Ukotvení poznámky pod čarou"/>
    <w:rPr>
      <w:vertAlign w:val="superscrip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character" w:styleId="Symbolyproslovn">
    <w:name w:val="Symboly pro číslování"/>
    <w:qFormat/>
    <w:rPr>
      <w:rFonts w:ascii="Times New Roman" w:hAnsi="Times New Roman"/>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Zhlav">
    <w:name w:val="Header"/>
    <w:basedOn w:val="Normal"/>
    <w:pPr>
      <w:tabs>
        <w:tab w:val="clear" w:pos="709"/>
        <w:tab w:val="center" w:pos="4536" w:leader="none"/>
        <w:tab w:val="right" w:pos="9072" w:leader="none"/>
      </w:tabs>
    </w:pPr>
    <w:rPr/>
  </w:style>
  <w:style w:type="paragraph" w:styleId="Nzev">
    <w:name w:val="Title"/>
    <w:basedOn w:val="Normal"/>
    <w:qFormat/>
    <w:pPr>
      <w:spacing w:before="240" w:after="60"/>
      <w:jc w:val="center"/>
      <w:outlineLvl w:val="0"/>
    </w:pPr>
    <w:rPr>
      <w:rFonts w:ascii="Arial" w:hAnsi="Arial" w:cs="Arial"/>
      <w:b/>
      <w:bCs/>
      <w:kern w:val="2"/>
      <w:sz w:val="32"/>
      <w:szCs w:val="32"/>
    </w:rPr>
  </w:style>
  <w:style w:type="paragraph" w:styleId="Nzevzkona">
    <w:name w:val="název zákona"/>
    <w:basedOn w:val="Nzev"/>
    <w:qFormat/>
    <w:pPr/>
    <w:rPr>
      <w:rFonts w:ascii="Cambria" w:hAnsi="Cambria" w:cs="Cambria"/>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Odsazentlatextu">
    <w:name w:val="Body Text Indent"/>
    <w:basedOn w:val="Normal"/>
    <w:pPr>
      <w:ind w:left="708" w:firstLine="357"/>
      <w:jc w:val="both"/>
    </w:pPr>
    <w:rPr/>
  </w:style>
  <w:style w:type="paragraph" w:styleId="Poznmkapodarou">
    <w:name w:val="Footnote Text"/>
    <w:basedOn w:val="Normal"/>
    <w:pPr>
      <w:suppressLineNumbers/>
      <w:ind w:left="339" w:hanging="339"/>
    </w:pPr>
    <w:rPr>
      <w:sz w:val="20"/>
      <w:szCs w:val="20"/>
    </w:rPr>
  </w:style>
  <w:style w:type="paragraph" w:styleId="Default">
    <w:name w:val="Default"/>
    <w:qFormat/>
    <w:pPr>
      <w:widowControl/>
      <w:suppressAutoHyphens w:val="true"/>
      <w:bidi w:val="0"/>
      <w:spacing w:before="0" w:after="0"/>
      <w:jc w:val="left"/>
    </w:pPr>
    <w:rPr>
      <w:rFonts w:ascii="Arial" w:hAnsi="Arial" w:eastAsia="NSimSun" w:cs="Arial"/>
      <w:color w:val="000000"/>
      <w:kern w:val="2"/>
      <w:sz w:val="24"/>
      <w:szCs w:val="24"/>
      <w:lang w:val="cs-CZ"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LibreOffice/7.1.4.2$Windows_X86_64 LibreOffice_project/a529a4fab45b75fefc5b6226684193eb000654f6</Application>
  <AppVersion>15.0000</AppVersion>
  <Pages>4</Pages>
  <Words>1084</Words>
  <Characters>6096</Characters>
  <CharactersWithSpaces>7116</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2021-11-11T09:01:43Z</dcterms:created>
  <dc:creator>Hana Růžičková</dc:creator>
  <dc:description/>
  <dc:language>cs-CZ</dc:language>
  <cp:lastModifiedBy>Hana Růžičková</cp:lastModifiedBy>
  <dcterms:modified xsi:type="dcterms:W3CDTF">2022-11-24T12:27:08Z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