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rFonts w:cs="Arial"/>
        </w:rPr>
      </w:pPr>
      <w:r>
        <w:rPr>
          <w:rFonts w:cs="Arial"/>
        </w:rPr>
        <w:t>Městys Radostín nad Oslavou</w:t>
        <w:br/>
        <w:t>Zastupitelstvo městyse Radostín nad Oslavou</w:t>
      </w:r>
    </w:p>
    <w:p>
      <w:pPr>
        <w:pStyle w:val="Heading1"/>
        <w:rPr>
          <w:rFonts w:cs="Arial"/>
        </w:rPr>
      </w:pPr>
      <w:r>
        <w:rPr>
          <w:rFonts w:cs="Arial"/>
        </w:rPr>
        <w:t>Obecně závazná vyhláška městyse Radostín nad Oslavou</w:t>
        <w:br/>
        <w:t>o místním poplatku za užívání veřejného prostranství</w:t>
      </w:r>
    </w:p>
    <w:p>
      <w:pPr>
        <w:pStyle w:val="UvodniVeta"/>
        <w:rPr>
          <w:sz w:val="24"/>
          <w:szCs w:val="24"/>
        </w:rPr>
      </w:pPr>
      <w:r>
        <w:rPr>
          <w:sz w:val="24"/>
          <w:szCs w:val="24"/>
        </w:rPr>
        <w:t>Zastupitelstvo městyse Radostín nad Oslavou se na svém zasedání dne </w:t>
      </w:r>
      <w:r>
        <w:rPr>
          <w:sz w:val="24"/>
          <w:szCs w:val="24"/>
        </w:rPr>
        <w:t>7.5.</w:t>
      </w:r>
      <w:r>
        <w:rPr>
          <w:sz w:val="24"/>
          <w:szCs w:val="24"/>
        </w:rPr>
        <w:t xml:space="preserve">2025 </w:t>
      </w:r>
      <w:r>
        <w:rPr>
          <w:rFonts w:cs="Arial" w:ascii="Arial" w:hAnsi="Arial"/>
          <w:sz w:val="22"/>
          <w:szCs w:val="22"/>
        </w:rPr>
        <w:t>usnesením 17 - 87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rPr>
          <w:rFonts w:cs="Arial"/>
        </w:rPr>
      </w:pPr>
      <w:r>
        <w:rPr>
          <w:rFonts w:cs="Arial"/>
        </w:rPr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Městys Radostín nad Oslavou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Správcem poplatku je úřad městyse</w:t>
      </w:r>
      <w:r>
        <w:rPr>
          <w:rStyle w:val="FootnoteReference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>
      <w:pPr>
        <w:pStyle w:val="Heading2"/>
        <w:rPr>
          <w:rFonts w:cs="Arial"/>
        </w:rPr>
      </w:pPr>
      <w:r>
        <w:rPr>
          <w:rFonts w:cs="Arial"/>
        </w:rPr>
        <w:t>Čl. 2</w:t>
        <w:br/>
        <w:t>Předmět poplatku a poplatník</w:t>
      </w:r>
    </w:p>
    <w:p>
      <w:pPr>
        <w:pStyle w:val="Odstavec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Poplatek za užívání veřejného prostranství se vybírá za zvláštní užívání veřejného prostranství, kterým se rozumí</w:t>
      </w:r>
      <w:r>
        <w:rPr>
          <w:rStyle w:val="FootnoteReference"/>
          <w:sz w:val="24"/>
          <w:szCs w:val="24"/>
        </w:rPr>
        <w:footnoteReference w:id="3"/>
      </w:r>
      <w:r>
        <w:rPr>
          <w:sz w:val="24"/>
          <w:szCs w:val="24"/>
        </w:rPr>
        <w:t>: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dočasných staveb sloužících pro poskytování služeb,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zařízení sloužících pro poskytování služeb,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dočasných staveb sloužících pro poskytování prodeje,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zařízení sloužících pro poskytování prodeje,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reklamních zařízení,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provádění výkopových prací,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stavebních zařízení,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skládek,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umístění zařízení lunaparků a jiných obdobných atrakcí,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vyhrazení trvalého parkovacího místa,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užívání veřejného prostranství pro reklamní akce.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>
      <w:pPr>
        <w:pStyle w:val="Heading2"/>
        <w:rPr>
          <w:rFonts w:cs="Arial"/>
        </w:rPr>
      </w:pPr>
      <w:r>
        <w:rPr>
          <w:rFonts w:cs="Arial"/>
        </w:rPr>
        <w:t>Čl. 3</w:t>
        <w:br/>
        <w:t>Veřejná prostranství</w:t>
      </w:r>
    </w:p>
    <w:p>
      <w:pPr>
        <w:pStyle w:val="Odstavec"/>
        <w:rPr>
          <w:sz w:val="24"/>
          <w:szCs w:val="24"/>
        </w:rPr>
      </w:pPr>
      <w:r>
        <w:rPr>
          <w:sz w:val="24"/>
          <w:szCs w:val="24"/>
        </w:rPr>
        <w:t>Poplatek se platí za užívání veřejných prostranství, která jsou uvedena graficky na mapě v příloze č. 1. Tato příloha tvoří nedílnou součást této vyhlášky.</w:t>
      </w:r>
    </w:p>
    <w:p>
      <w:pPr>
        <w:pStyle w:val="Heading2"/>
        <w:rPr>
          <w:rFonts w:cs="Arial"/>
        </w:rPr>
      </w:pPr>
      <w:r>
        <w:rPr>
          <w:rFonts w:cs="Arial"/>
        </w:rPr>
        <w:t>Čl. 4</w:t>
        <w:br/>
        <w:t>Ohlašovací povinnost</w:t>
      </w:r>
    </w:p>
    <w:p>
      <w:pPr>
        <w:pStyle w:val="Odstavec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Údaje uváděné v ohlášení upravuje zákon</w:t>
      </w:r>
      <w:r>
        <w:rPr>
          <w:rStyle w:val="FootnoteReference"/>
          <w:sz w:val="24"/>
          <w:szCs w:val="24"/>
        </w:rPr>
        <w:footnoteReference w:id="5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Dojde-li ke změně údajů uvedených v ohlášení, je poplatník povinen tuto změnu oznámit do 15 dnů ode dne, kdy nastala</w:t>
      </w:r>
      <w:r>
        <w:rPr>
          <w:rStyle w:val="FootnoteReference"/>
          <w:sz w:val="24"/>
          <w:szCs w:val="24"/>
        </w:rPr>
        <w:footnoteReference w:id="6"/>
      </w:r>
      <w:r>
        <w:rPr>
          <w:sz w:val="24"/>
          <w:szCs w:val="24"/>
        </w:rPr>
        <w:t>.</w:t>
      </w:r>
    </w:p>
    <w:p>
      <w:pPr>
        <w:pStyle w:val="Heading2"/>
        <w:rPr>
          <w:rFonts w:cs="Arial"/>
        </w:rPr>
      </w:pPr>
      <w:r>
        <w:rPr>
          <w:rFonts w:cs="Arial"/>
        </w:rPr>
        <w:t>Čl. 5</w:t>
        <w:br/>
        <w:t>Sazba poplatku</w:t>
      </w:r>
    </w:p>
    <w:p>
      <w:pPr>
        <w:pStyle w:val="Odstavec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Sazba poplatku činí za každý i započatý m² a každý i započatý den: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dočasných staveb sloužících pro poskytování služeb 10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zařízení sloužících pro poskytování služeb 10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dočasných staveb sloužících pro poskytování prodeje 10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zařízení sloužících pro poskytování prodeje 20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reklamních zařízení 30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provádění výkopových prací 10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stavebních zařízení 10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skládek 1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umístění zařízení lunaparků a jiných obdobných atrakcí 30 Kč,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užívání veřejného prostranství pro reklamní akce 10 Kč.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Městys stanovuje poplatek paušální částkou: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vyhrazení trvalého parkovacího místa pro osobní automobil 100 Kč za měsíc,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vyhrazení trvalého parkovacího místa pro nákladní automobil 200 Kč za měsíc.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Volbu placení poplatku paušální částkou včetně výběru varianty paušální částky sdělí poplatník správci poplatku v rámci ohlášení dle čl. 4.</w:t>
      </w:r>
    </w:p>
    <w:p>
      <w:pPr>
        <w:pStyle w:val="Heading2"/>
        <w:rPr>
          <w:rFonts w:cs="Arial"/>
        </w:rPr>
      </w:pPr>
      <w:r>
        <w:rPr>
          <w:rFonts w:cs="Arial"/>
        </w:rPr>
        <w:t>Čl. 6</w:t>
        <w:br/>
        <w:t>Splatnost poplatku</w:t>
      </w:r>
    </w:p>
    <w:p>
      <w:pPr>
        <w:pStyle w:val="Odstavec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Poplatek je splatný v den ukončení užívání veřejného prostranství.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Poplatek stanovený paušální částkou je splatný do 30 dnů od počátku každého poplatkového období.</w:t>
      </w:r>
    </w:p>
    <w:p>
      <w:pPr>
        <w:pStyle w:val="Heading2"/>
        <w:rPr>
          <w:rFonts w:cs="Arial"/>
        </w:rPr>
      </w:pPr>
      <w:r>
        <w:rPr>
          <w:rFonts w:cs="Arial"/>
        </w:rPr>
        <w:t>Čl. 7</w:t>
        <w:br/>
        <w:t xml:space="preserve"> Osvobození</w:t>
      </w:r>
    </w:p>
    <w:p>
      <w:pPr>
        <w:pStyle w:val="Odstavec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Poplatek se neplatí: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akcí pořádaných na veřejném prostranství, jejichž celý výtěžek je odveden na charitativní a veřejně prospěšné účely</w:t>
      </w:r>
      <w:r>
        <w:rPr>
          <w:rStyle w:val="FootnoteReference"/>
          <w:sz w:val="24"/>
          <w:szCs w:val="24"/>
        </w:rPr>
        <w:footnoteReference w:id="7"/>
      </w:r>
      <w:r>
        <w:rPr>
          <w:sz w:val="24"/>
          <w:szCs w:val="24"/>
        </w:rPr>
        <w:t>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  <w:sz w:val="24"/>
          <w:szCs w:val="24"/>
        </w:rPr>
        <w:footnoteReference w:id="8"/>
      </w:r>
      <w:r>
        <w:rPr>
          <w:sz w:val="24"/>
          <w:szCs w:val="24"/>
        </w:rPr>
        <w:t>.</w:t>
      </w:r>
    </w:p>
    <w:p>
      <w:pPr>
        <w:pStyle w:val="Heading2"/>
        <w:rPr>
          <w:rFonts w:cs="Arial"/>
        </w:rPr>
      </w:pPr>
      <w:r>
        <w:rPr>
          <w:rFonts w:cs="Arial"/>
        </w:rPr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Zrušuje se obecně závazná vyhláška č. 3/2010, o místním poplatku za užívání veřejného prostranství, ze dne 16. prosince 2010.</w:t>
      </w:r>
    </w:p>
    <w:p>
      <w:pPr>
        <w:pStyle w:val="Heading2"/>
        <w:rPr>
          <w:rFonts w:cs="Arial"/>
        </w:rPr>
      </w:pPr>
      <w:r>
        <w:rPr>
          <w:rFonts w:cs="Arial"/>
        </w:rPr>
        <w:t>Čl. 9</w:t>
        <w:br/>
        <w:t>Účinnost</w:t>
      </w:r>
    </w:p>
    <w:p>
      <w:pPr>
        <w:pStyle w:val="Odstavec"/>
        <w:rPr>
          <w:sz w:val="24"/>
          <w:szCs w:val="24"/>
        </w:rPr>
      </w:pPr>
      <w:r>
        <w:rPr>
          <w:sz w:val="24"/>
          <w:szCs w:val="24"/>
        </w:rPr>
        <w:t>Tato vyhláška nabývá účinnosti počátkem patnáctého dne následujícího po dni jejího vyhlášení.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2"/>
        <w:gridCol w:w="4822"/>
      </w:tblGrid>
      <w:tr>
        <w:trPr>
          <w:trHeight w:val="1134" w:hRule="exact"/>
        </w:trPr>
        <w:tc>
          <w:tcPr>
            <w:tcW w:w="4822" w:type="dxa"/>
            <w:tcBorders/>
            <w:shd w:color="auto" w:fill="auto" w:val="clear"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Váša v. r.</w:t>
              <w:br/>
              <w:t xml:space="preserve"> starosta</w:t>
            </w:r>
          </w:p>
        </w:tc>
        <w:tc>
          <w:tcPr>
            <w:tcW w:w="4822" w:type="dxa"/>
            <w:tcBorders/>
            <w:shd w:color="auto" w:fill="auto" w:val="clear"/>
            <w:vAlign w:val="bottom"/>
          </w:tcPr>
          <w:p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Fabík v. r.</w:t>
              <w:br/>
              <w:t xml:space="preserve"> místostarosta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Tomáš Poul, DiS. v. r.</w:t>
        <w:br/>
        <w:t xml:space="preserve"> místostarosta</w:t>
      </w:r>
    </w:p>
    <w:p>
      <w:pPr>
        <w:pStyle w:val="Odstavec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568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sz w:val="20"/>
          <w:szCs w:val="20"/>
        </w:rPr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15 odst. 1 zákona o místních poplatcích</w:t>
      </w:r>
    </w:p>
  </w:footnote>
  <w:footnote w:id="3">
    <w:p>
      <w:pPr>
        <w:pStyle w:val="Footnote"/>
        <w:rPr>
          <w:sz w:val="20"/>
          <w:szCs w:val="20"/>
        </w:rPr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4 odst. 1 zákona o místních poplatcích</w:t>
      </w:r>
    </w:p>
  </w:footnote>
  <w:footnote w:id="4">
    <w:p>
      <w:pPr>
        <w:pStyle w:val="Footnote"/>
        <w:rPr>
          <w:sz w:val="20"/>
          <w:szCs w:val="20"/>
        </w:rPr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4 odst. 2 zákona o místních poplatcích</w:t>
      </w:r>
    </w:p>
  </w:footnote>
  <w:footnote w:id="5">
    <w:p>
      <w:pPr>
        <w:pStyle w:val="Footnote"/>
        <w:rPr>
          <w:sz w:val="20"/>
          <w:szCs w:val="20"/>
        </w:rPr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Footnote"/>
        <w:rPr>
          <w:sz w:val="20"/>
          <w:szCs w:val="20"/>
        </w:rPr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14a odst. 4 zákona o místních poplatcích</w:t>
      </w:r>
    </w:p>
  </w:footnote>
  <w:footnote w:id="7">
    <w:p>
      <w:pPr>
        <w:pStyle w:val="Footnote"/>
        <w:rPr>
          <w:sz w:val="20"/>
          <w:szCs w:val="20"/>
        </w:rPr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4 odst. 1 zákona o místních poplatcích</w:t>
      </w:r>
    </w:p>
  </w:footnote>
  <w:footnote w:id="8">
    <w:p>
      <w:pPr>
        <w:pStyle w:val="Footnote"/>
        <w:rPr>
          <w:sz w:val="20"/>
          <w:szCs w:val="20"/>
        </w:rPr>
      </w:pPr>
      <w:r>
        <w:rPr>
          <w:rStyle w:val="Znakypropoznmkupodarou"/>
        </w:rPr>
        <w:footnoteRef/>
      </w:r>
      <w:r>
        <w:rPr>
          <w:sz w:val="20"/>
          <w:szCs w:val="20"/>
        </w:rPr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Textbody"/>
    <w:uiPriority w:val="9"/>
    <w:unhideWhenUsed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FootnoteSymbol" w:customStyle="1">
    <w:name w:val="Footnote Symbol"/>
    <w:qFormat/>
    <w:rPr/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rFonts w:ascii="Arial" w:hAnsi="Arial" w:eastAsia="Arial" w:cs="Arial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adpis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qFormat/>
    <w:pPr>
      <w:suppressLineNumbers/>
      <w:ind w:hanging="170" w:left="170"/>
    </w:pPr>
    <w:rPr>
      <w:rFonts w:ascii="Arial" w:hAnsi="Arial" w:eastAsia="Arial" w:cs="Arial"/>
      <w:sz w:val="18"/>
      <w:szCs w:val="18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LibreOffice/24.2.3.2$Windows_X86_64 LibreOffice_project/433d9c2ded56988e8a90e6b2e771ee4e6a5ab2ba</Application>
  <AppVersion>15.0000</AppVersion>
  <Pages>3</Pages>
  <Words>741</Words>
  <Characters>4181</Characters>
  <CharactersWithSpaces>4820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2025-03-17T14:46:00Z</dcterms:created>
  <dc:creator>Okřina Lubomír, Mgr.</dc:creator>
  <dc:description/>
  <dc:language>cs-CZ</dc:language>
  <cp:lastModifiedBy/>
  <dcterms:modified xsi:type="dcterms:W3CDTF">2025-05-15T12:20:25Z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