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Standard"/>
        <w:spacing w:lineRule="auto" w:line="276"/>
        <w:jc w:val="center"/>
        <w:rPr/>
      </w:pPr>
      <w:r>
        <w:rPr>
          <w:rFonts w:cs="Arial" w:ascii="Arial" w:hAnsi="Arial"/>
          <w:b/>
        </w:rPr>
        <w:t>OBEC POLÁNKA</w:t>
      </w:r>
    </w:p>
    <w:p>
      <w:pPr>
        <w:pStyle w:val="Standard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Polánka</w:t>
      </w:r>
    </w:p>
    <w:p>
      <w:pPr>
        <w:pStyle w:val="Standard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Polánka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>o stanovení obecního systému odpadového hospodářství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Polánka se na svém zasedání dne 15. prosince 2023 usnesením č. 5.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Standard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37"/>
        </w:numPr>
        <w:tabs>
          <w:tab w:val="clear" w:pos="708"/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Polánka.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Standard"/>
        <w:numPr>
          <w:ilvl w:val="0"/>
          <w:numId w:val="38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39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</w:rPr>
        <w:footnoteReference w:id="3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0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Standard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Oddělené soustřeďování komunálního odpadu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1"/>
        </w:numPr>
        <w:jc w:val="both"/>
        <w:rPr/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Standard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2"/>
        </w:numPr>
        <w:spacing w:lineRule="auto" w:line="240" w:before="0" w:after="0"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3"/>
        </w:numPr>
        <w:tabs>
          <w:tab w:val="clear" w:pos="708"/>
          <w:tab w:val="left" w:pos="1287" w:leader="none"/>
        </w:tabs>
        <w:spacing w:lineRule="auto" w:line="240" w:before="0" w:after="0"/>
        <w:rPr/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4"/>
        </w:numPr>
        <w:tabs>
          <w:tab w:val="clear" w:pos="708"/>
          <w:tab w:val="left" w:pos="1287" w:leader="none"/>
        </w:tabs>
        <w:spacing w:lineRule="auto" w:line="240" w:before="0" w:after="0"/>
        <w:rPr/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5"/>
        </w:numPr>
        <w:spacing w:lineRule="auto" w:line="240" w:before="0" w:after="0"/>
        <w:rPr/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6"/>
        </w:numPr>
        <w:spacing w:lineRule="auto" w:line="240" w:before="0" w:after="0"/>
        <w:rPr/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Standard"/>
        <w:numPr>
          <w:ilvl w:val="0"/>
          <w:numId w:val="47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Standard"/>
        <w:numPr>
          <w:ilvl w:val="0"/>
          <w:numId w:val="48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Standard"/>
        <w:numPr>
          <w:ilvl w:val="0"/>
          <w:numId w:val="49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Standard"/>
        <w:numPr>
          <w:ilvl w:val="0"/>
          <w:numId w:val="50"/>
        </w:numPr>
        <w:rPr/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Standard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extbodyindent"/>
        <w:numPr>
          <w:ilvl w:val="0"/>
          <w:numId w:val="51"/>
        </w:numPr>
        <w:rPr/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a h).</w:t>
      </w:r>
    </w:p>
    <w:p>
      <w:pPr>
        <w:pStyle w:val="Textbodyinden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numPr>
          <w:ilvl w:val="0"/>
          <w:numId w:val="52"/>
        </w:numPr>
        <w:rPr/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Textbodyindent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>
      <w:pPr>
        <w:pStyle w:val="Standard"/>
        <w:tabs>
          <w:tab w:val="clear" w:pos="708"/>
          <w:tab w:val="left" w:pos="927" w:leader="none"/>
        </w:tabs>
        <w:ind w:left="708" w:hanging="0"/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40" w:leader="none"/>
          <w:tab w:val="left" w:pos="1287" w:leader="none"/>
        </w:tabs>
        <w:jc w:val="both"/>
        <w:rPr/>
      </w:pPr>
      <w:r>
        <w:rPr>
          <w:rFonts w:cs="Arial" w:ascii="Arial" w:hAnsi="Arial"/>
        </w:rPr>
        <w:t xml:space="preserve">Papír, plasty, PET lahve, sklo, kovy, biologické odpady, jedlé oleje a tuky se soustřeďují do </w:t>
      </w:r>
      <w:r>
        <w:rPr>
          <w:rFonts w:cs="Arial" w:ascii="Arial" w:hAnsi="Arial"/>
          <w:bCs/>
        </w:rPr>
        <w:t>zvláštních sběrných nádob</w:t>
      </w:r>
      <w:r>
        <w:rPr>
          <w:rFonts w:cs="Arial" w:ascii="Arial" w:hAnsi="Arial"/>
        </w:rPr>
        <w:t>, kterými jsou sběrné nádoby, pytle, kontejnery.</w:t>
      </w:r>
    </w:p>
    <w:p>
      <w:pPr>
        <w:pStyle w:val="NormlnIMP"/>
        <w:numPr>
          <w:ilvl w:val="0"/>
          <w:numId w:val="3"/>
        </w:numPr>
        <w:tabs>
          <w:tab w:val="clear" w:pos="708"/>
          <w:tab w:val="left" w:pos="540" w:leader="none"/>
          <w:tab w:val="left" w:pos="1287" w:leader="none"/>
        </w:tabs>
        <w:suppressAutoHyphens w:val="false"/>
        <w:overflowPunct w:val="true"/>
        <w:spacing w:lineRule="auto" w:line="24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tomto stanovišti:</w:t>
      </w:r>
    </w:p>
    <w:p>
      <w:pPr>
        <w:pStyle w:val="ListParagraph"/>
        <w:tabs>
          <w:tab w:val="clear" w:pos="708"/>
          <w:tab w:val="left" w:pos="1287" w:leader="none"/>
        </w:tabs>
        <w:ind w:left="360" w:hanging="0"/>
        <w:jc w:val="both"/>
        <w:rPr/>
      </w:pPr>
      <w:r>
        <w:rPr>
          <w:rFonts w:cs="Arial" w:ascii="Arial" w:hAnsi="Arial"/>
        </w:rPr>
        <w:t>Polánka – u obecního úřadu (točna autobusu)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40" w:leader="none"/>
          <w:tab w:val="left" w:pos="1287" w:leader="none"/>
        </w:tabs>
        <w:jc w:val="both"/>
        <w:rPr/>
      </w:pPr>
      <w:r>
        <w:rPr>
          <w:rFonts w:cs="Arial" w:ascii="Arial" w:hAnsi="Arial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53"/>
        </w:numPr>
        <w:tabs>
          <w:tab w:val="clear" w:pos="708"/>
          <w:tab w:val="left" w:pos="1647" w:leader="none"/>
        </w:tabs>
        <w:jc w:val="both"/>
        <w:rPr/>
      </w:pPr>
      <w:r>
        <w:rPr>
          <w:rFonts w:cs="Arial" w:ascii="Arial" w:hAnsi="Arial"/>
          <w:bCs/>
          <w:color w:val="000000"/>
        </w:rPr>
        <w:t>Papír, barva kontejneru černá,</w:t>
      </w:r>
    </w:p>
    <w:p>
      <w:pPr>
        <w:pStyle w:val="ListParagraph"/>
        <w:numPr>
          <w:ilvl w:val="0"/>
          <w:numId w:val="54"/>
        </w:numPr>
        <w:rPr/>
      </w:pPr>
      <w:r>
        <w:rPr>
          <w:rFonts w:cs="Arial" w:ascii="Arial" w:hAnsi="Arial"/>
          <w:bCs/>
          <w:color w:val="000000"/>
        </w:rPr>
        <w:t>Sklo, barva kontejneru zelená,</w:t>
      </w:r>
    </w:p>
    <w:p>
      <w:pPr>
        <w:pStyle w:val="ListParagraph"/>
        <w:numPr>
          <w:ilvl w:val="0"/>
          <w:numId w:val="55"/>
        </w:numPr>
        <w:rPr/>
      </w:pPr>
      <w:r>
        <w:rPr>
          <w:rFonts w:cs="Arial" w:ascii="Arial" w:hAnsi="Arial"/>
          <w:bCs/>
          <w:color w:val="000000"/>
        </w:rPr>
        <w:t>Kovy, barva kontejneru označeného „Kovový odpad“,</w:t>
      </w:r>
    </w:p>
    <w:p>
      <w:pPr>
        <w:pStyle w:val="ListParagraph"/>
        <w:numPr>
          <w:ilvl w:val="0"/>
          <w:numId w:val="56"/>
        </w:numPr>
        <w:rPr/>
      </w:pPr>
      <w:r>
        <w:rPr>
          <w:rFonts w:cs="Arial" w:ascii="Arial" w:hAnsi="Arial"/>
          <w:bCs/>
          <w:color w:val="000000"/>
        </w:rPr>
        <w:t>Plasty, PET lahve,: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igelitové pytle, </w:t>
      </w:r>
      <w:r>
        <w:rPr>
          <w:rFonts w:cs="Arial" w:ascii="Arial" w:hAnsi="Arial"/>
          <w:sz w:val="22"/>
          <w:szCs w:val="22"/>
        </w:rPr>
        <w:t>odvoz zajištěn obcí ze shromažďovacího místa uvedeného odst. 2 dle potřeby,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popelnice s nápisem „Plasty“,</w:t>
      </w:r>
    </w:p>
    <w:p>
      <w:pPr>
        <w:pStyle w:val="NoSpacing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57"/>
        </w:numPr>
        <w:rPr/>
      </w:pPr>
      <w:r>
        <w:rPr>
          <w:rFonts w:cs="Arial" w:ascii="Arial" w:hAnsi="Arial"/>
          <w:bCs/>
          <w:color w:val="000000"/>
        </w:rPr>
        <w:t xml:space="preserve">Jedlé oleje a tuky, barva kontejneru označeného „Jedlé oleje a tuky“ nebo plastové lahve, </w:t>
      </w:r>
      <w:r>
        <w:rPr>
          <w:rFonts w:cs="Arial" w:ascii="Arial" w:hAnsi="Arial"/>
          <w:iCs/>
        </w:rPr>
        <w:t>odvoz zajištěn obcí ze shromažďovacího místa uvedeného odst. 2 dle potřeby.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>Do zvláštních sběrných nádob je zakázáno ukládat jiné složky komunálních odpadů, než pro které jsou určeny.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Nadpis2"/>
        <w:tabs>
          <w:tab w:val="clear" w:pos="708"/>
          <w:tab w:val="left" w:pos="1152" w:leader="none"/>
        </w:tabs>
        <w:ind w:left="576" w:hanging="576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tabs>
          <w:tab w:val="clear" w:pos="708"/>
          <w:tab w:val="left" w:pos="1152" w:leader="none"/>
        </w:tabs>
        <w:ind w:left="576" w:hanging="576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Sběr a svoz biologického odpadu rostlinného původu</w:t>
      </w:r>
    </w:p>
    <w:p>
      <w:pPr>
        <w:pStyle w:val="Standard"/>
        <w:rPr/>
      </w:pPr>
      <w:r>
        <w:rPr/>
      </w:r>
    </w:p>
    <w:p>
      <w:pPr>
        <w:pStyle w:val="Standard"/>
        <w:numPr>
          <w:ilvl w:val="0"/>
          <w:numId w:val="4"/>
        </w:numPr>
        <w:ind w:left="360" w:hanging="360"/>
        <w:jc w:val="both"/>
        <w:rPr/>
      </w:pPr>
      <w:r>
        <w:rPr>
          <w:rFonts w:cs="Arial" w:ascii="Arial" w:hAnsi="Arial"/>
          <w:sz w:val="22"/>
          <w:szCs w:val="22"/>
        </w:rPr>
        <w:t>Sběr a svoz biologického odpadu rostlinného původu</w:t>
      </w:r>
      <w:r>
        <w:rPr>
          <w:rFonts w:cs="Arial" w:ascii="Arial" w:hAnsi="Arial"/>
          <w:iCs/>
          <w:sz w:val="22"/>
          <w:szCs w:val="22"/>
        </w:rPr>
        <w:t xml:space="preserve"> je zajišťován jedenkrát týdně na </w:t>
      </w:r>
      <w:r>
        <w:rPr>
          <w:rFonts w:cs="Arial" w:ascii="Arial" w:hAnsi="Arial"/>
          <w:sz w:val="22"/>
          <w:szCs w:val="22"/>
        </w:rPr>
        <w:t xml:space="preserve">předem vyhlášeném přechodném stanovišti přímo </w:t>
      </w:r>
      <w:r>
        <w:rPr>
          <w:rFonts w:cs="Arial" w:ascii="Arial" w:hAnsi="Arial"/>
          <w:iCs/>
          <w:sz w:val="22"/>
          <w:szCs w:val="22"/>
        </w:rPr>
        <w:t xml:space="preserve">do kontejneru na svoz biologického odpadu. </w:t>
      </w:r>
      <w:r>
        <w:rPr>
          <w:rFonts w:cs="Arial" w:ascii="Arial" w:hAnsi="Arial"/>
          <w:sz w:val="22"/>
          <w:szCs w:val="22"/>
        </w:rPr>
        <w:t>Informace o sběru jsou zveřejňovány na úřední desce obecního úřadu, v místním rozhlase.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"/>
        </w:numPr>
        <w:ind w:left="360" w:hanging="360"/>
        <w:jc w:val="both"/>
        <w:rPr/>
      </w:pPr>
      <w:r>
        <w:rPr>
          <w:rFonts w:cs="Arial" w:ascii="Arial" w:hAnsi="Arial"/>
          <w:sz w:val="22"/>
          <w:szCs w:val="22"/>
        </w:rPr>
        <w:t>Shromažďování biologického odpadu rostlinného původu podléhá požadavkům stanoveným v Čl. 3 odst. 4 a 5.</w:t>
      </w:r>
    </w:p>
    <w:p>
      <w:pPr>
        <w:pStyle w:val="Default"/>
        <w:rPr/>
      </w:pPr>
      <w:r>
        <w:rPr/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Čl. 5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Standard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numPr>
          <w:ilvl w:val="0"/>
          <w:numId w:val="58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 v místním rozhlase.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59"/>
        </w:numPr>
        <w:jc w:val="both"/>
        <w:rPr/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Arial" w:ascii="Arial" w:hAnsi="Arial"/>
        </w:rPr>
        <w:t>Svoz objemného odpadu je zajišťován jedenkrát</w:t>
      </w:r>
      <w:r>
        <w:rPr>
          <w:rFonts w:cs="Arial" w:ascii="Arial" w:hAnsi="Arial"/>
          <w:i/>
          <w:iCs/>
          <w:color w:val="00B0F0"/>
        </w:rPr>
        <w:t xml:space="preserve"> </w:t>
      </w:r>
      <w:r>
        <w:rPr>
          <w:rFonts w:cs="Arial" w:ascii="Arial" w:hAnsi="Arial"/>
          <w:iCs/>
        </w:rPr>
        <w:t xml:space="preserve">ročně </w:t>
      </w:r>
      <w:r>
        <w:rPr>
          <w:rFonts w:cs="Arial" w:ascii="Arial" w:hAnsi="Arial"/>
        </w:rPr>
        <w:t xml:space="preserve">jeho odebíráním na předem vyhlášených přechodných stanovištích přímo do zvláštních sběrných nádob k tomuto účelu určených. Informace o svozu jsou zveřejňovány </w:t>
      </w:r>
      <w:r>
        <w:rPr>
          <w:rFonts w:cs="Arial" w:ascii="Arial" w:hAnsi="Arial"/>
          <w:iCs/>
        </w:rPr>
        <w:t>na úřední desce obecního úřadu, v místním rozhlase.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27" w:leader="none"/>
        </w:tabs>
        <w:jc w:val="both"/>
        <w:rPr/>
      </w:pPr>
      <w:r>
        <w:rPr>
          <w:rFonts w:cs="Arial" w:ascii="Arial" w:hAnsi="Arial"/>
        </w:rPr>
        <w:t>Soustřeďování objemného odpadu podléhá požadavkům stanoveným v čl. 3 odst. 4 a 5.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Soustřeďování směsného komunálního odpadu</w:t>
      </w:r>
    </w:p>
    <w:p>
      <w:pPr>
        <w:pStyle w:val="Standard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widowControl w:val="false"/>
        <w:numPr>
          <w:ilvl w:val="0"/>
          <w:numId w:val="60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Standard"/>
        <w:numPr>
          <w:ilvl w:val="0"/>
          <w:numId w:val="61"/>
        </w:numPr>
        <w:ind w:left="396" w:firstLine="66"/>
        <w:jc w:val="both"/>
        <w:rPr/>
      </w:pP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Standard"/>
        <w:numPr>
          <w:ilvl w:val="0"/>
          <w:numId w:val="62"/>
        </w:numPr>
        <w:ind w:left="396" w:firstLine="66"/>
        <w:jc w:val="both"/>
        <w:rPr/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Standard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63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>v čl. 3 odst. 4 a 5.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Standard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Standard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64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Standard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65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Pro odložení stavebního odpadu je možné </w:t>
      </w:r>
      <w:r>
        <w:rPr>
          <w:rFonts w:cs="Arial" w:ascii="Arial" w:hAnsi="Arial"/>
          <w:iCs/>
          <w:sz w:val="22"/>
          <w:szCs w:val="22"/>
        </w:rPr>
        <w:t>objednat kontejner, který bude přistaven a odvezen za úplatu. Objednávky přijímá obecní úřad.</w:t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Standard"/>
        <w:jc w:val="center"/>
        <w:rPr/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Standard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Standard"/>
        <w:numPr>
          <w:ilvl w:val="0"/>
          <w:numId w:val="66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Nabytím účinnosti této vyhlášky se zrušuje obecně závazná vyhláška obce </w:t>
        <w:br/>
      </w:r>
    </w:p>
    <w:p>
      <w:pPr>
        <w:pStyle w:val="Standard"/>
        <w:ind w:left="360" w:hanging="0"/>
        <w:jc w:val="both"/>
        <w:rPr/>
      </w:pPr>
      <w:r>
        <w:rPr>
          <w:rFonts w:cs="Arial" w:ascii="Arial" w:hAnsi="Arial"/>
          <w:sz w:val="22"/>
          <w:szCs w:val="22"/>
        </w:rPr>
        <w:t>Polánka č. 4/2021, o stanovení obecního systému odpadového hospodářství, ze dne 10. 12. 2021.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67"/>
        </w:numPr>
        <w:tabs>
          <w:tab w:val="clear" w:pos="708"/>
          <w:tab w:val="left" w:pos="540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1080" w:leader="none"/>
        </w:tabs>
        <w:ind w:left="54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2" w:name="Bookmark"/>
      <w:bookmarkStart w:id="3" w:name="Bookmark"/>
      <w:bookmarkEnd w:id="3"/>
    </w:p>
    <w:p>
      <w:pPr>
        <w:pStyle w:val="Standard"/>
        <w:ind w:left="708" w:hanging="0"/>
        <w:rPr/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 xml:space="preserve">   …………………….</w:t>
      </w:r>
    </w:p>
    <w:p>
      <w:pPr>
        <w:pStyle w:val="Standard"/>
        <w:ind w:firstLine="708"/>
        <w:rPr/>
      </w:pPr>
      <w:r>
        <w:rPr>
          <w:rFonts w:cs="Arial" w:ascii="Arial" w:hAnsi="Arial"/>
          <w:bCs/>
          <w:sz w:val="22"/>
          <w:szCs w:val="22"/>
        </w:rPr>
        <w:t xml:space="preserve">Václav Holý v. r. </w:t>
        <w:tab/>
        <w:tab/>
        <w:tab/>
        <w:tab/>
        <w:tab/>
        <w:t xml:space="preserve">              Jaroslav Trojánek  v.r.</w:t>
      </w:r>
    </w:p>
    <w:p>
      <w:pPr>
        <w:pStyle w:val="Standard"/>
        <w:ind w:left="708" w:hanging="0"/>
        <w:rPr/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ab/>
        <w:tab/>
        <w:t>starosta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firstLine="708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3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5"/>
    <w:lvlOverride w:ilvl="0">
      <w:startOverride w:val="1"/>
    </w:lvlOverride>
  </w:num>
  <w:num w:numId="38">
    <w:abstractNumId w:val="5"/>
  </w:num>
  <w:num w:numId="39">
    <w:abstractNumId w:val="5"/>
  </w:num>
  <w:num w:numId="40">
    <w:abstractNumId w:val="5"/>
  </w:num>
  <w:num w:numId="41">
    <w:abstractNumId w:val="9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  <w:num w:numId="51">
    <w:abstractNumId w:val="9"/>
  </w:num>
  <w:num w:numId="52">
    <w:abstractNumId w:val="9"/>
  </w:num>
  <w:num w:numId="53">
    <w:abstractNumId w:val="21"/>
    <w:lvlOverride w:ilvl="0">
      <w:startOverride w:val="1"/>
    </w:lvlOverride>
  </w:num>
  <w:num w:numId="54">
    <w:abstractNumId w:val="21"/>
  </w:num>
  <w:num w:numId="55">
    <w:abstractNumId w:val="21"/>
  </w:num>
  <w:num w:numId="56">
    <w:abstractNumId w:val="21"/>
  </w:num>
  <w:num w:numId="57">
    <w:abstractNumId w:val="21"/>
  </w:num>
  <w:num w:numId="58">
    <w:abstractNumId w:val="26"/>
    <w:lvlOverride w:ilvl="0">
      <w:startOverride w:val="1"/>
    </w:lvlOverride>
  </w:num>
  <w:num w:numId="59">
    <w:abstractNumId w:val="26"/>
  </w:num>
  <w:num w:numId="60">
    <w:abstractNumId w:val="28"/>
    <w:lvlOverride w:ilvl="0">
      <w:startOverride w:val="1"/>
    </w:lvlOverride>
  </w:num>
  <w:num w:numId="61">
    <w:abstractNumId w:val="29"/>
    <w:lvlOverride w:ilvl="0">
      <w:startOverride w:val="1"/>
    </w:lvlOverride>
  </w:num>
  <w:num w:numId="62">
    <w:abstractNumId w:val="29"/>
  </w:num>
  <w:num w:numId="63">
    <w:abstractNumId w:val="28"/>
  </w:num>
  <w:num w:numId="64">
    <w:abstractNumId w:val="32"/>
    <w:lvlOverride w:ilvl="0">
      <w:startOverride w:val="1"/>
    </w:lvlOverride>
  </w:num>
  <w:num w:numId="65">
    <w:abstractNumId w:val="32"/>
  </w:num>
  <w:num w:numId="66">
    <w:abstractNumId w:val="34"/>
    <w:lvlOverride w:ilvl="0">
      <w:startOverride w:val="1"/>
    </w:lvlOverride>
  </w:num>
  <w:num w:numId="67">
    <w:abstractNumId w:val="3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cs-CZ" w:bidi="ar-SA"/>
    </w:rPr>
  </w:style>
  <w:style w:type="paragraph" w:styleId="Nadpis2">
    <w:name w:val="Heading 2"/>
    <w:basedOn w:val="Standard"/>
    <w:next w:val="Textbody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cs-CZ" w:bidi="ar-SA"/>
    </w:rPr>
  </w:style>
  <w:style w:type="paragraph" w:styleId="Textbody" w:customStyle="1">
    <w:name w:val="Text body"/>
    <w:basedOn w:val="Standard"/>
    <w:qFormat/>
    <w:pPr>
      <w:spacing w:before="0" w:after="120"/>
    </w:pPr>
    <w:rPr>
      <w:szCs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extbodyindent" w:customStyle="1">
    <w:name w:val="Text body indent"/>
    <w:basedOn w:val="Standard"/>
    <w:qFormat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Standard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Standard"/>
    <w:pPr/>
    <w:rPr>
      <w:sz w:val="20"/>
      <w:szCs w:val="20"/>
    </w:rPr>
  </w:style>
  <w:style w:type="paragraph" w:styleId="NormlnIMP" w:customStyle="1">
    <w:name w:val="Normální_IMP"/>
    <w:basedOn w:val="Standard"/>
    <w:qFormat/>
    <w:pPr>
      <w:spacing w:lineRule="auto" w:line="228"/>
      <w:jc w:val="both"/>
    </w:pPr>
    <w:rPr>
      <w:szCs w:val="20"/>
    </w:rPr>
  </w:style>
  <w:style w:type="paragraph" w:styleId="Annotationtext">
    <w:name w:val="annotation text"/>
    <w:basedOn w:val="Standard"/>
    <w:qFormat/>
    <w:pPr/>
    <w:rPr>
      <w:sz w:val="20"/>
      <w:szCs w:val="20"/>
    </w:rPr>
  </w:style>
  <w:style w:type="paragraph" w:styleId="BodyTextIndent3">
    <w:name w:val="Body Text Indent 3"/>
    <w:basedOn w:val="Standard"/>
    <w:qFormat/>
    <w:pPr>
      <w:widowControl w:val="false"/>
      <w:tabs>
        <w:tab w:val="clear" w:pos="708"/>
        <w:tab w:val="left" w:pos="108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qFormat/>
    <w:pPr/>
    <w:rPr>
      <w:b/>
      <w:bCs/>
      <w:lang w:val="en-US" w:eastAsia="en-US"/>
    </w:rPr>
  </w:style>
  <w:style w:type="paragraph" w:styleId="Zpat">
    <w:name w:val="Footer"/>
    <w:basedOn w:val="Standard"/>
    <w:pPr>
      <w:suppressLineNumbers/>
      <w:tabs>
        <w:tab w:val="clear" w:pos="708"/>
        <w:tab w:val="center" w:pos="4536" w:leader="none"/>
        <w:tab w:val="right" w:pos="9072" w:leader="none"/>
      </w:tabs>
    </w:pPr>
    <w:rPr>
      <w:lang w:val="en-US"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cs-CZ" w:eastAsia="cs-CZ" w:bidi="ar-SA"/>
    </w:rPr>
  </w:style>
  <w:style w:type="paragraph" w:styleId="Footnote" w:customStyle="1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styleId="NoSpacing">
    <w:name w:val="No Spacing"/>
    <w:uiPriority w:val="1"/>
    <w:qFormat/>
    <w:rsid w:val="00b846e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LibreOffice/7.4.2.3$Windows_X86_64 LibreOffice_project/382eef1f22670f7f4118c8c2dd222ec7ad009daf</Application>
  <AppVersion>15.0000</AppVersion>
  <Pages>4</Pages>
  <Words>837</Words>
  <Characters>4740</Characters>
  <CharactersWithSpaces>5511</CharactersWithSpaces>
  <Paragraphs>73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2023-10-25T13:33:00Z</dcterms:created>
  <dc:creator>DA210036</dc:creator>
  <dc:description/>
  <dc:language>cs-CZ</dc:language>
  <cp:lastModifiedBy/>
  <cp:lastPrinted>2020-12-03T09:05:00Z</cp:lastPrinted>
  <dcterms:modified xsi:type="dcterms:W3CDTF">2023-12-19T18:46:56Z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