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8E1" w:rsidRPr="002B08E1" w:rsidRDefault="007A55B4" w:rsidP="007A55B4">
      <w:pPr>
        <w:jc w:val="center"/>
      </w:pPr>
      <w:r w:rsidRPr="007A55B4">
        <w:rPr>
          <w:noProof/>
          <w:lang w:eastAsia="cs-CZ"/>
        </w:rPr>
        <w:drawing>
          <wp:inline distT="0" distB="0" distL="0" distR="0">
            <wp:extent cx="1085850" cy="1228725"/>
            <wp:effectExtent l="1905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55B4" w:rsidRPr="007A55B4" w:rsidRDefault="007A55B4" w:rsidP="007A55B4">
      <w:pPr>
        <w:spacing w:after="240"/>
        <w:jc w:val="center"/>
        <w:rPr>
          <w:rFonts w:cstheme="minorHAnsi"/>
          <w:b/>
          <w:sz w:val="24"/>
        </w:rPr>
      </w:pPr>
      <w:r w:rsidRPr="007A55B4">
        <w:rPr>
          <w:rFonts w:cstheme="minorHAnsi"/>
          <w:b/>
          <w:sz w:val="24"/>
        </w:rPr>
        <w:t>MĚSTO HRADEC NAD MORAVICÍ</w:t>
      </w:r>
    </w:p>
    <w:p w:rsidR="00062094" w:rsidRPr="007A55B4" w:rsidRDefault="00150DBD" w:rsidP="007A55B4">
      <w:pPr>
        <w:spacing w:after="240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Nařízení č. 1/2025</w:t>
      </w:r>
      <w:r w:rsidR="00062094" w:rsidRPr="007A55B4">
        <w:rPr>
          <w:rFonts w:cstheme="minorHAnsi"/>
          <w:b/>
          <w:sz w:val="24"/>
          <w:szCs w:val="24"/>
        </w:rPr>
        <w:t>,</w:t>
      </w:r>
      <w:r w:rsidR="007A55B4" w:rsidRPr="007A55B4">
        <w:rPr>
          <w:rFonts w:cstheme="minorHAnsi"/>
          <w:b/>
          <w:sz w:val="24"/>
          <w:szCs w:val="24"/>
        </w:rPr>
        <w:t xml:space="preserve"> </w:t>
      </w:r>
      <w:r w:rsidR="007A55B4" w:rsidRPr="007A55B4">
        <w:rPr>
          <w:rFonts w:cstheme="minorHAnsi"/>
          <w:b/>
          <w:sz w:val="24"/>
          <w:szCs w:val="24"/>
        </w:rPr>
        <w:br/>
      </w:r>
      <w:r w:rsidR="00A82DA8">
        <w:rPr>
          <w:rFonts w:cstheme="minorHAnsi"/>
          <w:b/>
          <w:sz w:val="24"/>
          <w:szCs w:val="24"/>
        </w:rPr>
        <w:t>tržní řád, kterým se zakazuje podomní a pochůzkový prodej a kterým se zakazují některé formy prodeje zboží a poskytování služeb v energetických odvětvích</w:t>
      </w:r>
    </w:p>
    <w:p w:rsidR="00062094" w:rsidRPr="00805FA6" w:rsidRDefault="00A82DA8" w:rsidP="007A55B4">
      <w:pPr>
        <w:spacing w:before="240" w:after="0"/>
        <w:rPr>
          <w:rFonts w:ascii="Calibri" w:hAnsi="Calibri" w:cs="Calibri"/>
        </w:rPr>
      </w:pPr>
      <w:r>
        <w:rPr>
          <w:rFonts w:cstheme="minorHAnsi"/>
        </w:rPr>
        <w:t>Rada</w:t>
      </w:r>
      <w:r w:rsidR="00062094" w:rsidRPr="00805FA6">
        <w:rPr>
          <w:rFonts w:cstheme="minorHAnsi"/>
        </w:rPr>
        <w:t xml:space="preserve"> města Hradec nad Moravicí se na </w:t>
      </w:r>
      <w:r>
        <w:rPr>
          <w:rFonts w:cstheme="minorHAnsi"/>
        </w:rPr>
        <w:t>své schůzi konané</w:t>
      </w:r>
      <w:r w:rsidR="00062094" w:rsidRPr="00805FA6">
        <w:rPr>
          <w:rFonts w:cstheme="minorHAnsi"/>
        </w:rPr>
        <w:t xml:space="preserve"> d</w:t>
      </w:r>
      <w:r>
        <w:rPr>
          <w:rFonts w:cstheme="minorHAnsi"/>
        </w:rPr>
        <w:t xml:space="preserve">ne 27. 1. 2025 usnesením </w:t>
      </w:r>
      <w:r>
        <w:rPr>
          <w:rFonts w:cstheme="minorHAnsi"/>
        </w:rPr>
        <w:br/>
      </w:r>
      <w:r w:rsidR="00F17A80">
        <w:rPr>
          <w:rFonts w:cstheme="minorHAnsi"/>
        </w:rPr>
        <w:t>č. 10</w:t>
      </w:r>
      <w:r w:rsidR="00805FA6">
        <w:rPr>
          <w:rFonts w:cstheme="minorHAnsi"/>
        </w:rPr>
        <w:t>.</w:t>
      </w:r>
      <w:r>
        <w:rPr>
          <w:rFonts w:cstheme="minorHAnsi"/>
        </w:rPr>
        <w:t>45.2025/RM usnesla</w:t>
      </w:r>
      <w:r w:rsidR="00062094" w:rsidRPr="00805FA6">
        <w:rPr>
          <w:rFonts w:cstheme="minorHAnsi"/>
        </w:rPr>
        <w:t xml:space="preserve"> vydat na základě </w:t>
      </w:r>
      <w:r w:rsidR="00805FA6">
        <w:rPr>
          <w:rFonts w:cstheme="minorHAnsi"/>
        </w:rPr>
        <w:t xml:space="preserve">§ </w:t>
      </w:r>
      <w:r>
        <w:rPr>
          <w:rFonts w:cstheme="minorHAnsi"/>
        </w:rPr>
        <w:t xml:space="preserve">18 odst. 1 a 4 zákona č. 455/1991 Sb., o živnostenském podnikání (živnostenský zákon), ve znění pozdějších předpisů, a na základě ustanovení § 11p zákona č. 458/2000 Sb., o podmínkách podnikání a o výkonu státní správy v energetických odvětvích </w:t>
      </w:r>
      <w:r>
        <w:rPr>
          <w:rFonts w:cstheme="minorHAnsi"/>
        </w:rPr>
        <w:br/>
        <w:t>a o změně některých zákonů (energetický zákon), ve znění pozdějších předpisů, a v souladu s § 11</w:t>
      </w:r>
      <w:r w:rsidR="00062094" w:rsidRPr="00805FA6">
        <w:rPr>
          <w:rFonts w:cstheme="minorHAnsi"/>
        </w:rPr>
        <w:t xml:space="preserve"> </w:t>
      </w:r>
      <w:r>
        <w:rPr>
          <w:rFonts w:cstheme="minorHAnsi"/>
        </w:rPr>
        <w:t xml:space="preserve">odst. 1 </w:t>
      </w:r>
      <w:r w:rsidR="00062094" w:rsidRPr="00805FA6">
        <w:rPr>
          <w:rFonts w:cstheme="minorHAnsi"/>
        </w:rPr>
        <w:t>a § </w:t>
      </w:r>
      <w:r>
        <w:rPr>
          <w:rFonts w:cstheme="minorHAnsi"/>
        </w:rPr>
        <w:t>102 odst. 2 písm. d</w:t>
      </w:r>
      <w:r w:rsidR="00062094" w:rsidRPr="00805FA6">
        <w:rPr>
          <w:rFonts w:cstheme="minorHAnsi"/>
        </w:rPr>
        <w:t xml:space="preserve">) zákona č. 128/2000 Sb., o obcích (obecní zřízení), ve znění pozdějších předpisů, </w:t>
      </w:r>
      <w:r>
        <w:rPr>
          <w:rFonts w:cstheme="minorHAnsi"/>
        </w:rPr>
        <w:t>toto nařízení obce</w:t>
      </w:r>
      <w:r w:rsidR="00805FA6">
        <w:rPr>
          <w:rFonts w:ascii="Calibri" w:hAnsi="Calibri" w:cs="Calibri"/>
        </w:rPr>
        <w:t xml:space="preserve"> (dále jen „</w:t>
      </w:r>
      <w:r>
        <w:rPr>
          <w:rFonts w:ascii="Calibri" w:hAnsi="Calibri" w:cs="Calibri"/>
        </w:rPr>
        <w:t>toto nařízení</w:t>
      </w:r>
      <w:r w:rsidR="00805FA6">
        <w:rPr>
          <w:rFonts w:ascii="Calibri" w:hAnsi="Calibri" w:cs="Calibri"/>
        </w:rPr>
        <w:t>“):</w:t>
      </w:r>
    </w:p>
    <w:p w:rsidR="00805FA6" w:rsidRPr="00805FA6" w:rsidRDefault="00805FA6" w:rsidP="00805FA6">
      <w:pPr>
        <w:keepNext/>
        <w:spacing w:before="240" w:after="0" w:line="276" w:lineRule="auto"/>
        <w:jc w:val="center"/>
        <w:rPr>
          <w:rFonts w:ascii="Calibri" w:hAnsi="Calibri" w:cs="Calibri"/>
          <w:b/>
        </w:rPr>
      </w:pPr>
      <w:r w:rsidRPr="00805FA6">
        <w:rPr>
          <w:rFonts w:ascii="Calibri" w:hAnsi="Calibri" w:cs="Calibri"/>
          <w:b/>
        </w:rPr>
        <w:t>Čl. 1</w:t>
      </w:r>
    </w:p>
    <w:p w:rsidR="00805FA6" w:rsidRPr="00805FA6" w:rsidRDefault="00A82DA8" w:rsidP="00805FA6">
      <w:pPr>
        <w:keepNext/>
        <w:spacing w:after="240" w:line="276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Úvodní ustanovení</w:t>
      </w:r>
    </w:p>
    <w:p w:rsidR="00A82DA8" w:rsidRPr="00072752" w:rsidRDefault="00A82DA8" w:rsidP="00A82DA8">
      <w:pPr>
        <w:pStyle w:val="Odstavecseseznamem"/>
        <w:numPr>
          <w:ilvl w:val="0"/>
          <w:numId w:val="40"/>
        </w:numPr>
        <w:spacing w:line="280" w:lineRule="exact"/>
        <w:ind w:left="567" w:hanging="567"/>
        <w:contextualSpacing w:val="0"/>
        <w:rPr>
          <w:rFonts w:ascii="Calibri" w:hAnsi="Calibri" w:cs="Calibri"/>
        </w:rPr>
      </w:pPr>
      <w:r w:rsidRPr="00072752">
        <w:rPr>
          <w:rFonts w:ascii="Calibri" w:hAnsi="Calibri" w:cs="Calibri"/>
        </w:rPr>
        <w:t>Předmětem tohoto nařízení je stanovit, které druhy prodeje zboží a poskytování služeb prováděné mimo provozovnu určenou k tomuto účelu rozhodnutím, opatřením nebo jiným úkonem vyžadovaným podle stavebního zákona</w:t>
      </w:r>
      <w:r w:rsidRPr="00072752">
        <w:rPr>
          <w:rStyle w:val="Znakapoznpodarou"/>
          <w:rFonts w:ascii="Calibri" w:hAnsi="Calibri" w:cs="Calibri"/>
        </w:rPr>
        <w:footnoteReference w:id="1"/>
      </w:r>
      <w:r w:rsidRPr="00072752">
        <w:rPr>
          <w:rFonts w:ascii="Calibri" w:hAnsi="Calibri" w:cs="Calibri"/>
          <w:vertAlign w:val="superscript"/>
        </w:rPr>
        <w:t>)</w:t>
      </w:r>
      <w:r w:rsidRPr="00072752">
        <w:rPr>
          <w:rFonts w:ascii="Calibri" w:hAnsi="Calibri" w:cs="Calibri"/>
        </w:rPr>
        <w:t xml:space="preserve">, jsou na celém území </w:t>
      </w:r>
      <w:r w:rsidR="00072752" w:rsidRPr="00072752">
        <w:rPr>
          <w:rFonts w:ascii="Calibri" w:hAnsi="Calibri" w:cs="Calibri"/>
        </w:rPr>
        <w:t xml:space="preserve">města Hradec nad Moravicí </w:t>
      </w:r>
      <w:r w:rsidRPr="00072752">
        <w:rPr>
          <w:rFonts w:ascii="Calibri" w:hAnsi="Calibri" w:cs="Calibri"/>
        </w:rPr>
        <w:t>zakázány.</w:t>
      </w:r>
    </w:p>
    <w:p w:rsidR="00A82DA8" w:rsidRPr="00072752" w:rsidRDefault="00A82DA8" w:rsidP="00A82DA8">
      <w:pPr>
        <w:pStyle w:val="Odstavecseseznamem"/>
        <w:numPr>
          <w:ilvl w:val="0"/>
          <w:numId w:val="40"/>
        </w:numPr>
        <w:spacing w:line="280" w:lineRule="exact"/>
        <w:ind w:left="567" w:hanging="567"/>
        <w:contextualSpacing w:val="0"/>
        <w:rPr>
          <w:rFonts w:ascii="Calibri" w:hAnsi="Calibri" w:cs="Calibri"/>
        </w:rPr>
      </w:pPr>
      <w:r w:rsidRPr="00072752">
        <w:rPr>
          <w:rFonts w:ascii="Calibri" w:hAnsi="Calibri" w:cs="Calibri"/>
        </w:rPr>
        <w:t xml:space="preserve">Předmětem tohoto nařízení je stanovit, které druhy prodeje zboží a poskytování služeb prováděné mimo obchodní prostory při výkonu licencované činnosti držitelem licence nebo při výkonu zprostředkovatelské činnosti v energetických odvětvích dle energetického zákona, jsou na celém území </w:t>
      </w:r>
      <w:r w:rsidR="00072752" w:rsidRPr="00072752">
        <w:rPr>
          <w:rFonts w:ascii="Calibri" w:hAnsi="Calibri" w:cs="Calibri"/>
        </w:rPr>
        <w:t>města Hradec nad Moravicí</w:t>
      </w:r>
      <w:r w:rsidRPr="00072752">
        <w:rPr>
          <w:rFonts w:ascii="Calibri" w:hAnsi="Calibri" w:cs="Calibri"/>
        </w:rPr>
        <w:t xml:space="preserve"> zakázány.</w:t>
      </w:r>
    </w:p>
    <w:p w:rsidR="00A82DA8" w:rsidRPr="00072752" w:rsidRDefault="00A82DA8" w:rsidP="00A82DA8">
      <w:pPr>
        <w:pStyle w:val="Odstavecseseznamem"/>
        <w:numPr>
          <w:ilvl w:val="0"/>
          <w:numId w:val="40"/>
        </w:numPr>
        <w:spacing w:line="280" w:lineRule="exact"/>
        <w:ind w:left="567" w:hanging="567"/>
        <w:contextualSpacing w:val="0"/>
        <w:rPr>
          <w:rFonts w:ascii="Calibri" w:hAnsi="Calibri" w:cs="Calibri"/>
        </w:rPr>
      </w:pPr>
      <w:r w:rsidRPr="00072752">
        <w:rPr>
          <w:rFonts w:ascii="Calibri" w:hAnsi="Calibri" w:cs="Calibri"/>
        </w:rPr>
        <w:t xml:space="preserve">Účelem tohoto nařízení je zajištění nenarušování ochrany obydlí, veřejného pořádku a zvýšení bezpečnosti obyvatel </w:t>
      </w:r>
      <w:r w:rsidR="00072752" w:rsidRPr="00072752">
        <w:rPr>
          <w:rFonts w:ascii="Calibri" w:hAnsi="Calibri" w:cs="Calibri"/>
        </w:rPr>
        <w:t>města Hradec nad Moravicí.</w:t>
      </w:r>
    </w:p>
    <w:p w:rsidR="001E0788" w:rsidRPr="00805FA6" w:rsidRDefault="001E0788" w:rsidP="001E0788">
      <w:pPr>
        <w:keepNext/>
        <w:spacing w:before="240" w:after="0" w:line="276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Čl. 2</w:t>
      </w:r>
    </w:p>
    <w:p w:rsidR="001E0788" w:rsidRPr="00805FA6" w:rsidRDefault="00072752" w:rsidP="001E0788">
      <w:pPr>
        <w:keepNext/>
        <w:spacing w:after="240" w:line="276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Vymezení pojmů</w:t>
      </w:r>
    </w:p>
    <w:p w:rsidR="00072752" w:rsidRPr="00072752" w:rsidRDefault="00072752" w:rsidP="00072752">
      <w:pPr>
        <w:numPr>
          <w:ilvl w:val="0"/>
          <w:numId w:val="41"/>
        </w:numPr>
        <w:adjustRightInd w:val="0"/>
        <w:spacing w:line="280" w:lineRule="exact"/>
        <w:ind w:left="567" w:hanging="567"/>
        <w:rPr>
          <w:rFonts w:ascii="Calibri" w:hAnsi="Calibri" w:cs="Calibri"/>
          <w:snapToGrid w:val="0"/>
        </w:rPr>
      </w:pPr>
      <w:r w:rsidRPr="00072752">
        <w:rPr>
          <w:rFonts w:ascii="Calibri" w:eastAsia="Calibri" w:hAnsi="Calibri" w:cs="Calibri"/>
        </w:rPr>
        <w:t xml:space="preserve">Podomním prodejem se rozumí nabídka, </w:t>
      </w:r>
      <w:r w:rsidRPr="00072752">
        <w:rPr>
          <w:rFonts w:ascii="Calibri" w:hAnsi="Calibri" w:cs="Calibri"/>
        </w:rPr>
        <w:t xml:space="preserve">prodej zboží a poskytování služeb provozovaný prodejcem bez pevného stanoviště obchůzkou jednotlivých bytů, domů, budov apod. </w:t>
      </w:r>
      <w:r w:rsidRPr="00072752">
        <w:rPr>
          <w:rFonts w:ascii="Calibri" w:eastAsia="Calibri" w:hAnsi="Calibri" w:cs="Calibri"/>
        </w:rPr>
        <w:t xml:space="preserve">bez předchozí objednávky. </w:t>
      </w:r>
    </w:p>
    <w:p w:rsidR="00072752" w:rsidRPr="00072752" w:rsidRDefault="00072752" w:rsidP="00072752">
      <w:pPr>
        <w:numPr>
          <w:ilvl w:val="0"/>
          <w:numId w:val="41"/>
        </w:numPr>
        <w:adjustRightInd w:val="0"/>
        <w:spacing w:after="360" w:line="280" w:lineRule="exact"/>
        <w:ind w:left="567" w:hanging="567"/>
        <w:rPr>
          <w:rFonts w:ascii="Calibri" w:eastAsia="Calibri" w:hAnsi="Calibri" w:cs="Calibri"/>
        </w:rPr>
      </w:pPr>
      <w:r w:rsidRPr="00072752">
        <w:rPr>
          <w:rFonts w:ascii="Calibri" w:hAnsi="Calibri" w:cs="Calibri"/>
        </w:rPr>
        <w:t xml:space="preserve">Pochůzkovým prodejem se rozumí nabídka, prodej zboží a poskytování služeb na veřejném prostranství s použitím přenosného nebo neseného zařízení (konstrukce, tyče, závěsného pultu, ze zavazadel, tašek a podobných zařízení) nebo přímo z ruky, </w:t>
      </w:r>
      <w:r w:rsidRPr="00072752">
        <w:rPr>
          <w:rFonts w:ascii="Calibri" w:eastAsia="Calibri" w:hAnsi="Calibri" w:cs="Calibri"/>
        </w:rPr>
        <w:t>přičemž n</w:t>
      </w:r>
      <w:r w:rsidRPr="00072752">
        <w:rPr>
          <w:rFonts w:ascii="Calibri" w:hAnsi="Calibri" w:cs="Calibri"/>
        </w:rPr>
        <w:t>ení rozhodující, zda ten, kdo zboží nebo služby prodává či nabízí, se přemísťuje nebo postává na místě.</w:t>
      </w:r>
    </w:p>
    <w:p w:rsidR="00A9426D" w:rsidRPr="00805FA6" w:rsidRDefault="0073088B" w:rsidP="00062094">
      <w:pPr>
        <w:keepNext/>
        <w:spacing w:before="240" w:after="0" w:line="276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lastRenderedPageBreak/>
        <w:t>Čl. 3</w:t>
      </w:r>
    </w:p>
    <w:p w:rsidR="00A9426D" w:rsidRPr="00805FA6" w:rsidRDefault="00072752" w:rsidP="00062094">
      <w:pPr>
        <w:keepNext/>
        <w:spacing w:after="240" w:line="276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Zakázané druhy prodeje zboží a poskytování a poskytování služeb</w:t>
      </w:r>
    </w:p>
    <w:p w:rsidR="00072752" w:rsidRDefault="00072752" w:rsidP="00072752">
      <w:pPr>
        <w:pStyle w:val="Odstavecseseznamem"/>
        <w:numPr>
          <w:ilvl w:val="0"/>
          <w:numId w:val="42"/>
        </w:numPr>
        <w:spacing w:line="280" w:lineRule="exact"/>
        <w:ind w:left="567" w:hanging="567"/>
        <w:contextualSpacing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Podomní prodej je n</w:t>
      </w:r>
      <w:r w:rsidRPr="009151FF">
        <w:rPr>
          <w:rFonts w:ascii="Tahoma" w:hAnsi="Tahoma" w:cs="Tahoma"/>
          <w:sz w:val="20"/>
          <w:szCs w:val="20"/>
        </w:rPr>
        <w:t xml:space="preserve">a území </w:t>
      </w:r>
      <w:r>
        <w:rPr>
          <w:rFonts w:ascii="Tahoma" w:hAnsi="Tahoma" w:cs="Tahoma"/>
          <w:sz w:val="20"/>
          <w:szCs w:val="20"/>
        </w:rPr>
        <w:t xml:space="preserve">města Hradec nad Moravicí </w:t>
      </w:r>
      <w:r w:rsidRPr="009151FF">
        <w:rPr>
          <w:rFonts w:ascii="Tahoma" w:hAnsi="Tahoma" w:cs="Tahoma"/>
          <w:sz w:val="20"/>
          <w:szCs w:val="20"/>
        </w:rPr>
        <w:t>zakázán.</w:t>
      </w:r>
    </w:p>
    <w:p w:rsidR="00072752" w:rsidRDefault="00072752" w:rsidP="00072752">
      <w:pPr>
        <w:pStyle w:val="Odstavecseseznamem"/>
        <w:numPr>
          <w:ilvl w:val="0"/>
          <w:numId w:val="42"/>
        </w:numPr>
        <w:spacing w:line="280" w:lineRule="exact"/>
        <w:ind w:left="567" w:hanging="567"/>
        <w:contextualSpacing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Pochůzkový prodej je na území města Hradec nad Moravicí zakázán.</w:t>
      </w:r>
    </w:p>
    <w:p w:rsidR="00072752" w:rsidRDefault="00072752" w:rsidP="00072752">
      <w:pPr>
        <w:pStyle w:val="Odstavecseseznamem"/>
        <w:numPr>
          <w:ilvl w:val="0"/>
          <w:numId w:val="42"/>
        </w:numPr>
        <w:spacing w:line="280" w:lineRule="exact"/>
        <w:ind w:left="567" w:hanging="567"/>
        <w:contextualSpacing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Podomní prodej </w:t>
      </w:r>
      <w:r w:rsidRPr="00347C43">
        <w:rPr>
          <w:rFonts w:ascii="Tahoma" w:hAnsi="Tahoma" w:cs="Tahoma"/>
          <w:sz w:val="20"/>
          <w:szCs w:val="20"/>
        </w:rPr>
        <w:t>prováděn</w:t>
      </w:r>
      <w:r>
        <w:rPr>
          <w:rFonts w:ascii="Tahoma" w:hAnsi="Tahoma" w:cs="Tahoma"/>
          <w:sz w:val="20"/>
          <w:szCs w:val="20"/>
        </w:rPr>
        <w:t>ý</w:t>
      </w:r>
      <w:r w:rsidRPr="00347C43">
        <w:rPr>
          <w:rFonts w:ascii="Tahoma" w:hAnsi="Tahoma" w:cs="Tahoma"/>
          <w:sz w:val="20"/>
          <w:szCs w:val="20"/>
        </w:rPr>
        <w:t xml:space="preserve"> mimo </w:t>
      </w:r>
      <w:r w:rsidRPr="001F7F21">
        <w:rPr>
          <w:rFonts w:ascii="Tahoma" w:hAnsi="Tahoma" w:cs="Tahoma"/>
          <w:sz w:val="20"/>
          <w:szCs w:val="20"/>
        </w:rPr>
        <w:t xml:space="preserve">obchodní prostory při výkonu licencované činnosti držitelem licence nebo při výkonu zprostředkovatelské činnosti v energetických odvětvích </w:t>
      </w:r>
      <w:r>
        <w:rPr>
          <w:rFonts w:ascii="Tahoma" w:hAnsi="Tahoma" w:cs="Tahoma"/>
          <w:sz w:val="20"/>
          <w:szCs w:val="20"/>
        </w:rPr>
        <w:t>po</w:t>
      </w:r>
      <w:r w:rsidRPr="001F7F21">
        <w:rPr>
          <w:rFonts w:ascii="Tahoma" w:hAnsi="Tahoma" w:cs="Tahoma"/>
          <w:sz w:val="20"/>
          <w:szCs w:val="20"/>
        </w:rPr>
        <w:t>dle energetického zákona</w:t>
      </w:r>
      <w:r>
        <w:rPr>
          <w:rFonts w:ascii="Tahoma" w:hAnsi="Tahoma" w:cs="Tahoma"/>
          <w:sz w:val="20"/>
          <w:szCs w:val="20"/>
        </w:rPr>
        <w:t xml:space="preserve"> je n</w:t>
      </w:r>
      <w:r w:rsidRPr="009151FF">
        <w:rPr>
          <w:rFonts w:ascii="Tahoma" w:hAnsi="Tahoma" w:cs="Tahoma"/>
          <w:sz w:val="20"/>
          <w:szCs w:val="20"/>
        </w:rPr>
        <w:t xml:space="preserve">a území </w:t>
      </w:r>
      <w:r>
        <w:rPr>
          <w:rFonts w:ascii="Tahoma" w:hAnsi="Tahoma" w:cs="Tahoma"/>
          <w:sz w:val="20"/>
          <w:szCs w:val="20"/>
        </w:rPr>
        <w:t xml:space="preserve">města Hradec nad Moravicí </w:t>
      </w:r>
      <w:r w:rsidRPr="009151FF">
        <w:rPr>
          <w:rFonts w:ascii="Tahoma" w:hAnsi="Tahoma" w:cs="Tahoma"/>
          <w:sz w:val="20"/>
          <w:szCs w:val="20"/>
        </w:rPr>
        <w:t>zakázán.</w:t>
      </w:r>
    </w:p>
    <w:p w:rsidR="00072752" w:rsidRPr="006E122D" w:rsidRDefault="00072752" w:rsidP="00072752">
      <w:pPr>
        <w:pStyle w:val="Odstavecseseznamem"/>
        <w:numPr>
          <w:ilvl w:val="0"/>
          <w:numId w:val="42"/>
        </w:numPr>
        <w:spacing w:after="0" w:line="280" w:lineRule="exact"/>
        <w:ind w:left="567" w:hanging="567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Pochůzkový prodej </w:t>
      </w:r>
      <w:r w:rsidRPr="00347C43">
        <w:rPr>
          <w:rFonts w:ascii="Tahoma" w:hAnsi="Tahoma" w:cs="Tahoma"/>
          <w:sz w:val="20"/>
          <w:szCs w:val="20"/>
        </w:rPr>
        <w:t>prováděn</w:t>
      </w:r>
      <w:r>
        <w:rPr>
          <w:rFonts w:ascii="Tahoma" w:hAnsi="Tahoma" w:cs="Tahoma"/>
          <w:sz w:val="20"/>
          <w:szCs w:val="20"/>
        </w:rPr>
        <w:t>ý</w:t>
      </w:r>
      <w:r w:rsidRPr="00347C43">
        <w:rPr>
          <w:rFonts w:ascii="Tahoma" w:hAnsi="Tahoma" w:cs="Tahoma"/>
          <w:sz w:val="20"/>
          <w:szCs w:val="20"/>
        </w:rPr>
        <w:t xml:space="preserve"> mimo </w:t>
      </w:r>
      <w:r w:rsidRPr="001F7F21">
        <w:rPr>
          <w:rFonts w:ascii="Tahoma" w:hAnsi="Tahoma" w:cs="Tahoma"/>
          <w:sz w:val="20"/>
          <w:szCs w:val="20"/>
        </w:rPr>
        <w:t xml:space="preserve">obchodní prostory při výkonu licencované činnosti držitelem licence nebo při výkonu zprostředkovatelské činnosti v energetických odvětvích </w:t>
      </w:r>
      <w:r>
        <w:rPr>
          <w:rFonts w:ascii="Tahoma" w:hAnsi="Tahoma" w:cs="Tahoma"/>
          <w:sz w:val="20"/>
          <w:szCs w:val="20"/>
        </w:rPr>
        <w:t>po</w:t>
      </w:r>
      <w:r w:rsidRPr="001F7F21">
        <w:rPr>
          <w:rFonts w:ascii="Tahoma" w:hAnsi="Tahoma" w:cs="Tahoma"/>
          <w:sz w:val="20"/>
          <w:szCs w:val="20"/>
        </w:rPr>
        <w:t>dle energetického zákona</w:t>
      </w:r>
      <w:r>
        <w:rPr>
          <w:rFonts w:ascii="Tahoma" w:hAnsi="Tahoma" w:cs="Tahoma"/>
          <w:sz w:val="20"/>
          <w:szCs w:val="20"/>
        </w:rPr>
        <w:t xml:space="preserve"> je na území města Hradec nad Moravicí zakázán.</w:t>
      </w:r>
    </w:p>
    <w:p w:rsidR="00A9426D" w:rsidRPr="00805FA6" w:rsidRDefault="00504EBD" w:rsidP="00062094">
      <w:pPr>
        <w:keepNext/>
        <w:spacing w:before="240" w:after="0" w:line="276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Čl. 4</w:t>
      </w:r>
    </w:p>
    <w:p w:rsidR="00A9426D" w:rsidRPr="00805FA6" w:rsidRDefault="00072752" w:rsidP="00062094">
      <w:pPr>
        <w:keepNext/>
        <w:spacing w:after="240" w:line="276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Sankční ustanovení</w:t>
      </w:r>
    </w:p>
    <w:p w:rsidR="00072752" w:rsidRPr="00072752" w:rsidRDefault="00072752" w:rsidP="00072752">
      <w:pPr>
        <w:spacing w:after="360" w:line="280" w:lineRule="exact"/>
        <w:ind w:left="567"/>
        <w:rPr>
          <w:rFonts w:cstheme="minorHAnsi"/>
          <w:szCs w:val="20"/>
        </w:rPr>
      </w:pPr>
      <w:r w:rsidRPr="00072752">
        <w:rPr>
          <w:rFonts w:cstheme="minorHAnsi"/>
          <w:szCs w:val="20"/>
        </w:rPr>
        <w:t>Porušení povinností stanovených tímto nařízením se postihuje podle zvláštních právních předpisů</w:t>
      </w:r>
      <w:r w:rsidRPr="00072752">
        <w:rPr>
          <w:rStyle w:val="Znakapoznpodarou"/>
          <w:rFonts w:cstheme="minorHAnsi"/>
          <w:szCs w:val="20"/>
        </w:rPr>
        <w:footnoteReference w:id="2"/>
      </w:r>
      <w:r w:rsidRPr="00072752">
        <w:rPr>
          <w:rFonts w:cstheme="minorHAnsi"/>
          <w:szCs w:val="20"/>
          <w:vertAlign w:val="superscript"/>
        </w:rPr>
        <w:t>)</w:t>
      </w:r>
      <w:r w:rsidRPr="00072752">
        <w:rPr>
          <w:rFonts w:cstheme="minorHAnsi"/>
          <w:szCs w:val="20"/>
        </w:rPr>
        <w:t>.</w:t>
      </w:r>
    </w:p>
    <w:p w:rsidR="00A9426D" w:rsidRPr="00805FA6" w:rsidRDefault="00504EBD" w:rsidP="007A55B4">
      <w:pPr>
        <w:keepNext/>
        <w:spacing w:before="240" w:after="0" w:line="276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Čl. 5</w:t>
      </w:r>
    </w:p>
    <w:p w:rsidR="00A9426D" w:rsidRPr="00805FA6" w:rsidRDefault="00072752" w:rsidP="007A55B4">
      <w:pPr>
        <w:keepNext/>
        <w:spacing w:after="240" w:line="276" w:lineRule="auto"/>
        <w:jc w:val="center"/>
        <w:rPr>
          <w:rFonts w:ascii="Calibri" w:hAnsi="Calibri" w:cs="Calibri"/>
          <w:i/>
          <w:color w:val="FF0000"/>
        </w:rPr>
      </w:pPr>
      <w:r>
        <w:rPr>
          <w:rFonts w:ascii="Calibri" w:hAnsi="Calibri" w:cs="Calibri"/>
          <w:b/>
        </w:rPr>
        <w:t>Závěrečná ustanovení</w:t>
      </w:r>
    </w:p>
    <w:p w:rsidR="00072752" w:rsidRDefault="00FA1B60" w:rsidP="00FA1B60">
      <w:pPr>
        <w:pStyle w:val="Odstavecseseznamem"/>
        <w:numPr>
          <w:ilvl w:val="0"/>
          <w:numId w:val="43"/>
        </w:numPr>
        <w:spacing w:line="280" w:lineRule="exact"/>
        <w:ind w:left="567" w:hanging="567"/>
        <w:contextualSpacing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Tímto nařízením se ruší nařízení města</w:t>
      </w:r>
      <w:r w:rsidR="00072752">
        <w:rPr>
          <w:rFonts w:ascii="Tahoma" w:hAnsi="Tahoma" w:cs="Tahoma"/>
          <w:sz w:val="20"/>
          <w:szCs w:val="20"/>
        </w:rPr>
        <w:t xml:space="preserve"> č. </w:t>
      </w:r>
      <w:r>
        <w:rPr>
          <w:rFonts w:ascii="Tahoma" w:hAnsi="Tahoma" w:cs="Tahoma"/>
          <w:sz w:val="20"/>
          <w:szCs w:val="20"/>
        </w:rPr>
        <w:t>1/2019</w:t>
      </w:r>
      <w:r w:rsidR="00072752">
        <w:rPr>
          <w:rFonts w:ascii="Tahoma" w:hAnsi="Tahoma" w:cs="Tahoma"/>
          <w:sz w:val="20"/>
          <w:szCs w:val="20"/>
        </w:rPr>
        <w:t xml:space="preserve">, </w:t>
      </w:r>
      <w:r>
        <w:rPr>
          <w:rFonts w:ascii="Tahoma" w:hAnsi="Tahoma" w:cs="Tahoma"/>
          <w:sz w:val="20"/>
          <w:szCs w:val="20"/>
        </w:rPr>
        <w:t xml:space="preserve">o zákazu </w:t>
      </w:r>
      <w:r w:rsidR="00072752">
        <w:rPr>
          <w:rFonts w:ascii="Tahoma" w:hAnsi="Tahoma" w:cs="Tahoma"/>
          <w:sz w:val="20"/>
          <w:szCs w:val="20"/>
        </w:rPr>
        <w:t>p</w:t>
      </w:r>
      <w:r>
        <w:rPr>
          <w:rFonts w:ascii="Tahoma" w:hAnsi="Tahoma" w:cs="Tahoma"/>
          <w:sz w:val="20"/>
          <w:szCs w:val="20"/>
        </w:rPr>
        <w:t>odomního a pochůzkového prodeje na území města.</w:t>
      </w:r>
    </w:p>
    <w:p w:rsidR="00072752" w:rsidRPr="004814F4" w:rsidRDefault="00072752" w:rsidP="00FA1B60">
      <w:pPr>
        <w:pStyle w:val="Odstavecseseznamem"/>
        <w:numPr>
          <w:ilvl w:val="0"/>
          <w:numId w:val="43"/>
        </w:numPr>
        <w:spacing w:line="280" w:lineRule="exact"/>
        <w:ind w:left="567" w:hanging="567"/>
        <w:contextualSpacing w:val="0"/>
        <w:rPr>
          <w:rFonts w:ascii="Tahoma" w:hAnsi="Tahoma" w:cs="Tahoma"/>
          <w:sz w:val="20"/>
          <w:szCs w:val="20"/>
        </w:rPr>
      </w:pPr>
      <w:r w:rsidRPr="004814F4">
        <w:rPr>
          <w:rFonts w:ascii="Tahoma" w:hAnsi="Tahoma" w:cs="Tahoma"/>
          <w:sz w:val="20"/>
          <w:szCs w:val="20"/>
        </w:rPr>
        <w:t>T</w:t>
      </w:r>
      <w:r>
        <w:rPr>
          <w:rFonts w:ascii="Tahoma" w:hAnsi="Tahoma" w:cs="Tahoma"/>
          <w:sz w:val="20"/>
          <w:szCs w:val="20"/>
        </w:rPr>
        <w:t>o</w:t>
      </w:r>
      <w:r w:rsidRPr="004814F4">
        <w:rPr>
          <w:rFonts w:ascii="Tahoma" w:hAnsi="Tahoma" w:cs="Tahoma"/>
          <w:sz w:val="20"/>
          <w:szCs w:val="20"/>
        </w:rPr>
        <w:t xml:space="preserve">to nařízení nabývá účinnosti </w:t>
      </w:r>
      <w:r w:rsidR="00FA1B60">
        <w:rPr>
          <w:rFonts w:ascii="Tahoma" w:hAnsi="Tahoma" w:cs="Tahoma"/>
          <w:sz w:val="20"/>
          <w:szCs w:val="20"/>
        </w:rPr>
        <w:t>dnem 1. 3. 2025</w:t>
      </w:r>
      <w:r w:rsidRPr="004814F4">
        <w:rPr>
          <w:rFonts w:ascii="Tahoma" w:hAnsi="Tahoma" w:cs="Tahoma"/>
          <w:sz w:val="20"/>
          <w:szCs w:val="20"/>
        </w:rPr>
        <w:t>.</w:t>
      </w:r>
    </w:p>
    <w:p w:rsidR="00A9426D" w:rsidRPr="00805FA6" w:rsidRDefault="00A9426D" w:rsidP="00A9426D">
      <w:pPr>
        <w:spacing w:line="276" w:lineRule="auto"/>
        <w:rPr>
          <w:rFonts w:ascii="Calibri" w:hAnsi="Calibri" w:cs="Calibri"/>
        </w:rPr>
      </w:pPr>
    </w:p>
    <w:p w:rsidR="007A55B4" w:rsidRPr="00805FA6" w:rsidRDefault="007A55B4" w:rsidP="007A55B4">
      <w:pPr>
        <w:pStyle w:val="Nzvylnk"/>
        <w:spacing w:before="0" w:after="0"/>
        <w:jc w:val="left"/>
        <w:rPr>
          <w:rFonts w:asciiTheme="minorHAnsi" w:hAnsiTheme="minorHAnsi" w:cstheme="minorHAnsi"/>
          <w:b w:val="0"/>
          <w:bCs w:val="0"/>
          <w:i/>
          <w:color w:val="1A4BD6"/>
          <w:sz w:val="22"/>
          <w:szCs w:val="22"/>
        </w:rPr>
      </w:pPr>
    </w:p>
    <w:p w:rsidR="007A55B4" w:rsidRDefault="007A55B4" w:rsidP="007A55B4">
      <w:pPr>
        <w:pStyle w:val="Nzvylnk"/>
        <w:spacing w:before="0" w:after="0"/>
        <w:jc w:val="left"/>
        <w:rPr>
          <w:rFonts w:asciiTheme="minorHAnsi" w:hAnsiTheme="minorHAnsi" w:cstheme="minorHAnsi"/>
          <w:b w:val="0"/>
          <w:bCs w:val="0"/>
          <w:i/>
          <w:color w:val="1A4BD6"/>
          <w:sz w:val="22"/>
          <w:szCs w:val="22"/>
        </w:rPr>
      </w:pPr>
    </w:p>
    <w:p w:rsidR="00FA1B60" w:rsidRPr="00805FA6" w:rsidRDefault="00FA1B60" w:rsidP="007A55B4">
      <w:pPr>
        <w:pStyle w:val="Nzvylnk"/>
        <w:spacing w:before="0" w:after="0"/>
        <w:jc w:val="left"/>
        <w:rPr>
          <w:rFonts w:asciiTheme="minorHAnsi" w:hAnsiTheme="minorHAnsi" w:cstheme="minorHAnsi"/>
          <w:b w:val="0"/>
          <w:bCs w:val="0"/>
          <w:i/>
          <w:color w:val="1A4BD6"/>
          <w:sz w:val="22"/>
          <w:szCs w:val="22"/>
        </w:rPr>
      </w:pPr>
    </w:p>
    <w:p w:rsidR="007A55B4" w:rsidRPr="00805FA6" w:rsidRDefault="007A55B4" w:rsidP="007A55B4">
      <w:pPr>
        <w:pStyle w:val="Nzvylnk"/>
        <w:spacing w:before="0" w:after="0"/>
        <w:jc w:val="left"/>
        <w:rPr>
          <w:rFonts w:asciiTheme="minorHAnsi" w:hAnsiTheme="minorHAnsi" w:cstheme="minorHAnsi"/>
          <w:b w:val="0"/>
          <w:bCs w:val="0"/>
          <w:i/>
          <w:color w:val="1A4BD6"/>
          <w:sz w:val="22"/>
          <w:szCs w:val="22"/>
        </w:rPr>
      </w:pPr>
    </w:p>
    <w:p w:rsidR="007A55B4" w:rsidRPr="00805FA6" w:rsidRDefault="007A55B4" w:rsidP="007A55B4">
      <w:pPr>
        <w:pStyle w:val="Zkladntext"/>
        <w:tabs>
          <w:tab w:val="center" w:pos="2268"/>
          <w:tab w:val="center" w:pos="6804"/>
        </w:tabs>
        <w:spacing w:after="0"/>
        <w:rPr>
          <w:rFonts w:ascii="Calibri" w:hAnsi="Calibri" w:cs="Calibri"/>
          <w:sz w:val="22"/>
          <w:szCs w:val="22"/>
        </w:rPr>
      </w:pPr>
      <w:r w:rsidRPr="00805FA6">
        <w:rPr>
          <w:rFonts w:ascii="Calibri" w:hAnsi="Calibri" w:cs="Calibri"/>
          <w:sz w:val="22"/>
          <w:szCs w:val="22"/>
        </w:rPr>
        <w:tab/>
        <w:t>Alexander ČERNÝ</w:t>
      </w:r>
      <w:r w:rsidR="0029005A">
        <w:rPr>
          <w:rFonts w:ascii="Calibri" w:hAnsi="Calibri" w:cs="Calibri"/>
          <w:sz w:val="22"/>
          <w:szCs w:val="22"/>
        </w:rPr>
        <w:t xml:space="preserve"> v. r.</w:t>
      </w:r>
      <w:r w:rsidRPr="00805FA6">
        <w:rPr>
          <w:rFonts w:ascii="Calibri" w:hAnsi="Calibri" w:cs="Calibri"/>
          <w:sz w:val="22"/>
          <w:szCs w:val="22"/>
        </w:rPr>
        <w:tab/>
        <w:t xml:space="preserve"> Mgr. Patrik ORLÍK</w:t>
      </w:r>
      <w:r w:rsidR="0029005A">
        <w:rPr>
          <w:rFonts w:ascii="Calibri" w:hAnsi="Calibri" w:cs="Calibri"/>
          <w:sz w:val="22"/>
          <w:szCs w:val="22"/>
        </w:rPr>
        <w:t xml:space="preserve"> v. r.</w:t>
      </w:r>
    </w:p>
    <w:p w:rsidR="00805FA6" w:rsidRPr="00805FA6" w:rsidRDefault="007A55B4" w:rsidP="007A55B4">
      <w:pPr>
        <w:pStyle w:val="Zkladntext"/>
        <w:tabs>
          <w:tab w:val="center" w:pos="2268"/>
          <w:tab w:val="center" w:pos="6804"/>
        </w:tabs>
        <w:spacing w:after="0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805FA6">
        <w:rPr>
          <w:rFonts w:ascii="Calibri" w:hAnsi="Calibri" w:cs="Calibri"/>
          <w:sz w:val="22"/>
          <w:szCs w:val="22"/>
        </w:rPr>
        <w:tab/>
        <w:t>místostarosta</w:t>
      </w:r>
      <w:r w:rsidRPr="00805FA6">
        <w:rPr>
          <w:rFonts w:ascii="Calibri" w:hAnsi="Calibri" w:cs="Calibri"/>
          <w:sz w:val="22"/>
          <w:szCs w:val="22"/>
        </w:rPr>
        <w:tab/>
        <w:t>starosta</w:t>
      </w:r>
    </w:p>
    <w:sectPr w:rsidR="00805FA6" w:rsidRPr="00805FA6" w:rsidSect="007A55B4">
      <w:footerReference w:type="default" r:id="rId9"/>
      <w:footnotePr>
        <w:numRestart w:val="eachSect"/>
      </w:footnotePr>
      <w:type w:val="continuous"/>
      <w:pgSz w:w="11906" w:h="16838"/>
      <w:pgMar w:top="1417" w:right="1417" w:bottom="1417" w:left="1417" w:header="708" w:footer="45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52AE" w:rsidRDefault="003B52AE" w:rsidP="006A579C">
      <w:pPr>
        <w:spacing w:after="0"/>
      </w:pPr>
      <w:r>
        <w:separator/>
      </w:r>
    </w:p>
  </w:endnote>
  <w:endnote w:type="continuationSeparator" w:id="0">
    <w:p w:rsidR="003B52AE" w:rsidRDefault="003B52AE" w:rsidP="006A579C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2752" w:rsidRPr="00504EBD" w:rsidRDefault="00F67709">
    <w:pPr>
      <w:pStyle w:val="Zpat"/>
      <w:jc w:val="center"/>
      <w:rPr>
        <w:rFonts w:ascii="Calibri" w:hAnsi="Calibri" w:cs="Calibri"/>
      </w:rPr>
    </w:pPr>
    <w:r w:rsidRPr="00504EBD">
      <w:rPr>
        <w:rFonts w:ascii="Calibri" w:hAnsi="Calibri" w:cs="Calibri"/>
      </w:rPr>
      <w:fldChar w:fldCharType="begin"/>
    </w:r>
    <w:r w:rsidR="00072752" w:rsidRPr="00504EBD">
      <w:rPr>
        <w:rFonts w:ascii="Calibri" w:hAnsi="Calibri" w:cs="Calibri"/>
      </w:rPr>
      <w:instrText>PAGE   \* MERGEFORMAT</w:instrText>
    </w:r>
    <w:r w:rsidRPr="00504EBD">
      <w:rPr>
        <w:rFonts w:ascii="Calibri" w:hAnsi="Calibri" w:cs="Calibri"/>
      </w:rPr>
      <w:fldChar w:fldCharType="separate"/>
    </w:r>
    <w:r w:rsidR="0029005A">
      <w:rPr>
        <w:rFonts w:ascii="Calibri" w:hAnsi="Calibri" w:cs="Calibri"/>
        <w:noProof/>
      </w:rPr>
      <w:t>1</w:t>
    </w:r>
    <w:r w:rsidRPr="00504EBD">
      <w:rPr>
        <w:rFonts w:ascii="Calibri" w:hAnsi="Calibri" w:cs="Calibri"/>
      </w:rPr>
      <w:fldChar w:fldCharType="end"/>
    </w:r>
    <w:r w:rsidR="00AB3496">
      <w:rPr>
        <w:rFonts w:ascii="Calibri" w:hAnsi="Calibri" w:cs="Calibri"/>
      </w:rPr>
      <w:t>/2</w:t>
    </w:r>
  </w:p>
  <w:p w:rsidR="00072752" w:rsidRDefault="00072752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52AE" w:rsidRDefault="003B52AE" w:rsidP="006A579C">
      <w:pPr>
        <w:spacing w:after="0"/>
      </w:pPr>
      <w:r>
        <w:separator/>
      </w:r>
    </w:p>
  </w:footnote>
  <w:footnote w:type="continuationSeparator" w:id="0">
    <w:p w:rsidR="003B52AE" w:rsidRDefault="003B52AE" w:rsidP="006A579C">
      <w:pPr>
        <w:spacing w:after="0"/>
      </w:pPr>
      <w:r>
        <w:continuationSeparator/>
      </w:r>
    </w:p>
  </w:footnote>
  <w:footnote w:id="1">
    <w:p w:rsidR="00072752" w:rsidRPr="00072752" w:rsidRDefault="00072752" w:rsidP="00A82DA8">
      <w:pPr>
        <w:pStyle w:val="Textpoznpodarou"/>
        <w:rPr>
          <w:rFonts w:ascii="Calibri" w:hAnsi="Calibri" w:cs="Calibri"/>
          <w:sz w:val="18"/>
        </w:rPr>
      </w:pPr>
      <w:r w:rsidRPr="00072752">
        <w:rPr>
          <w:rStyle w:val="Znakapoznpodarou"/>
          <w:rFonts w:ascii="Calibri" w:hAnsi="Calibri" w:cs="Calibri"/>
          <w:sz w:val="18"/>
        </w:rPr>
        <w:footnoteRef/>
      </w:r>
      <w:r w:rsidRPr="00072752">
        <w:rPr>
          <w:rFonts w:ascii="Calibri" w:hAnsi="Calibri" w:cs="Calibri"/>
          <w:sz w:val="18"/>
          <w:vertAlign w:val="superscript"/>
        </w:rPr>
        <w:t>)</w:t>
      </w:r>
      <w:r w:rsidRPr="00072752">
        <w:rPr>
          <w:rFonts w:ascii="Calibri" w:hAnsi="Calibri" w:cs="Calibri"/>
          <w:sz w:val="18"/>
        </w:rPr>
        <w:t xml:space="preserve"> </w:t>
      </w:r>
      <w:r w:rsidR="003C6756" w:rsidRPr="003C6756">
        <w:rPr>
          <w:sz w:val="18"/>
        </w:rPr>
        <w:t>Zákon č. 283/2021 Sb., stavební zákon, ve znění pozdějších předpisů</w:t>
      </w:r>
    </w:p>
  </w:footnote>
  <w:footnote w:id="2">
    <w:p w:rsidR="00072752" w:rsidRPr="00072752" w:rsidRDefault="00072752" w:rsidP="00072752">
      <w:pPr>
        <w:pStyle w:val="Textpoznpodarou"/>
        <w:rPr>
          <w:rFonts w:ascii="Calibri" w:hAnsi="Calibri" w:cs="Calibri"/>
          <w:sz w:val="18"/>
        </w:rPr>
      </w:pPr>
      <w:r w:rsidRPr="00072752">
        <w:rPr>
          <w:rStyle w:val="Znakapoznpodarou"/>
          <w:rFonts w:ascii="Calibri" w:hAnsi="Calibri" w:cs="Calibri"/>
          <w:sz w:val="18"/>
        </w:rPr>
        <w:footnoteRef/>
      </w:r>
      <w:r w:rsidRPr="00072752">
        <w:rPr>
          <w:rFonts w:ascii="Calibri" w:hAnsi="Calibri" w:cs="Calibri"/>
          <w:sz w:val="18"/>
          <w:vertAlign w:val="superscript"/>
        </w:rPr>
        <w:t>)</w:t>
      </w:r>
      <w:r w:rsidRPr="00072752">
        <w:rPr>
          <w:rFonts w:ascii="Calibri" w:hAnsi="Calibri" w:cs="Calibri"/>
          <w:sz w:val="18"/>
        </w:rPr>
        <w:t xml:space="preserve"> § 4 odst. 1 zákona č. 251/2016 Sb., o některých přestupcích, ve znění pozdějších předpisů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A3EAD"/>
    <w:multiLevelType w:val="hybridMultilevel"/>
    <w:tmpl w:val="99CE248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37002F0"/>
    <w:multiLevelType w:val="hybridMultilevel"/>
    <w:tmpl w:val="AD40123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C748D3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AB45DE5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F148D8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07222D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8D7730"/>
    <w:multiLevelType w:val="hybridMultilevel"/>
    <w:tmpl w:val="24FAD322"/>
    <w:lvl w:ilvl="0" w:tplc="37F2C73E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A44708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334245"/>
    <w:multiLevelType w:val="hybridMultilevel"/>
    <w:tmpl w:val="6FA0BAE2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5D8464F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7067A39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F111C5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C9C30FD"/>
    <w:multiLevelType w:val="hybridMultilevel"/>
    <w:tmpl w:val="04A0C090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7D2E6C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05467B1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256139A5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6B645E2"/>
    <w:multiLevelType w:val="hybridMultilevel"/>
    <w:tmpl w:val="24FAD322"/>
    <w:lvl w:ilvl="0" w:tplc="37F2C73E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A397745"/>
    <w:multiLevelType w:val="hybridMultilevel"/>
    <w:tmpl w:val="22767CB6"/>
    <w:lvl w:ilvl="0" w:tplc="F96A0C3A">
      <w:start w:val="1"/>
      <w:numFmt w:val="decimal"/>
      <w:lvlText w:val="(%1)"/>
      <w:lvlJc w:val="left"/>
      <w:pPr>
        <w:ind w:left="360" w:hanging="360"/>
      </w:pPr>
      <w:rPr>
        <w:rFonts w:ascii="Calibri" w:hAnsi="Calibri" w:cs="Calibri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2B2F57B1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E663A90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F005164"/>
    <w:multiLevelType w:val="hybridMultilevel"/>
    <w:tmpl w:val="CDC0F364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45C64A6"/>
    <w:multiLevelType w:val="hybridMultilevel"/>
    <w:tmpl w:val="8A20857C"/>
    <w:lvl w:ilvl="0" w:tplc="65BC3D3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8846D04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4BC33C1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BDB4EFE"/>
    <w:multiLevelType w:val="hybridMultilevel"/>
    <w:tmpl w:val="2D0C81E0"/>
    <w:lvl w:ilvl="0" w:tplc="8620E72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C884F1B"/>
    <w:multiLevelType w:val="hybridMultilevel"/>
    <w:tmpl w:val="1AE6589A"/>
    <w:lvl w:ilvl="0" w:tplc="0F56CAFE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>
    <w:nsid w:val="4D561B27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EE601E3"/>
    <w:multiLevelType w:val="hybridMultilevel"/>
    <w:tmpl w:val="074063F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1DA5435"/>
    <w:multiLevelType w:val="hybridMultilevel"/>
    <w:tmpl w:val="62745E3C"/>
    <w:lvl w:ilvl="0" w:tplc="86DADDB0">
      <w:start w:val="1"/>
      <w:numFmt w:val="decimal"/>
      <w:lvlText w:val="(%1)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411666B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74E0FB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8D53493"/>
    <w:multiLevelType w:val="hybridMultilevel"/>
    <w:tmpl w:val="338E3C1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D321140"/>
    <w:multiLevelType w:val="hybridMultilevel"/>
    <w:tmpl w:val="B59820D8"/>
    <w:lvl w:ilvl="0" w:tplc="0F56CAFE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4">
    <w:nsid w:val="636A1377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520300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772103A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7A416D6D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EFF57B6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F467E24"/>
    <w:multiLevelType w:val="hybridMultilevel"/>
    <w:tmpl w:val="F27864DC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F680DBA"/>
    <w:multiLevelType w:val="hybridMultilevel"/>
    <w:tmpl w:val="462A5046"/>
    <w:lvl w:ilvl="0" w:tplc="DEEECB92">
      <w:start w:val="1"/>
      <w:numFmt w:val="decimal"/>
      <w:lvlText w:val="(%1)"/>
      <w:lvlJc w:val="left"/>
      <w:pPr>
        <w:ind w:left="360" w:hanging="360"/>
      </w:pPr>
      <w:rPr>
        <w:rFonts w:ascii="Calibri" w:hAnsi="Calibri" w:cs="Calibri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FD71E6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34"/>
  </w:num>
  <w:num w:numId="5">
    <w:abstractNumId w:val="19"/>
  </w:num>
  <w:num w:numId="6">
    <w:abstractNumId w:val="25"/>
  </w:num>
  <w:num w:numId="7">
    <w:abstractNumId w:val="39"/>
  </w:num>
  <w:num w:numId="8">
    <w:abstractNumId w:val="31"/>
  </w:num>
  <w:num w:numId="9">
    <w:abstractNumId w:val="20"/>
  </w:num>
  <w:num w:numId="10">
    <w:abstractNumId w:val="24"/>
  </w:num>
  <w:num w:numId="11">
    <w:abstractNumId w:val="0"/>
  </w:num>
  <w:num w:numId="12">
    <w:abstractNumId w:val="23"/>
  </w:num>
  <w:num w:numId="13">
    <w:abstractNumId w:val="8"/>
  </w:num>
  <w:num w:numId="14">
    <w:abstractNumId w:val="36"/>
  </w:num>
  <w:num w:numId="15">
    <w:abstractNumId w:val="32"/>
  </w:num>
  <w:num w:numId="16">
    <w:abstractNumId w:val="13"/>
  </w:num>
  <w:num w:numId="17">
    <w:abstractNumId w:val="28"/>
  </w:num>
  <w:num w:numId="18">
    <w:abstractNumId w:val="1"/>
  </w:num>
  <w:num w:numId="19">
    <w:abstractNumId w:val="40"/>
  </w:num>
  <w:num w:numId="20">
    <w:abstractNumId w:val="37"/>
  </w:num>
  <w:num w:numId="21">
    <w:abstractNumId w:val="30"/>
  </w:num>
  <w:num w:numId="22">
    <w:abstractNumId w:val="12"/>
  </w:num>
  <w:num w:numId="23">
    <w:abstractNumId w:val="35"/>
  </w:num>
  <w:num w:numId="24">
    <w:abstractNumId w:val="9"/>
  </w:num>
  <w:num w:numId="25">
    <w:abstractNumId w:val="6"/>
  </w:num>
  <w:num w:numId="26">
    <w:abstractNumId w:val="2"/>
  </w:num>
  <w:num w:numId="27">
    <w:abstractNumId w:val="38"/>
  </w:num>
  <w:num w:numId="28">
    <w:abstractNumId w:val="33"/>
  </w:num>
  <w:num w:numId="29">
    <w:abstractNumId w:val="42"/>
  </w:num>
  <w:num w:numId="30">
    <w:abstractNumId w:val="11"/>
  </w:num>
  <w:num w:numId="31">
    <w:abstractNumId w:val="15"/>
  </w:num>
  <w:num w:numId="32">
    <w:abstractNumId w:val="7"/>
  </w:num>
  <w:num w:numId="33">
    <w:abstractNumId w:val="14"/>
  </w:num>
  <w:num w:numId="34">
    <w:abstractNumId w:val="27"/>
  </w:num>
  <w:num w:numId="35">
    <w:abstractNumId w:val="10"/>
  </w:num>
  <w:num w:numId="36">
    <w:abstractNumId w:val="16"/>
  </w:num>
  <w:num w:numId="37">
    <w:abstractNumId w:val="21"/>
  </w:num>
  <w:num w:numId="38">
    <w:abstractNumId w:val="17"/>
  </w:num>
  <w:num w:numId="39">
    <w:abstractNumId w:val="26"/>
  </w:num>
  <w:num w:numId="40">
    <w:abstractNumId w:val="29"/>
  </w:num>
  <w:num w:numId="41">
    <w:abstractNumId w:val="22"/>
  </w:num>
  <w:num w:numId="42">
    <w:abstractNumId w:val="41"/>
  </w:num>
  <w:num w:numId="43">
    <w:abstractNumId w:val="18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/>
  <w:rsids>
    <w:rsidRoot w:val="006A579C"/>
    <w:rsid w:val="00004366"/>
    <w:rsid w:val="000076DC"/>
    <w:rsid w:val="00011AE1"/>
    <w:rsid w:val="0001467F"/>
    <w:rsid w:val="00014FF0"/>
    <w:rsid w:val="00015A89"/>
    <w:rsid w:val="00016059"/>
    <w:rsid w:val="00017B1B"/>
    <w:rsid w:val="000200A5"/>
    <w:rsid w:val="00021686"/>
    <w:rsid w:val="00022A36"/>
    <w:rsid w:val="00032472"/>
    <w:rsid w:val="000346D4"/>
    <w:rsid w:val="000357D8"/>
    <w:rsid w:val="00042761"/>
    <w:rsid w:val="00042F08"/>
    <w:rsid w:val="00044F97"/>
    <w:rsid w:val="00054C4E"/>
    <w:rsid w:val="00055303"/>
    <w:rsid w:val="00055E23"/>
    <w:rsid w:val="000569AF"/>
    <w:rsid w:val="00062094"/>
    <w:rsid w:val="00063EBD"/>
    <w:rsid w:val="00067D6B"/>
    <w:rsid w:val="00072752"/>
    <w:rsid w:val="00077332"/>
    <w:rsid w:val="000825C7"/>
    <w:rsid w:val="000874EF"/>
    <w:rsid w:val="000945A1"/>
    <w:rsid w:val="000973BE"/>
    <w:rsid w:val="000A2F96"/>
    <w:rsid w:val="000A4CA1"/>
    <w:rsid w:val="000A6458"/>
    <w:rsid w:val="000A75BD"/>
    <w:rsid w:val="000B05CF"/>
    <w:rsid w:val="000B231D"/>
    <w:rsid w:val="000C7DB1"/>
    <w:rsid w:val="000D22C5"/>
    <w:rsid w:val="000D339B"/>
    <w:rsid w:val="000D41D2"/>
    <w:rsid w:val="000E05BE"/>
    <w:rsid w:val="000E1853"/>
    <w:rsid w:val="000E523A"/>
    <w:rsid w:val="000F3A04"/>
    <w:rsid w:val="000F41D9"/>
    <w:rsid w:val="00101663"/>
    <w:rsid w:val="001029EE"/>
    <w:rsid w:val="00104DF4"/>
    <w:rsid w:val="00110EE7"/>
    <w:rsid w:val="0012274D"/>
    <w:rsid w:val="00123A86"/>
    <w:rsid w:val="001309FC"/>
    <w:rsid w:val="00137D0F"/>
    <w:rsid w:val="001456CE"/>
    <w:rsid w:val="001475D9"/>
    <w:rsid w:val="00150DBD"/>
    <w:rsid w:val="00150FF7"/>
    <w:rsid w:val="00161876"/>
    <w:rsid w:val="00164286"/>
    <w:rsid w:val="00174DC2"/>
    <w:rsid w:val="0017674B"/>
    <w:rsid w:val="001860B6"/>
    <w:rsid w:val="001918E5"/>
    <w:rsid w:val="001A4DFD"/>
    <w:rsid w:val="001A7DC7"/>
    <w:rsid w:val="001C1D49"/>
    <w:rsid w:val="001C5193"/>
    <w:rsid w:val="001C55C2"/>
    <w:rsid w:val="001D36CC"/>
    <w:rsid w:val="001E0788"/>
    <w:rsid w:val="001E13DF"/>
    <w:rsid w:val="001E742B"/>
    <w:rsid w:val="002047B9"/>
    <w:rsid w:val="00207049"/>
    <w:rsid w:val="00216214"/>
    <w:rsid w:val="00222384"/>
    <w:rsid w:val="00222B8D"/>
    <w:rsid w:val="00227E86"/>
    <w:rsid w:val="002302EE"/>
    <w:rsid w:val="002402A7"/>
    <w:rsid w:val="00242D87"/>
    <w:rsid w:val="00243C48"/>
    <w:rsid w:val="00245B24"/>
    <w:rsid w:val="00247368"/>
    <w:rsid w:val="00250563"/>
    <w:rsid w:val="00250C7F"/>
    <w:rsid w:val="00252D22"/>
    <w:rsid w:val="002668C8"/>
    <w:rsid w:val="00280371"/>
    <w:rsid w:val="002804DF"/>
    <w:rsid w:val="002807AF"/>
    <w:rsid w:val="00281993"/>
    <w:rsid w:val="00282251"/>
    <w:rsid w:val="0028233B"/>
    <w:rsid w:val="00283735"/>
    <w:rsid w:val="0029005A"/>
    <w:rsid w:val="00290925"/>
    <w:rsid w:val="00291B07"/>
    <w:rsid w:val="002979FD"/>
    <w:rsid w:val="002A4602"/>
    <w:rsid w:val="002A49BF"/>
    <w:rsid w:val="002A73D3"/>
    <w:rsid w:val="002B08E1"/>
    <w:rsid w:val="002B3412"/>
    <w:rsid w:val="002B5A8C"/>
    <w:rsid w:val="002B784A"/>
    <w:rsid w:val="002C2179"/>
    <w:rsid w:val="002C7F6B"/>
    <w:rsid w:val="002D57AB"/>
    <w:rsid w:val="002E003E"/>
    <w:rsid w:val="002E070E"/>
    <w:rsid w:val="002E54A1"/>
    <w:rsid w:val="002F2D1B"/>
    <w:rsid w:val="002F306E"/>
    <w:rsid w:val="0030227C"/>
    <w:rsid w:val="003101CC"/>
    <w:rsid w:val="00313269"/>
    <w:rsid w:val="00316250"/>
    <w:rsid w:val="0031629B"/>
    <w:rsid w:val="00317455"/>
    <w:rsid w:val="003257FE"/>
    <w:rsid w:val="003331F0"/>
    <w:rsid w:val="00340258"/>
    <w:rsid w:val="00340752"/>
    <w:rsid w:val="00340AAD"/>
    <w:rsid w:val="00340CA1"/>
    <w:rsid w:val="00344EBB"/>
    <w:rsid w:val="00345130"/>
    <w:rsid w:val="00350CEA"/>
    <w:rsid w:val="00351BCA"/>
    <w:rsid w:val="00353A66"/>
    <w:rsid w:val="0036673D"/>
    <w:rsid w:val="003708CC"/>
    <w:rsid w:val="00374690"/>
    <w:rsid w:val="0039142A"/>
    <w:rsid w:val="00392A50"/>
    <w:rsid w:val="00392EB8"/>
    <w:rsid w:val="00394DC4"/>
    <w:rsid w:val="003A0E44"/>
    <w:rsid w:val="003A4583"/>
    <w:rsid w:val="003A522F"/>
    <w:rsid w:val="003B52AE"/>
    <w:rsid w:val="003C6756"/>
    <w:rsid w:val="003D64C8"/>
    <w:rsid w:val="003E4092"/>
    <w:rsid w:val="003F28A9"/>
    <w:rsid w:val="003F4F73"/>
    <w:rsid w:val="003F7399"/>
    <w:rsid w:val="0040012E"/>
    <w:rsid w:val="00404FBB"/>
    <w:rsid w:val="004062DB"/>
    <w:rsid w:val="004224E6"/>
    <w:rsid w:val="00422840"/>
    <w:rsid w:val="004230A9"/>
    <w:rsid w:val="00431597"/>
    <w:rsid w:val="00435182"/>
    <w:rsid w:val="004413D5"/>
    <w:rsid w:val="004428AE"/>
    <w:rsid w:val="0044376B"/>
    <w:rsid w:val="00444408"/>
    <w:rsid w:val="00450340"/>
    <w:rsid w:val="00454309"/>
    <w:rsid w:val="00455FD0"/>
    <w:rsid w:val="004569A7"/>
    <w:rsid w:val="00456B24"/>
    <w:rsid w:val="00457FDF"/>
    <w:rsid w:val="00460337"/>
    <w:rsid w:val="00460604"/>
    <w:rsid w:val="00462C43"/>
    <w:rsid w:val="00464229"/>
    <w:rsid w:val="004808E9"/>
    <w:rsid w:val="00480B9F"/>
    <w:rsid w:val="00485F06"/>
    <w:rsid w:val="00494E10"/>
    <w:rsid w:val="004A283C"/>
    <w:rsid w:val="004A7D28"/>
    <w:rsid w:val="004C67D4"/>
    <w:rsid w:val="004D4BFB"/>
    <w:rsid w:val="004D6672"/>
    <w:rsid w:val="004E28EE"/>
    <w:rsid w:val="004E2F09"/>
    <w:rsid w:val="004E2FF0"/>
    <w:rsid w:val="004E3D93"/>
    <w:rsid w:val="004E677A"/>
    <w:rsid w:val="004F01DE"/>
    <w:rsid w:val="004F3492"/>
    <w:rsid w:val="004F6AE0"/>
    <w:rsid w:val="004F7411"/>
    <w:rsid w:val="00502228"/>
    <w:rsid w:val="00502E97"/>
    <w:rsid w:val="005033A3"/>
    <w:rsid w:val="00504EBD"/>
    <w:rsid w:val="00507718"/>
    <w:rsid w:val="00511967"/>
    <w:rsid w:val="00516B51"/>
    <w:rsid w:val="00521D8F"/>
    <w:rsid w:val="00530113"/>
    <w:rsid w:val="00545299"/>
    <w:rsid w:val="0056286D"/>
    <w:rsid w:val="005637AD"/>
    <w:rsid w:val="0056672D"/>
    <w:rsid w:val="005865A5"/>
    <w:rsid w:val="00591AAA"/>
    <w:rsid w:val="00591EC3"/>
    <w:rsid w:val="005A34B3"/>
    <w:rsid w:val="005A70A5"/>
    <w:rsid w:val="005B181B"/>
    <w:rsid w:val="005B1BD7"/>
    <w:rsid w:val="005C06A9"/>
    <w:rsid w:val="005C1D37"/>
    <w:rsid w:val="005C1F95"/>
    <w:rsid w:val="005C4195"/>
    <w:rsid w:val="005D236D"/>
    <w:rsid w:val="005D6B45"/>
    <w:rsid w:val="005D6E6A"/>
    <w:rsid w:val="005D748C"/>
    <w:rsid w:val="005D7CDD"/>
    <w:rsid w:val="005E1409"/>
    <w:rsid w:val="005E2D1D"/>
    <w:rsid w:val="005F2207"/>
    <w:rsid w:val="005F496F"/>
    <w:rsid w:val="005F591A"/>
    <w:rsid w:val="005F7FAE"/>
    <w:rsid w:val="00602A81"/>
    <w:rsid w:val="0061368C"/>
    <w:rsid w:val="0061583F"/>
    <w:rsid w:val="00620A53"/>
    <w:rsid w:val="0062486B"/>
    <w:rsid w:val="0064432C"/>
    <w:rsid w:val="006461B3"/>
    <w:rsid w:val="006478DD"/>
    <w:rsid w:val="006503EB"/>
    <w:rsid w:val="0065481A"/>
    <w:rsid w:val="00655217"/>
    <w:rsid w:val="00656359"/>
    <w:rsid w:val="00660D1D"/>
    <w:rsid w:val="00662892"/>
    <w:rsid w:val="00671821"/>
    <w:rsid w:val="00675C50"/>
    <w:rsid w:val="00677DEE"/>
    <w:rsid w:val="00693268"/>
    <w:rsid w:val="00695358"/>
    <w:rsid w:val="006974CE"/>
    <w:rsid w:val="006A562E"/>
    <w:rsid w:val="006A579C"/>
    <w:rsid w:val="006B04F4"/>
    <w:rsid w:val="006B0C63"/>
    <w:rsid w:val="006B0EDF"/>
    <w:rsid w:val="006B5247"/>
    <w:rsid w:val="006C2713"/>
    <w:rsid w:val="006C7E99"/>
    <w:rsid w:val="006E2761"/>
    <w:rsid w:val="006E3042"/>
    <w:rsid w:val="006E48D2"/>
    <w:rsid w:val="006E4A8A"/>
    <w:rsid w:val="006E5028"/>
    <w:rsid w:val="006E61FD"/>
    <w:rsid w:val="006F2120"/>
    <w:rsid w:val="006F21C4"/>
    <w:rsid w:val="006F359F"/>
    <w:rsid w:val="00700F9A"/>
    <w:rsid w:val="0070259B"/>
    <w:rsid w:val="00703D3F"/>
    <w:rsid w:val="00706362"/>
    <w:rsid w:val="00711521"/>
    <w:rsid w:val="007179A6"/>
    <w:rsid w:val="00721420"/>
    <w:rsid w:val="00724349"/>
    <w:rsid w:val="0073088B"/>
    <w:rsid w:val="00732FE8"/>
    <w:rsid w:val="007339C1"/>
    <w:rsid w:val="00736111"/>
    <w:rsid w:val="00741A76"/>
    <w:rsid w:val="00742028"/>
    <w:rsid w:val="007430E0"/>
    <w:rsid w:val="00746600"/>
    <w:rsid w:val="00750C97"/>
    <w:rsid w:val="00755FBF"/>
    <w:rsid w:val="0077632A"/>
    <w:rsid w:val="0078003E"/>
    <w:rsid w:val="00782160"/>
    <w:rsid w:val="00797898"/>
    <w:rsid w:val="007A55B4"/>
    <w:rsid w:val="007B0B47"/>
    <w:rsid w:val="007B3C7F"/>
    <w:rsid w:val="007C01F6"/>
    <w:rsid w:val="007C6F53"/>
    <w:rsid w:val="007C7C16"/>
    <w:rsid w:val="007D3C0D"/>
    <w:rsid w:val="007D5D4E"/>
    <w:rsid w:val="007D7E18"/>
    <w:rsid w:val="007E3493"/>
    <w:rsid w:val="007E71AA"/>
    <w:rsid w:val="007F3121"/>
    <w:rsid w:val="007F3C24"/>
    <w:rsid w:val="00805FA6"/>
    <w:rsid w:val="0081247E"/>
    <w:rsid w:val="00814D78"/>
    <w:rsid w:val="00815D15"/>
    <w:rsid w:val="008234CC"/>
    <w:rsid w:val="00830180"/>
    <w:rsid w:val="00831EA0"/>
    <w:rsid w:val="008364E4"/>
    <w:rsid w:val="00836FDB"/>
    <w:rsid w:val="00841557"/>
    <w:rsid w:val="0084638C"/>
    <w:rsid w:val="00847970"/>
    <w:rsid w:val="00850799"/>
    <w:rsid w:val="00851874"/>
    <w:rsid w:val="00851AAA"/>
    <w:rsid w:val="00854152"/>
    <w:rsid w:val="00855C68"/>
    <w:rsid w:val="00856FF8"/>
    <w:rsid w:val="00871D6D"/>
    <w:rsid w:val="0087706C"/>
    <w:rsid w:val="00882D50"/>
    <w:rsid w:val="00885F56"/>
    <w:rsid w:val="0089285E"/>
    <w:rsid w:val="0089430B"/>
    <w:rsid w:val="008B09E5"/>
    <w:rsid w:val="008B2366"/>
    <w:rsid w:val="008B5661"/>
    <w:rsid w:val="008C7E8B"/>
    <w:rsid w:val="008D23CD"/>
    <w:rsid w:val="008D2D68"/>
    <w:rsid w:val="008E1142"/>
    <w:rsid w:val="008E3B83"/>
    <w:rsid w:val="008F129C"/>
    <w:rsid w:val="008F373D"/>
    <w:rsid w:val="008F37EE"/>
    <w:rsid w:val="008F3B43"/>
    <w:rsid w:val="009002A6"/>
    <w:rsid w:val="00900ACE"/>
    <w:rsid w:val="009026E9"/>
    <w:rsid w:val="0090374C"/>
    <w:rsid w:val="00910329"/>
    <w:rsid w:val="009234F2"/>
    <w:rsid w:val="00925061"/>
    <w:rsid w:val="00932C21"/>
    <w:rsid w:val="00936342"/>
    <w:rsid w:val="00943650"/>
    <w:rsid w:val="00950093"/>
    <w:rsid w:val="009506D8"/>
    <w:rsid w:val="00954256"/>
    <w:rsid w:val="00964558"/>
    <w:rsid w:val="0096577E"/>
    <w:rsid w:val="0097144B"/>
    <w:rsid w:val="00971E71"/>
    <w:rsid w:val="009740E4"/>
    <w:rsid w:val="00990770"/>
    <w:rsid w:val="00992A09"/>
    <w:rsid w:val="00994238"/>
    <w:rsid w:val="009A781E"/>
    <w:rsid w:val="009C3CEA"/>
    <w:rsid w:val="009C485B"/>
    <w:rsid w:val="009C6A5E"/>
    <w:rsid w:val="009E04F1"/>
    <w:rsid w:val="009E0A8C"/>
    <w:rsid w:val="009E2898"/>
    <w:rsid w:val="009E34BB"/>
    <w:rsid w:val="009E7EC8"/>
    <w:rsid w:val="009F1715"/>
    <w:rsid w:val="009F74FB"/>
    <w:rsid w:val="00A0227D"/>
    <w:rsid w:val="00A02CFF"/>
    <w:rsid w:val="00A02FB4"/>
    <w:rsid w:val="00A05E0E"/>
    <w:rsid w:val="00A07872"/>
    <w:rsid w:val="00A105FA"/>
    <w:rsid w:val="00A23364"/>
    <w:rsid w:val="00A24FF2"/>
    <w:rsid w:val="00A3053A"/>
    <w:rsid w:val="00A40F17"/>
    <w:rsid w:val="00A451FE"/>
    <w:rsid w:val="00A53196"/>
    <w:rsid w:val="00A5453D"/>
    <w:rsid w:val="00A56083"/>
    <w:rsid w:val="00A611E0"/>
    <w:rsid w:val="00A6397B"/>
    <w:rsid w:val="00A64EEE"/>
    <w:rsid w:val="00A65AF4"/>
    <w:rsid w:val="00A66F60"/>
    <w:rsid w:val="00A735CC"/>
    <w:rsid w:val="00A73A90"/>
    <w:rsid w:val="00A73E74"/>
    <w:rsid w:val="00A77107"/>
    <w:rsid w:val="00A8093E"/>
    <w:rsid w:val="00A82DA8"/>
    <w:rsid w:val="00A933F8"/>
    <w:rsid w:val="00A936FA"/>
    <w:rsid w:val="00A9426D"/>
    <w:rsid w:val="00AA1881"/>
    <w:rsid w:val="00AA35E2"/>
    <w:rsid w:val="00AB2C3D"/>
    <w:rsid w:val="00AB3496"/>
    <w:rsid w:val="00AB3671"/>
    <w:rsid w:val="00AC786D"/>
    <w:rsid w:val="00AD1304"/>
    <w:rsid w:val="00AD2BD0"/>
    <w:rsid w:val="00AD62A7"/>
    <w:rsid w:val="00AD650B"/>
    <w:rsid w:val="00AE0DBD"/>
    <w:rsid w:val="00AE213D"/>
    <w:rsid w:val="00AF0ECA"/>
    <w:rsid w:val="00AF490C"/>
    <w:rsid w:val="00AF60FC"/>
    <w:rsid w:val="00B05C96"/>
    <w:rsid w:val="00B11D2D"/>
    <w:rsid w:val="00B25C59"/>
    <w:rsid w:val="00B343DC"/>
    <w:rsid w:val="00B359A8"/>
    <w:rsid w:val="00B36991"/>
    <w:rsid w:val="00B536DC"/>
    <w:rsid w:val="00B57812"/>
    <w:rsid w:val="00B60441"/>
    <w:rsid w:val="00B61842"/>
    <w:rsid w:val="00B706CA"/>
    <w:rsid w:val="00B77994"/>
    <w:rsid w:val="00B81D3F"/>
    <w:rsid w:val="00B90CBD"/>
    <w:rsid w:val="00B922C0"/>
    <w:rsid w:val="00B96CC7"/>
    <w:rsid w:val="00B97081"/>
    <w:rsid w:val="00B97EFF"/>
    <w:rsid w:val="00BD61B2"/>
    <w:rsid w:val="00BE12F3"/>
    <w:rsid w:val="00BE624E"/>
    <w:rsid w:val="00BF7CB4"/>
    <w:rsid w:val="00C03AA2"/>
    <w:rsid w:val="00C05DFA"/>
    <w:rsid w:val="00C1012C"/>
    <w:rsid w:val="00C11369"/>
    <w:rsid w:val="00C1506A"/>
    <w:rsid w:val="00C15179"/>
    <w:rsid w:val="00C160D8"/>
    <w:rsid w:val="00C17FE3"/>
    <w:rsid w:val="00C22C01"/>
    <w:rsid w:val="00C24386"/>
    <w:rsid w:val="00C26095"/>
    <w:rsid w:val="00C33CBF"/>
    <w:rsid w:val="00C36583"/>
    <w:rsid w:val="00C400D7"/>
    <w:rsid w:val="00C4264E"/>
    <w:rsid w:val="00C45E0B"/>
    <w:rsid w:val="00C520D3"/>
    <w:rsid w:val="00C5262D"/>
    <w:rsid w:val="00C6355C"/>
    <w:rsid w:val="00C641F3"/>
    <w:rsid w:val="00C67069"/>
    <w:rsid w:val="00C77E3C"/>
    <w:rsid w:val="00C875CF"/>
    <w:rsid w:val="00CA7C69"/>
    <w:rsid w:val="00CB3B68"/>
    <w:rsid w:val="00CB5B60"/>
    <w:rsid w:val="00CC0D89"/>
    <w:rsid w:val="00CC2B8A"/>
    <w:rsid w:val="00CC6EC1"/>
    <w:rsid w:val="00CC7114"/>
    <w:rsid w:val="00CD461E"/>
    <w:rsid w:val="00CF08FF"/>
    <w:rsid w:val="00CF37AF"/>
    <w:rsid w:val="00CF6BAC"/>
    <w:rsid w:val="00CF7588"/>
    <w:rsid w:val="00D11E53"/>
    <w:rsid w:val="00D139B1"/>
    <w:rsid w:val="00D27405"/>
    <w:rsid w:val="00D300EC"/>
    <w:rsid w:val="00D4330C"/>
    <w:rsid w:val="00D4368B"/>
    <w:rsid w:val="00D439A4"/>
    <w:rsid w:val="00D47652"/>
    <w:rsid w:val="00D57797"/>
    <w:rsid w:val="00D74E16"/>
    <w:rsid w:val="00D77DC6"/>
    <w:rsid w:val="00D909A3"/>
    <w:rsid w:val="00D9388E"/>
    <w:rsid w:val="00D96464"/>
    <w:rsid w:val="00D9671D"/>
    <w:rsid w:val="00DA3552"/>
    <w:rsid w:val="00DA5C1A"/>
    <w:rsid w:val="00DB0223"/>
    <w:rsid w:val="00DB3B10"/>
    <w:rsid w:val="00DB4C26"/>
    <w:rsid w:val="00DB7507"/>
    <w:rsid w:val="00DC52A2"/>
    <w:rsid w:val="00DC573C"/>
    <w:rsid w:val="00DC69A6"/>
    <w:rsid w:val="00DE1183"/>
    <w:rsid w:val="00DE2BAA"/>
    <w:rsid w:val="00DE3AEF"/>
    <w:rsid w:val="00DE5FE4"/>
    <w:rsid w:val="00DE6BC1"/>
    <w:rsid w:val="00DE7160"/>
    <w:rsid w:val="00DF0B57"/>
    <w:rsid w:val="00E034AD"/>
    <w:rsid w:val="00E05DD7"/>
    <w:rsid w:val="00E13231"/>
    <w:rsid w:val="00E16171"/>
    <w:rsid w:val="00E21852"/>
    <w:rsid w:val="00E26B2A"/>
    <w:rsid w:val="00E2723D"/>
    <w:rsid w:val="00E27638"/>
    <w:rsid w:val="00E36564"/>
    <w:rsid w:val="00E3733C"/>
    <w:rsid w:val="00E40370"/>
    <w:rsid w:val="00E4066D"/>
    <w:rsid w:val="00E464FF"/>
    <w:rsid w:val="00E52CA8"/>
    <w:rsid w:val="00E629B8"/>
    <w:rsid w:val="00E76741"/>
    <w:rsid w:val="00E7765B"/>
    <w:rsid w:val="00E872FB"/>
    <w:rsid w:val="00E95926"/>
    <w:rsid w:val="00E9753A"/>
    <w:rsid w:val="00EA0679"/>
    <w:rsid w:val="00EA29B4"/>
    <w:rsid w:val="00EB318C"/>
    <w:rsid w:val="00EC42D9"/>
    <w:rsid w:val="00EC48B4"/>
    <w:rsid w:val="00EC763D"/>
    <w:rsid w:val="00EF2229"/>
    <w:rsid w:val="00EF3C07"/>
    <w:rsid w:val="00F07E21"/>
    <w:rsid w:val="00F07F3A"/>
    <w:rsid w:val="00F15D94"/>
    <w:rsid w:val="00F17A80"/>
    <w:rsid w:val="00F201AB"/>
    <w:rsid w:val="00F21A0F"/>
    <w:rsid w:val="00F22B96"/>
    <w:rsid w:val="00F25626"/>
    <w:rsid w:val="00F3150C"/>
    <w:rsid w:val="00F323AE"/>
    <w:rsid w:val="00F33E1B"/>
    <w:rsid w:val="00F40F25"/>
    <w:rsid w:val="00F45048"/>
    <w:rsid w:val="00F47364"/>
    <w:rsid w:val="00F5586F"/>
    <w:rsid w:val="00F61397"/>
    <w:rsid w:val="00F6569D"/>
    <w:rsid w:val="00F67709"/>
    <w:rsid w:val="00F67A97"/>
    <w:rsid w:val="00F7192B"/>
    <w:rsid w:val="00F72311"/>
    <w:rsid w:val="00F73E98"/>
    <w:rsid w:val="00F879C2"/>
    <w:rsid w:val="00F92D11"/>
    <w:rsid w:val="00F93832"/>
    <w:rsid w:val="00F97DC6"/>
    <w:rsid w:val="00FA073A"/>
    <w:rsid w:val="00FA1B60"/>
    <w:rsid w:val="00FA7D56"/>
    <w:rsid w:val="00FB14F3"/>
    <w:rsid w:val="00FB23EA"/>
    <w:rsid w:val="00FC423F"/>
    <w:rsid w:val="00FC5BB1"/>
    <w:rsid w:val="00FD38FD"/>
    <w:rsid w:val="00FD7C1F"/>
    <w:rsid w:val="00FE4ED3"/>
    <w:rsid w:val="00FE5827"/>
    <w:rsid w:val="00FE70CD"/>
    <w:rsid w:val="00FF4F3D"/>
    <w:rsid w:val="00FF5A95"/>
    <w:rsid w:val="00FF78F7"/>
    <w:rsid w:val="7C8C14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90925"/>
  </w:style>
  <w:style w:type="paragraph" w:styleId="Nadpis1">
    <w:name w:val="heading 1"/>
    <w:basedOn w:val="obsah1"/>
    <w:next w:val="Normln"/>
    <w:link w:val="Nadpis1Char"/>
    <w:uiPriority w:val="9"/>
    <w:qFormat/>
    <w:rsid w:val="005E1409"/>
    <w:pPr>
      <w:keepNext/>
      <w:keepLines/>
      <w:spacing w:before="240" w:after="0"/>
      <w:outlineLvl w:val="0"/>
    </w:pPr>
    <w:rPr>
      <w:rFonts w:eastAsiaTheme="majorEastAsia" w:cstheme="majorBidi"/>
      <w:color w:val="000000" w:themeColor="text1"/>
      <w:szCs w:val="32"/>
    </w:rPr>
  </w:style>
  <w:style w:type="paragraph" w:styleId="Nadpis2">
    <w:name w:val="heading 2"/>
    <w:basedOn w:val="obsah2"/>
    <w:next w:val="Normln"/>
    <w:link w:val="Nadpis2Char"/>
    <w:uiPriority w:val="9"/>
    <w:unhideWhenUsed/>
    <w:qFormat/>
    <w:rsid w:val="009C485B"/>
    <w:pPr>
      <w:keepLines/>
      <w:jc w:val="both"/>
      <w:outlineLvl w:val="1"/>
    </w:pPr>
    <w:rPr>
      <w:rFonts w:eastAsiaTheme="majorEastAsia" w:cstheme="majorBidi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styleId="Zkladntext">
    <w:name w:val="Body Text"/>
    <w:basedOn w:val="Normln"/>
    <w:link w:val="ZkladntextChar"/>
    <w:rsid w:val="008234CC"/>
    <w:pPr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234C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bsah1">
    <w:name w:val="obsah_1"/>
    <w:basedOn w:val="Normln"/>
    <w:qFormat/>
    <w:rsid w:val="00462C43"/>
    <w:pPr>
      <w:spacing w:line="276" w:lineRule="auto"/>
      <w:jc w:val="left"/>
    </w:pPr>
    <w:rPr>
      <w:rFonts w:ascii="Arial" w:hAnsi="Arial" w:cs="Arial"/>
      <w:b/>
      <w:sz w:val="28"/>
    </w:rPr>
  </w:style>
  <w:style w:type="paragraph" w:customStyle="1" w:styleId="obsah2">
    <w:name w:val="obsah2"/>
    <w:basedOn w:val="Normln"/>
    <w:qFormat/>
    <w:rsid w:val="00F22B96"/>
    <w:pPr>
      <w:keepNext/>
      <w:spacing w:line="276" w:lineRule="auto"/>
      <w:jc w:val="left"/>
    </w:pPr>
    <w:rPr>
      <w:rFonts w:ascii="Arial" w:hAnsi="Arial" w:cs="Arial"/>
      <w:b/>
      <w:i/>
      <w:color w:val="FF0000"/>
    </w:rPr>
  </w:style>
  <w:style w:type="character" w:customStyle="1" w:styleId="Nadpis1Char">
    <w:name w:val="Nadpis 1 Char"/>
    <w:basedOn w:val="Standardnpsmoodstavce"/>
    <w:link w:val="Nadpis1"/>
    <w:uiPriority w:val="9"/>
    <w:rsid w:val="005E1409"/>
    <w:rPr>
      <w:rFonts w:ascii="Arial" w:eastAsiaTheme="majorEastAsia" w:hAnsi="Arial" w:cstheme="majorBidi"/>
      <w:color w:val="000000" w:themeColor="text1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5E1409"/>
    <w:pPr>
      <w:spacing w:line="259" w:lineRule="auto"/>
      <w:outlineLvl w:val="9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C485B"/>
    <w:rPr>
      <w:rFonts w:ascii="Arial" w:eastAsiaTheme="majorEastAsia" w:hAnsi="Arial" w:cstheme="majorBidi"/>
      <w:b/>
      <w:i/>
      <w:color w:val="FF0000"/>
      <w:szCs w:val="26"/>
    </w:rPr>
  </w:style>
  <w:style w:type="paragraph" w:styleId="Obsah10">
    <w:name w:val="toc 1"/>
    <w:basedOn w:val="Normln"/>
    <w:next w:val="Normln"/>
    <w:autoRedefine/>
    <w:uiPriority w:val="39"/>
    <w:unhideWhenUsed/>
    <w:rsid w:val="00004366"/>
    <w:pPr>
      <w:spacing w:after="100"/>
    </w:pPr>
  </w:style>
  <w:style w:type="paragraph" w:styleId="Obsah20">
    <w:name w:val="toc 2"/>
    <w:basedOn w:val="Normln"/>
    <w:next w:val="Normln"/>
    <w:autoRedefine/>
    <w:uiPriority w:val="39"/>
    <w:unhideWhenUsed/>
    <w:rsid w:val="00004366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004366"/>
    <w:rPr>
      <w:color w:val="0563C1" w:themeColor="hyperlink"/>
      <w:u w:val="single"/>
    </w:rPr>
  </w:style>
  <w:style w:type="paragraph" w:customStyle="1" w:styleId="Nzvylnk">
    <w:name w:val="Názvy článků"/>
    <w:basedOn w:val="Normln"/>
    <w:rsid w:val="007A55B4"/>
    <w:pPr>
      <w:keepNext/>
      <w:keepLines/>
      <w:spacing w:before="60" w:after="160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0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0EFBF1-5A23-45E0-8218-D5D7EA9C6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467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3220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Buřičová Lucie, Mgr.</dc:creator>
  <cp:lastModifiedBy>Patrik Orlík</cp:lastModifiedBy>
  <cp:revision>2</cp:revision>
  <cp:lastPrinted>2024-08-28T06:55:00Z</cp:lastPrinted>
  <dcterms:created xsi:type="dcterms:W3CDTF">2025-02-04T07:23:00Z</dcterms:created>
  <dcterms:modified xsi:type="dcterms:W3CDTF">2025-02-04T07:23:00Z</dcterms:modified>
</cp:coreProperties>
</file>