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356D" w14:textId="77777777" w:rsidR="00EF04CA" w:rsidRPr="00873415" w:rsidRDefault="00EF04CA" w:rsidP="00EF04C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S M O L N I C E</w:t>
      </w:r>
    </w:p>
    <w:p w14:paraId="1C6D7336" w14:textId="77777777" w:rsidR="002D4766" w:rsidRDefault="002D4766" w:rsidP="002D4766">
      <w:pPr>
        <w:jc w:val="center"/>
        <w:rPr>
          <w:b/>
          <w:bCs/>
        </w:rPr>
      </w:pPr>
    </w:p>
    <w:p w14:paraId="2DE9A593" w14:textId="77777777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EF04CA">
        <w:rPr>
          <w:b/>
          <w:bCs/>
          <w:sz w:val="32"/>
        </w:rPr>
        <w:t>SMOLNICE</w:t>
      </w:r>
    </w:p>
    <w:p w14:paraId="7781D2C3" w14:textId="77777777" w:rsidR="002D4766" w:rsidRPr="000F09B9" w:rsidRDefault="002D4766" w:rsidP="002D4766">
      <w:pPr>
        <w:jc w:val="center"/>
        <w:rPr>
          <w:b/>
          <w:bCs/>
        </w:rPr>
      </w:pPr>
    </w:p>
    <w:p w14:paraId="4A7F854A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19294AD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029D81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05432CA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92D44F3" w14:textId="4BB036C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F04CA">
        <w:rPr>
          <w:i/>
        </w:rPr>
        <w:t>Smolnice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B61846">
        <w:rPr>
          <w:i/>
        </w:rPr>
        <w:t>2.10.</w:t>
      </w:r>
      <w:r w:rsidR="00F44739">
        <w:rPr>
          <w:i/>
        </w:rPr>
        <w:t>202</w:t>
      </w:r>
      <w:r w:rsidR="00EF04CA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B61846">
        <w:rPr>
          <w:i/>
        </w:rPr>
        <w:t>7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8BB08C0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A4B8BF0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F44360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6D97B17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054054F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F04CA" w:rsidRPr="00EF04CA">
        <w:t>Smolnice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625C8D60" w14:textId="77777777" w:rsidR="004938C5" w:rsidRPr="00A010E4" w:rsidRDefault="004938C5" w:rsidP="004938C5">
      <w:pPr>
        <w:jc w:val="both"/>
      </w:pPr>
    </w:p>
    <w:p w14:paraId="13A8887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43875ED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B4D7D3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6C9D2DE" w14:textId="77777777" w:rsidR="00737A59" w:rsidRPr="00EF04CA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EF04CA">
        <w:rPr>
          <w:b/>
        </w:rPr>
        <w:t>Nápojovými kartony</w:t>
      </w:r>
      <w:r w:rsidRPr="00EF04CA">
        <w:t xml:space="preserve"> </w:t>
      </w:r>
      <w:r w:rsidRPr="00EF04CA">
        <w:rPr>
          <w:color w:val="000000"/>
        </w:rPr>
        <w:t>se pro účely této vyhlášky rozumí</w:t>
      </w:r>
      <w:r w:rsidRPr="00EF04CA">
        <w:t xml:space="preserve"> kompo</w:t>
      </w:r>
      <w:r w:rsidR="004B6544" w:rsidRPr="00EF04CA">
        <w:t xml:space="preserve">zitní (vícesložkové) obaly </w:t>
      </w:r>
      <w:r w:rsidRPr="00EF04CA">
        <w:t xml:space="preserve">(např. od mléka, vína, džusů a jiných </w:t>
      </w:r>
      <w:r w:rsidR="00A010E4" w:rsidRPr="00EF04CA">
        <w:t>poživatin</w:t>
      </w:r>
      <w:r w:rsidRPr="00EF04CA">
        <w:t>).</w:t>
      </w:r>
    </w:p>
    <w:p w14:paraId="27AB5C5A" w14:textId="77777777" w:rsidR="00EF04CA" w:rsidRPr="008A3535" w:rsidRDefault="00EF04CA" w:rsidP="00EF04CA">
      <w:pPr>
        <w:numPr>
          <w:ilvl w:val="0"/>
          <w:numId w:val="1"/>
        </w:numPr>
        <w:jc w:val="both"/>
      </w:pPr>
      <w:r w:rsidRPr="008A3535">
        <w:rPr>
          <w:b/>
        </w:rPr>
        <w:t>Drobnými kovy</w:t>
      </w:r>
      <w:r w:rsidRPr="008A3535">
        <w:t xml:space="preserve"> se pro účely této vyhlášky se rozumí kovy, které svou velikostí, tvarem a vlastnostmi umožňují ukládání do zvláštních plastových pytlů, aniž by došlo </w:t>
      </w:r>
      <w:proofErr w:type="gramStart"/>
      <w:r w:rsidRPr="008A3535">
        <w:t>k  poškození</w:t>
      </w:r>
      <w:proofErr w:type="gramEnd"/>
      <w:r w:rsidRPr="008A3535">
        <w:t xml:space="preserve"> těchto plastových pytlů (např. drobné kovové předměty bez ostrých hran – plechovky od nápojů, potravin, drogerie apod.); </w:t>
      </w:r>
      <w:r w:rsidRPr="008A3535">
        <w:rPr>
          <w:b/>
        </w:rPr>
        <w:t>ostatními</w:t>
      </w:r>
      <w:r w:rsidRPr="008A3535">
        <w:t xml:space="preserve"> </w:t>
      </w:r>
      <w:r w:rsidRPr="008A3535">
        <w:rPr>
          <w:b/>
        </w:rPr>
        <w:t>kovy</w:t>
      </w:r>
      <w:r w:rsidRPr="008A3535">
        <w:t xml:space="preserve"> se rozumí všechny ostatní kovy.</w:t>
      </w:r>
    </w:p>
    <w:p w14:paraId="7402AA08" w14:textId="77777777" w:rsidR="00B91FB1" w:rsidRPr="002F6E60" w:rsidRDefault="00EF04CA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>Ostatním b</w:t>
      </w:r>
      <w:r w:rsidR="00B91FB1" w:rsidRPr="002F6E60">
        <w:rPr>
          <w:b/>
          <w:color w:val="000000"/>
        </w:rPr>
        <w:t>iologicky rozložitelným odpadem</w:t>
      </w:r>
      <w:r w:rsidR="00B91FB1"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 w:rsidR="00B91FB1">
        <w:rPr>
          <w:color w:val="000000"/>
        </w:rPr>
        <w:t>ad, veřejné zeleně, domácností) s výjimkou jedlých olejů a tuků</w:t>
      </w:r>
      <w:r>
        <w:rPr>
          <w:color w:val="000000"/>
        </w:rPr>
        <w:t xml:space="preserve"> a s </w:t>
      </w:r>
      <w:r>
        <w:t>výjimkou trávy, listí a větví</w:t>
      </w:r>
      <w:r w:rsidR="00B91FB1">
        <w:rPr>
          <w:color w:val="000000"/>
        </w:rPr>
        <w:t>.</w:t>
      </w:r>
    </w:p>
    <w:p w14:paraId="2541DDBC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6AE42D44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4EA97DD7" w14:textId="77777777" w:rsidR="00792C01" w:rsidRPr="001C23B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C23BA">
        <w:rPr>
          <w:b/>
          <w:color w:val="000000"/>
        </w:rPr>
        <w:t xml:space="preserve">Směsný komunální odpad </w:t>
      </w:r>
      <w:r w:rsidRPr="001C23BA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1C23BA" w:rsidRPr="001C23BA">
        <w:rPr>
          <w:color w:val="000000"/>
        </w:rPr>
        <w:t>l</w:t>
      </w:r>
      <w:r w:rsidRPr="001C23BA">
        <w:rPr>
          <w:color w:val="000000"/>
        </w:rPr>
        <w:t>) této vyhlášky.</w:t>
      </w:r>
    </w:p>
    <w:p w14:paraId="574D8FEC" w14:textId="77777777" w:rsidR="00A010E4" w:rsidRPr="00EF04CA" w:rsidRDefault="00EF04CA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C23BA">
        <w:rPr>
          <w:b/>
          <w:color w:val="000000"/>
        </w:rPr>
        <w:t>Společné s</w:t>
      </w:r>
      <w:r w:rsidR="00A010E4" w:rsidRPr="001C23BA">
        <w:rPr>
          <w:b/>
          <w:color w:val="000000"/>
        </w:rPr>
        <w:t xml:space="preserve">tanoviště zvláštních sběrných nádob </w:t>
      </w:r>
      <w:r w:rsidRPr="001C23BA">
        <w:rPr>
          <w:color w:val="000000"/>
        </w:rPr>
        <w:t>je</w:t>
      </w:r>
      <w:r w:rsidR="00A010E4" w:rsidRPr="001C23BA">
        <w:rPr>
          <w:color w:val="000000"/>
        </w:rPr>
        <w:t xml:space="preserve"> míst</w:t>
      </w:r>
      <w:r w:rsidRPr="001C23BA">
        <w:rPr>
          <w:color w:val="000000"/>
        </w:rPr>
        <w:t>o</w:t>
      </w:r>
      <w:r w:rsidR="00A010E4" w:rsidRPr="001C23BA">
        <w:rPr>
          <w:color w:val="000000"/>
        </w:rPr>
        <w:t>,</w:t>
      </w:r>
      <w:r w:rsidR="00A010E4" w:rsidRPr="001C23BA">
        <w:t xml:space="preserve"> kde jsou umístěny zvláštní sběrné nádoby na vybrané složky komunálního odpadu. Nádoby jsou označeny polepem popisujícím příslušnou složku komunálního odpadu, pro</w:t>
      </w:r>
      <w:r w:rsidR="00A010E4" w:rsidRPr="00EF04CA">
        <w:t xml:space="preserve"> kterou jsou výlučně určeny</w:t>
      </w:r>
      <w:r w:rsidR="00A010E4" w:rsidRPr="00EF04CA">
        <w:rPr>
          <w:color w:val="000000"/>
        </w:rPr>
        <w:t>.</w:t>
      </w:r>
      <w:r w:rsidR="00A010E4" w:rsidRPr="00EF04CA">
        <w:t xml:space="preserve"> Aktuální </w:t>
      </w:r>
      <w:r w:rsidRPr="00EF04CA">
        <w:t>umístění</w:t>
      </w:r>
      <w:r w:rsidR="00A010E4" w:rsidRPr="00EF04CA">
        <w:t xml:space="preserve"> zvláštních sběrných nádob je zveřejněn</w:t>
      </w:r>
      <w:r w:rsidRPr="00EF04CA">
        <w:t>o</w:t>
      </w:r>
      <w:r w:rsidR="00A010E4" w:rsidRPr="00EF04CA">
        <w:t xml:space="preserve"> na webových stránkách obce.</w:t>
      </w:r>
    </w:p>
    <w:p w14:paraId="55974360" w14:textId="77777777" w:rsidR="00EF04CA" w:rsidRPr="00FF4C88" w:rsidRDefault="00EF04CA" w:rsidP="00EF04CA">
      <w:pPr>
        <w:numPr>
          <w:ilvl w:val="0"/>
          <w:numId w:val="1"/>
        </w:numPr>
        <w:tabs>
          <w:tab w:val="left" w:pos="4172"/>
        </w:tabs>
        <w:jc w:val="both"/>
      </w:pPr>
      <w:r w:rsidRPr="00FF4C88">
        <w:rPr>
          <w:b/>
        </w:rPr>
        <w:lastRenderedPageBreak/>
        <w:t xml:space="preserve">Sběrné místo </w:t>
      </w:r>
      <w:r w:rsidRPr="00FF4C88">
        <w:t>je místo, kam mohou osoby během provozní doby</w:t>
      </w:r>
      <w:r>
        <w:t xml:space="preserve"> zveřejněné na webových stránkách obce</w:t>
      </w:r>
      <w:r w:rsidRPr="00FF4C88">
        <w:t xml:space="preserve"> odkládat do určených sběrných nádob určené složky komunálního odpadu. Nachází se na dvoře Obecního úřadu </w:t>
      </w:r>
      <w:r>
        <w:t>Smolnice</w:t>
      </w:r>
      <w:r w:rsidR="00DB65D1">
        <w:t xml:space="preserve"> </w:t>
      </w:r>
      <w:r w:rsidR="00DB65D1" w:rsidRPr="00FF4C88">
        <w:t>nebo za ocelovou halou</w:t>
      </w:r>
      <w:r w:rsidRPr="00FF4C88">
        <w:t>.</w:t>
      </w:r>
    </w:p>
    <w:p w14:paraId="27009045" w14:textId="77777777" w:rsidR="00EF04CA" w:rsidRPr="00FF4C88" w:rsidRDefault="00EF04CA" w:rsidP="00EF04C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F4C88">
        <w:rPr>
          <w:b/>
          <w:color w:val="000000"/>
        </w:rPr>
        <w:t xml:space="preserve">Objekt </w:t>
      </w:r>
      <w:r w:rsidRPr="00FF4C88">
        <w:rPr>
          <w:color w:val="000000"/>
        </w:rPr>
        <w:t>je bytový nebo rodinný dům nebo stavba, ve které je alespoň jeden byt, nebo stavba sloužící k individuální rekreaci.</w:t>
      </w:r>
    </w:p>
    <w:p w14:paraId="5BAB6B1A" w14:textId="77777777" w:rsidR="00EF04CA" w:rsidRPr="00FF4C88" w:rsidRDefault="00EF04CA" w:rsidP="00EF04C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F4C88">
        <w:rPr>
          <w:b/>
          <w:color w:val="000000"/>
        </w:rPr>
        <w:t>Svozová společnost</w:t>
      </w:r>
      <w:r w:rsidRPr="00FF4C88">
        <w:rPr>
          <w:color w:val="000000"/>
        </w:rPr>
        <w:t xml:space="preserve"> je oprávněná osoba, se kterou obec uzavřela smlouvu o zajištění části nebo celého systému nakládání s komunálním odpadem.</w:t>
      </w:r>
    </w:p>
    <w:p w14:paraId="5A389B96" w14:textId="77777777" w:rsidR="00EF04CA" w:rsidRPr="00FF4C88" w:rsidRDefault="00EF04CA" w:rsidP="00EF04C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F4C88">
        <w:rPr>
          <w:b/>
          <w:color w:val="000000"/>
        </w:rPr>
        <w:t xml:space="preserve">Místo přistavení sběrné nádoby </w:t>
      </w:r>
      <w:r w:rsidRPr="00FF4C88">
        <w:rPr>
          <w:color w:val="000000"/>
        </w:rPr>
        <w:t>je volně přístupné místo před objektem, odkud provádí svozová společnost vyprazdňování sběrných nádob na směsný komunální odpad nebo odkud se odváží odložené plastové pytle na směsný komunální odpad.</w:t>
      </w:r>
    </w:p>
    <w:p w14:paraId="48B5ACD9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CB4D51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406113BA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73E9E0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40B1F4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4F7C7D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0B95F2B" w14:textId="77777777" w:rsidR="00A010E4" w:rsidRPr="00DB65D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B65D1">
        <w:t>sklo;</w:t>
      </w:r>
    </w:p>
    <w:p w14:paraId="6284979C" w14:textId="77777777" w:rsidR="00A010E4" w:rsidRPr="00DB65D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B65D1">
        <w:t>plasty;</w:t>
      </w:r>
    </w:p>
    <w:p w14:paraId="13B93536" w14:textId="77777777" w:rsidR="00A010E4" w:rsidRPr="00DB65D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B65D1">
        <w:t>nápojové kartony;</w:t>
      </w:r>
    </w:p>
    <w:p w14:paraId="433B0905" w14:textId="77777777" w:rsidR="00A010E4" w:rsidRPr="00DB65D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B65D1">
        <w:t>drobné kovy;</w:t>
      </w:r>
    </w:p>
    <w:p w14:paraId="4AD5EBB1" w14:textId="77777777" w:rsidR="00A010E4" w:rsidRPr="00A010E4" w:rsidRDefault="00DB65D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A010E4" w:rsidRPr="00A010E4">
        <w:t>kovy;</w:t>
      </w:r>
    </w:p>
    <w:p w14:paraId="0BBFCE34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58565FC1" w14:textId="77777777" w:rsidR="00DB65D1" w:rsidRDefault="00DB65D1" w:rsidP="00DB65D1">
      <w:pPr>
        <w:numPr>
          <w:ilvl w:val="0"/>
          <w:numId w:val="9"/>
        </w:numPr>
        <w:tabs>
          <w:tab w:val="left" w:pos="4172"/>
        </w:tabs>
        <w:jc w:val="both"/>
      </w:pPr>
      <w:r>
        <w:t>tráva, listí a větve;</w:t>
      </w:r>
    </w:p>
    <w:p w14:paraId="04A4582B" w14:textId="77777777" w:rsidR="00A010E4" w:rsidRPr="00A010E4" w:rsidRDefault="00DB65D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0D0854">
        <w:t>b</w:t>
      </w:r>
      <w:r w:rsidR="00B91FB1">
        <w:t xml:space="preserve">iologicky rozložitelný </w:t>
      </w:r>
      <w:r w:rsidR="000D0854">
        <w:t>odpad</w:t>
      </w:r>
      <w:r w:rsidR="00A010E4" w:rsidRPr="00A010E4">
        <w:t>;</w:t>
      </w:r>
    </w:p>
    <w:p w14:paraId="2FD71010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688FF04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500E18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3DD8D1C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41F5BD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B62872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DE8689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8015F3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7AFA711" w14:textId="77777777" w:rsidR="00792C01" w:rsidRPr="003B252C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3B252C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3B252C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3B252C">
        <w:rPr>
          <w:rFonts w:ascii="Times New Roman" w:eastAsia="MS Mincho" w:hAnsi="Times New Roman"/>
          <w:bCs/>
          <w:sz w:val="24"/>
          <w:szCs w:val="24"/>
        </w:rPr>
        <w:t>:</w:t>
      </w:r>
    </w:p>
    <w:p w14:paraId="18A8ECFA" w14:textId="77777777" w:rsidR="00DB65D1" w:rsidRPr="003B252C" w:rsidRDefault="00EF04CA" w:rsidP="00EF04C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B252C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3B252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3B252C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</w:p>
    <w:p w14:paraId="2397F655" w14:textId="77777777" w:rsidR="00DB65D1" w:rsidRPr="003B252C" w:rsidRDefault="003B252C" w:rsidP="00DB65D1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B252C">
        <w:rPr>
          <w:rFonts w:ascii="Times New Roman" w:hAnsi="Times New Roman"/>
          <w:sz w:val="24"/>
          <w:szCs w:val="24"/>
          <w:lang w:val="cs-CZ"/>
        </w:rPr>
        <w:t xml:space="preserve">do příslušného oddílu zvláštních sběrných nádob </w:t>
      </w:r>
      <w:r w:rsidR="001403CE" w:rsidRPr="003B252C">
        <w:rPr>
          <w:rFonts w:ascii="Times New Roman" w:hAnsi="Times New Roman"/>
          <w:sz w:val="24"/>
          <w:szCs w:val="24"/>
          <w:lang w:val="cs-CZ"/>
        </w:rPr>
        <w:t>(</w:t>
      </w:r>
      <w:proofErr w:type="spellStart"/>
      <w:r w:rsidR="001403CE" w:rsidRPr="003B252C">
        <w:rPr>
          <w:rFonts w:ascii="Times New Roman" w:hAnsi="Times New Roman"/>
          <w:sz w:val="24"/>
          <w:szCs w:val="24"/>
          <w:lang w:val="cs-CZ"/>
        </w:rPr>
        <w:t>DUOnádoby</w:t>
      </w:r>
      <w:proofErr w:type="spellEnd"/>
      <w:r w:rsidR="001403CE" w:rsidRPr="003B252C">
        <w:rPr>
          <w:rFonts w:ascii="Times New Roman" w:hAnsi="Times New Roman"/>
          <w:sz w:val="24"/>
          <w:szCs w:val="24"/>
          <w:lang w:val="cs-CZ"/>
        </w:rPr>
        <w:t xml:space="preserve"> o objemu </w:t>
      </w:r>
      <w:r w:rsidR="00082248">
        <w:rPr>
          <w:rFonts w:ascii="Times New Roman" w:hAnsi="Times New Roman"/>
          <w:sz w:val="24"/>
          <w:szCs w:val="24"/>
          <w:lang w:val="cs-CZ"/>
        </w:rPr>
        <w:t>6</w:t>
      </w:r>
      <w:r w:rsidR="001403CE" w:rsidRPr="003B252C">
        <w:rPr>
          <w:rFonts w:ascii="Times New Roman" w:hAnsi="Times New Roman"/>
          <w:sz w:val="24"/>
          <w:szCs w:val="24"/>
          <w:lang w:val="cs-CZ"/>
        </w:rPr>
        <w:t>0 až 240 litrů) přidělených k jednotlivým objektům,</w:t>
      </w:r>
    </w:p>
    <w:p w14:paraId="17D1E79C" w14:textId="77777777" w:rsidR="00EF04CA" w:rsidRPr="003B252C" w:rsidRDefault="00EF04CA" w:rsidP="00DB65D1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B252C">
        <w:rPr>
          <w:rFonts w:ascii="Times New Roman" w:hAnsi="Times New Roman"/>
          <w:sz w:val="24"/>
          <w:szCs w:val="24"/>
        </w:rPr>
        <w:t>do zvláštní</w:t>
      </w:r>
      <w:r w:rsidRPr="003B252C">
        <w:rPr>
          <w:rFonts w:ascii="Times New Roman" w:hAnsi="Times New Roman"/>
          <w:sz w:val="24"/>
          <w:szCs w:val="24"/>
          <w:lang w:val="cs-CZ"/>
        </w:rPr>
        <w:t xml:space="preserve"> sběrné nádoby (výklopný kontejner modré barvy) umístěné </w:t>
      </w:r>
      <w:r w:rsidR="00DB65D1" w:rsidRPr="003B252C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3B252C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6AAEFF25" w14:textId="77777777" w:rsidR="00DB65D1" w:rsidRPr="003B252C" w:rsidRDefault="00EF04CA" w:rsidP="001403CE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B252C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1403CE" w:rsidRPr="003B252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DB65D1" w:rsidRPr="003B252C">
        <w:rPr>
          <w:rFonts w:ascii="Times New Roman" w:hAnsi="Times New Roman"/>
          <w:sz w:val="24"/>
          <w:szCs w:val="24"/>
        </w:rPr>
        <w:t>do zvláštní</w:t>
      </w:r>
      <w:r w:rsidR="00DB65D1" w:rsidRPr="003B252C">
        <w:rPr>
          <w:rFonts w:ascii="Times New Roman" w:hAnsi="Times New Roman"/>
          <w:sz w:val="24"/>
          <w:szCs w:val="24"/>
          <w:lang w:val="cs-CZ"/>
        </w:rPr>
        <w:t xml:space="preserve"> sběrné nádoby (výklopný kontejner zelené barvy) umístěné na stanovišti zvláštních sběrných nádob; </w:t>
      </w:r>
    </w:p>
    <w:p w14:paraId="567F267A" w14:textId="77777777" w:rsidR="00DB65D1" w:rsidRPr="003B252C" w:rsidRDefault="00DB65D1" w:rsidP="00EF04C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B252C">
        <w:rPr>
          <w:rFonts w:ascii="Times New Roman" w:hAnsi="Times New Roman"/>
          <w:b/>
          <w:sz w:val="24"/>
          <w:szCs w:val="24"/>
          <w:lang w:val="cs-CZ"/>
        </w:rPr>
        <w:t>plasty</w:t>
      </w:r>
      <w:r w:rsidR="00EF04CA" w:rsidRPr="003B252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B252C">
        <w:rPr>
          <w:rFonts w:ascii="Times New Roman" w:hAnsi="Times New Roman"/>
          <w:sz w:val="24"/>
          <w:szCs w:val="24"/>
          <w:lang w:val="cs-CZ"/>
        </w:rPr>
        <w:t>–</w:t>
      </w:r>
      <w:r w:rsidR="00EF04CA" w:rsidRPr="003B252C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6F3EFB5" w14:textId="77777777" w:rsidR="00DB65D1" w:rsidRPr="003B252C" w:rsidRDefault="001403CE" w:rsidP="003B252C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B252C">
        <w:rPr>
          <w:rFonts w:ascii="Times New Roman" w:hAnsi="Times New Roman"/>
          <w:sz w:val="24"/>
          <w:szCs w:val="24"/>
          <w:lang w:val="cs-CZ"/>
        </w:rPr>
        <w:t>do</w:t>
      </w:r>
      <w:r w:rsidR="003B252C" w:rsidRPr="003B252C">
        <w:rPr>
          <w:rFonts w:ascii="Times New Roman" w:hAnsi="Times New Roman"/>
          <w:sz w:val="24"/>
          <w:szCs w:val="24"/>
          <w:lang w:val="cs-CZ"/>
        </w:rPr>
        <w:t xml:space="preserve"> příslušného oddílu</w:t>
      </w:r>
      <w:r w:rsidRPr="003B252C">
        <w:rPr>
          <w:rFonts w:ascii="Times New Roman" w:hAnsi="Times New Roman"/>
          <w:sz w:val="24"/>
          <w:szCs w:val="24"/>
          <w:lang w:val="cs-CZ"/>
        </w:rPr>
        <w:t xml:space="preserve"> zvláštních sběrných nádob (</w:t>
      </w:r>
      <w:proofErr w:type="spellStart"/>
      <w:r w:rsidRPr="003B252C">
        <w:rPr>
          <w:rFonts w:ascii="Times New Roman" w:hAnsi="Times New Roman"/>
          <w:sz w:val="24"/>
          <w:szCs w:val="24"/>
          <w:lang w:val="cs-CZ"/>
        </w:rPr>
        <w:t>DUOnádoby</w:t>
      </w:r>
      <w:proofErr w:type="spellEnd"/>
      <w:r w:rsidRPr="003B252C">
        <w:rPr>
          <w:rFonts w:ascii="Times New Roman" w:hAnsi="Times New Roman"/>
          <w:sz w:val="24"/>
          <w:szCs w:val="24"/>
          <w:lang w:val="cs-CZ"/>
        </w:rPr>
        <w:t xml:space="preserve"> o objemu </w:t>
      </w:r>
      <w:r w:rsidR="00082248">
        <w:rPr>
          <w:rFonts w:ascii="Times New Roman" w:hAnsi="Times New Roman"/>
          <w:sz w:val="24"/>
          <w:szCs w:val="24"/>
          <w:lang w:val="cs-CZ"/>
        </w:rPr>
        <w:t>6</w:t>
      </w:r>
      <w:r w:rsidRPr="003B252C">
        <w:rPr>
          <w:rFonts w:ascii="Times New Roman" w:hAnsi="Times New Roman"/>
          <w:sz w:val="24"/>
          <w:szCs w:val="24"/>
          <w:lang w:val="cs-CZ"/>
        </w:rPr>
        <w:t>0 až 240 litrů) přidělených k jednotlivým objektům,</w:t>
      </w:r>
    </w:p>
    <w:p w14:paraId="373FE758" w14:textId="77777777" w:rsidR="00DB65D1" w:rsidRPr="003B252C" w:rsidRDefault="00DB65D1" w:rsidP="00DB65D1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B252C">
        <w:rPr>
          <w:rFonts w:ascii="Times New Roman" w:hAnsi="Times New Roman"/>
          <w:sz w:val="24"/>
          <w:szCs w:val="24"/>
        </w:rPr>
        <w:t>do zvláštní</w:t>
      </w:r>
      <w:r w:rsidRPr="003B252C">
        <w:rPr>
          <w:rFonts w:ascii="Times New Roman" w:hAnsi="Times New Roman"/>
          <w:sz w:val="24"/>
          <w:szCs w:val="24"/>
          <w:lang w:val="cs-CZ"/>
        </w:rPr>
        <w:t xml:space="preserve"> sběrné nádoby (výklopný kontejner žluté barvy) umístěné na stanovišti zvláštních sběrných nádob; </w:t>
      </w:r>
    </w:p>
    <w:p w14:paraId="299AE6B9" w14:textId="77777777" w:rsidR="00EF04CA" w:rsidRPr="003B252C" w:rsidRDefault="00EF04CA" w:rsidP="00EF04CA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B252C">
        <w:rPr>
          <w:rFonts w:ascii="Times New Roman" w:hAnsi="Times New Roman"/>
          <w:b/>
          <w:sz w:val="24"/>
          <w:szCs w:val="24"/>
          <w:lang w:val="cs-CZ"/>
        </w:rPr>
        <w:t xml:space="preserve">nápojové </w:t>
      </w:r>
      <w:proofErr w:type="gramStart"/>
      <w:r w:rsidRPr="003B252C">
        <w:rPr>
          <w:rFonts w:ascii="Times New Roman" w:hAnsi="Times New Roman"/>
          <w:b/>
          <w:sz w:val="24"/>
          <w:szCs w:val="24"/>
          <w:lang w:val="cs-CZ"/>
        </w:rPr>
        <w:t>kartony</w:t>
      </w:r>
      <w:r w:rsidRPr="003B252C">
        <w:rPr>
          <w:rFonts w:ascii="Times New Roman" w:hAnsi="Times New Roman"/>
          <w:sz w:val="24"/>
          <w:szCs w:val="24"/>
          <w:lang w:val="cs-CZ"/>
        </w:rPr>
        <w:t xml:space="preserve"> - </w:t>
      </w:r>
      <w:r w:rsidRPr="003B252C">
        <w:rPr>
          <w:rFonts w:ascii="Times New Roman" w:eastAsia="MS Mincho" w:hAnsi="Times New Roman"/>
          <w:bCs/>
          <w:sz w:val="24"/>
          <w:szCs w:val="24"/>
        </w:rPr>
        <w:t>do</w:t>
      </w:r>
      <w:proofErr w:type="gramEnd"/>
      <w:r w:rsidRPr="003B252C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3B252C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3B252C">
        <w:rPr>
          <w:rFonts w:ascii="Times New Roman" w:hAnsi="Times New Roman"/>
          <w:sz w:val="24"/>
          <w:szCs w:val="24"/>
        </w:rPr>
        <w:t xml:space="preserve"> </w:t>
      </w:r>
      <w:r w:rsidRPr="003B252C">
        <w:rPr>
          <w:rFonts w:ascii="Times New Roman" w:hAnsi="Times New Roman"/>
          <w:sz w:val="24"/>
          <w:szCs w:val="24"/>
          <w:lang w:val="cs-CZ"/>
        </w:rPr>
        <w:t xml:space="preserve">pytlů </w:t>
      </w:r>
      <w:r w:rsidRPr="003B252C">
        <w:rPr>
          <w:rFonts w:ascii="Times New Roman" w:hAnsi="Times New Roman"/>
          <w:sz w:val="24"/>
          <w:szCs w:val="24"/>
        </w:rPr>
        <w:t xml:space="preserve">oranžové barvy </w:t>
      </w:r>
      <w:r w:rsidRPr="003B252C">
        <w:rPr>
          <w:rFonts w:ascii="Times New Roman" w:hAnsi="Times New Roman"/>
          <w:sz w:val="24"/>
          <w:szCs w:val="24"/>
          <w:lang w:val="cs-CZ"/>
        </w:rPr>
        <w:t>(</w:t>
      </w:r>
      <w:r w:rsidRPr="003B252C">
        <w:rPr>
          <w:rFonts w:ascii="Times New Roman" w:hAnsi="Times New Roman"/>
          <w:sz w:val="24"/>
          <w:szCs w:val="24"/>
        </w:rPr>
        <w:t>vydávaných Obecním úřadem obce</w:t>
      </w:r>
      <w:r w:rsidRPr="003B252C">
        <w:rPr>
          <w:rFonts w:ascii="Times New Roman" w:hAnsi="Times New Roman"/>
          <w:sz w:val="24"/>
          <w:szCs w:val="24"/>
          <w:lang w:val="cs-CZ"/>
        </w:rPr>
        <w:t>) odkládaných po naplnění</w:t>
      </w:r>
      <w:r w:rsidRPr="003B252C">
        <w:rPr>
          <w:rFonts w:ascii="Times New Roman" w:hAnsi="Times New Roman"/>
          <w:sz w:val="24"/>
          <w:szCs w:val="24"/>
        </w:rPr>
        <w:t xml:space="preserve"> </w:t>
      </w:r>
      <w:r w:rsidRPr="003B252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kóje umístěné </w:t>
      </w:r>
      <w:r w:rsidR="003B252C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3B252C">
        <w:rPr>
          <w:rFonts w:ascii="Times New Roman" w:hAnsi="Times New Roman"/>
          <w:sz w:val="24"/>
          <w:szCs w:val="24"/>
          <w:lang w:val="cs-CZ"/>
        </w:rPr>
        <w:t>;</w:t>
      </w:r>
    </w:p>
    <w:p w14:paraId="3692132F" w14:textId="77777777" w:rsidR="00EF04CA" w:rsidRPr="00E77D25" w:rsidRDefault="00EF04CA" w:rsidP="00EF04CA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drobné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zvláštních plastových pytlů šedé barvy (vydávaných Obecním úřadem obce) odkládaných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po naplnění do kóje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3B252C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1CF6D2F5" w14:textId="77777777" w:rsidR="00EF04CA" w:rsidRPr="00E77D25" w:rsidRDefault="00EF04CA" w:rsidP="00EF04CA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na sběrném místě</w:t>
      </w:r>
      <w:r>
        <w:rPr>
          <w:rFonts w:ascii="Times New Roman" w:hAnsi="Times New Roman"/>
          <w:sz w:val="24"/>
          <w:szCs w:val="24"/>
          <w:lang w:val="cs-CZ"/>
        </w:rPr>
        <w:t xml:space="preserve"> ve dvoře Obecního úřadu </w:t>
      </w:r>
      <w:r w:rsidR="00DB65D1">
        <w:rPr>
          <w:rFonts w:ascii="Times New Roman" w:hAnsi="Times New Roman"/>
          <w:sz w:val="24"/>
          <w:szCs w:val="24"/>
          <w:lang w:val="cs-CZ"/>
        </w:rPr>
        <w:t>Smolnice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4407D586" w14:textId="77777777" w:rsidR="00DB65D1" w:rsidRPr="00DB65D1" w:rsidRDefault="00DB65D1" w:rsidP="00EF04C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B65D1">
        <w:rPr>
          <w:rFonts w:ascii="Times New Roman" w:hAnsi="Times New Roman"/>
          <w:b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="003B252C">
        <w:rPr>
          <w:rFonts w:ascii="Times New Roman" w:hAnsi="Times New Roman"/>
          <w:sz w:val="24"/>
          <w:szCs w:val="24"/>
          <w:lang w:val="cs-CZ"/>
        </w:rPr>
        <w:t>do zvláštní sběrné nádoby s nápisem „TEXTIL“ umístěné na stanovišti zvláštních sběrných nádob;</w:t>
      </w:r>
    </w:p>
    <w:p w14:paraId="7B974B52" w14:textId="77777777" w:rsidR="00EF04CA" w:rsidRPr="00FF4C88" w:rsidRDefault="00EF04CA" w:rsidP="00EF04C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623CB7">
        <w:rPr>
          <w:rFonts w:ascii="Times New Roman" w:hAnsi="Times New Roman"/>
          <w:b/>
          <w:sz w:val="24"/>
          <w:szCs w:val="24"/>
          <w:lang w:val="cs-CZ"/>
        </w:rPr>
        <w:t>tráva, listí a větv</w:t>
      </w:r>
      <w:r>
        <w:rPr>
          <w:rFonts w:ascii="Times New Roman" w:hAnsi="Times New Roman"/>
          <w:b/>
          <w:sz w:val="24"/>
          <w:szCs w:val="24"/>
          <w:lang w:val="cs-CZ"/>
        </w:rPr>
        <w:t>e</w:t>
      </w:r>
      <w:r>
        <w:rPr>
          <w:rFonts w:ascii="Times New Roman" w:hAnsi="Times New Roman"/>
          <w:sz w:val="24"/>
          <w:szCs w:val="24"/>
          <w:lang w:val="cs-CZ"/>
        </w:rPr>
        <w:t xml:space="preserve"> –</w:t>
      </w:r>
      <w:r w:rsidR="00082248">
        <w:rPr>
          <w:rFonts w:ascii="Times New Roman" w:hAnsi="Times New Roman"/>
          <w:sz w:val="24"/>
          <w:szCs w:val="24"/>
          <w:lang w:val="cs-CZ"/>
        </w:rPr>
        <w:t xml:space="preserve"> do zvláštní sběrné kóje </w:t>
      </w:r>
      <w:r>
        <w:rPr>
          <w:rFonts w:ascii="Times New Roman" w:hAnsi="Times New Roman"/>
          <w:sz w:val="24"/>
          <w:szCs w:val="24"/>
          <w:lang w:val="cs-CZ"/>
        </w:rPr>
        <w:t>na sběrném místě za ocelovou halou;</w:t>
      </w:r>
    </w:p>
    <w:p w14:paraId="76317A3A" w14:textId="77777777" w:rsidR="00EF04CA" w:rsidRPr="00623CB7" w:rsidRDefault="00EF04CA" w:rsidP="00EF04C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ostatní </w:t>
      </w:r>
      <w:r w:rsidRPr="00E77D25">
        <w:rPr>
          <w:rFonts w:ascii="Times New Roman" w:hAnsi="Times New Roman"/>
          <w:b/>
          <w:sz w:val="24"/>
          <w:szCs w:val="24"/>
          <w:lang w:val="cs-CZ"/>
        </w:rPr>
        <w:t xml:space="preserve">biologicky </w:t>
      </w:r>
      <w:r w:rsidRPr="00FF4C88">
        <w:rPr>
          <w:rFonts w:ascii="Times New Roman" w:hAnsi="Times New Roman"/>
          <w:b/>
          <w:sz w:val="24"/>
          <w:szCs w:val="24"/>
          <w:lang w:val="cs-CZ"/>
        </w:rPr>
        <w:t>rozložitelný odpad</w:t>
      </w:r>
      <w:r w:rsidRPr="00FF4C88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FF4C88">
        <w:rPr>
          <w:rFonts w:ascii="Times New Roman" w:hAnsi="Times New Roman"/>
          <w:sz w:val="24"/>
          <w:szCs w:val="24"/>
        </w:rPr>
        <w:t>do zvláštní</w:t>
      </w:r>
      <w:r w:rsidRPr="00FF4C88">
        <w:rPr>
          <w:rFonts w:ascii="Times New Roman" w:hAnsi="Times New Roman"/>
          <w:sz w:val="24"/>
          <w:szCs w:val="24"/>
          <w:lang w:val="cs-CZ"/>
        </w:rPr>
        <w:t xml:space="preserve"> sběrné nádoby hnědé barvy </w:t>
      </w:r>
      <w:r w:rsidRPr="00623CB7">
        <w:rPr>
          <w:rFonts w:ascii="Times New Roman" w:hAnsi="Times New Roman"/>
          <w:sz w:val="24"/>
          <w:szCs w:val="24"/>
          <w:lang w:val="cs-CZ"/>
        </w:rPr>
        <w:t>umístěné na sběrném místě za ocelovou halou;</w:t>
      </w:r>
    </w:p>
    <w:p w14:paraId="632B0392" w14:textId="77777777" w:rsidR="001C23BA" w:rsidRPr="001C23BA" w:rsidRDefault="001C23BA" w:rsidP="00EF04C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C23BA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do zvláštní sběrné nádoby s nápisem „TUKY“ umístěné na stanovišti zvláštních sběrných nádob;</w:t>
      </w:r>
    </w:p>
    <w:p w14:paraId="0434E5AA" w14:textId="77777777" w:rsidR="00EF04CA" w:rsidRPr="00623CB7" w:rsidRDefault="00EF04CA" w:rsidP="00EF04C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23CB7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623CB7">
        <w:rPr>
          <w:rFonts w:ascii="Times New Roman" w:hAnsi="Times New Roman"/>
          <w:sz w:val="24"/>
          <w:szCs w:val="24"/>
        </w:rPr>
        <w:t xml:space="preserve">– 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do velkoobjemového kontejneru přistaveného dvakrát ročně na přechodnou dobu na přechodném stanovišti; o </w:t>
      </w:r>
      <w:r>
        <w:rPr>
          <w:rFonts w:ascii="Times New Roman" w:hAnsi="Times New Roman"/>
          <w:sz w:val="24"/>
          <w:szCs w:val="24"/>
          <w:lang w:val="cs-CZ"/>
        </w:rPr>
        <w:t>stanovištích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 a termínu </w:t>
      </w:r>
      <w:r>
        <w:rPr>
          <w:rFonts w:ascii="Times New Roman" w:hAnsi="Times New Roman"/>
          <w:sz w:val="24"/>
          <w:szCs w:val="24"/>
          <w:lang w:val="cs-CZ"/>
        </w:rPr>
        <w:t xml:space="preserve">umístění </w:t>
      </w:r>
      <w:r w:rsidRPr="00623CB7">
        <w:rPr>
          <w:rFonts w:ascii="Times New Roman" w:hAnsi="Times New Roman"/>
          <w:sz w:val="24"/>
          <w:szCs w:val="24"/>
          <w:lang w:val="cs-CZ"/>
        </w:rPr>
        <w:t>informuje Obecní úřad obce na své úřední desce, internetových stránkách obce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623CB7">
        <w:rPr>
          <w:rFonts w:ascii="Times New Roman" w:hAnsi="Times New Roman"/>
          <w:sz w:val="24"/>
          <w:szCs w:val="24"/>
          <w:lang w:val="cs-CZ"/>
        </w:rPr>
        <w:t>místním rozhlasem,</w:t>
      </w:r>
    </w:p>
    <w:p w14:paraId="7C5B5444" w14:textId="77777777" w:rsidR="00EF04CA" w:rsidRPr="00623CB7" w:rsidRDefault="00EF04CA" w:rsidP="00EF04C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23CB7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623CB7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623CB7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623CB7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</w:t>
      </w:r>
      <w:r>
        <w:rPr>
          <w:rFonts w:ascii="Times New Roman" w:hAnsi="Times New Roman"/>
          <w:sz w:val="24"/>
          <w:szCs w:val="24"/>
          <w:lang w:val="cs-CZ"/>
        </w:rPr>
        <w:t>do zvláštních sběrných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 xml:space="preserve">umístěných přechodně 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na určených stanovištích </w:t>
      </w:r>
      <w:r>
        <w:rPr>
          <w:rFonts w:ascii="Times New Roman" w:hAnsi="Times New Roman"/>
          <w:sz w:val="24"/>
          <w:szCs w:val="24"/>
          <w:lang w:val="cs-CZ"/>
        </w:rPr>
        <w:t>(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nebo přímo do rukou </w:t>
      </w:r>
      <w:r>
        <w:rPr>
          <w:rFonts w:ascii="Times New Roman" w:hAnsi="Times New Roman"/>
          <w:sz w:val="24"/>
          <w:szCs w:val="24"/>
          <w:lang w:val="cs-CZ"/>
        </w:rPr>
        <w:t>pracovníků svozové společnosti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stojících </w:t>
      </w:r>
      <w:r w:rsidRPr="00623CB7">
        <w:rPr>
          <w:rFonts w:ascii="Times New Roman" w:hAnsi="Times New Roman"/>
          <w:sz w:val="24"/>
          <w:szCs w:val="24"/>
          <w:lang w:val="cs-CZ"/>
        </w:rPr>
        <w:t>na</w:t>
      </w:r>
      <w:r>
        <w:rPr>
          <w:rFonts w:ascii="Times New Roman" w:hAnsi="Times New Roman"/>
          <w:sz w:val="24"/>
          <w:szCs w:val="24"/>
          <w:lang w:val="cs-CZ"/>
        </w:rPr>
        <w:t> takovém stanovišti)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; </w:t>
      </w:r>
      <w:r>
        <w:rPr>
          <w:rFonts w:ascii="Times New Roman" w:hAnsi="Times New Roman"/>
          <w:sz w:val="24"/>
          <w:szCs w:val="24"/>
          <w:lang w:val="cs-CZ"/>
        </w:rPr>
        <w:t>o stanovištích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623CB7">
        <w:rPr>
          <w:rFonts w:ascii="Times New Roman" w:hAnsi="Times New Roman"/>
          <w:sz w:val="24"/>
          <w:szCs w:val="24"/>
          <w:lang w:val="cs-CZ"/>
        </w:rPr>
        <w:t>termínu</w:t>
      </w:r>
      <w:r>
        <w:rPr>
          <w:rFonts w:ascii="Times New Roman" w:hAnsi="Times New Roman"/>
          <w:sz w:val="24"/>
          <w:szCs w:val="24"/>
          <w:lang w:val="cs-CZ"/>
        </w:rPr>
        <w:t xml:space="preserve"> umístění</w:t>
      </w:r>
      <w:r w:rsidRPr="00623CB7">
        <w:rPr>
          <w:rFonts w:ascii="Times New Roman" w:hAnsi="Times New Roman"/>
          <w:sz w:val="24"/>
          <w:szCs w:val="24"/>
          <w:lang w:val="cs-CZ"/>
        </w:rPr>
        <w:t xml:space="preserve"> informuje Obecní úřad obce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623CB7">
        <w:rPr>
          <w:rFonts w:ascii="Times New Roman" w:hAnsi="Times New Roman"/>
          <w:sz w:val="24"/>
          <w:szCs w:val="24"/>
          <w:lang w:val="cs-CZ"/>
        </w:rPr>
        <w:t>své úřední desce, internetových stránkách obce a místním rozhlasem;</w:t>
      </w:r>
    </w:p>
    <w:p w14:paraId="56BCA6AB" w14:textId="77777777" w:rsidR="00EF04CA" w:rsidRPr="00204E10" w:rsidRDefault="00EF04CA" w:rsidP="00EF04C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04E1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204E1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E52D29A" w14:textId="77777777" w:rsidR="00EF04CA" w:rsidRPr="00204E10" w:rsidRDefault="00EF04CA" w:rsidP="00EF04C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04E10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204E10">
        <w:rPr>
          <w:rFonts w:ascii="Times New Roman" w:hAnsi="Times New Roman"/>
          <w:sz w:val="24"/>
          <w:szCs w:val="24"/>
          <w:lang w:val="cs-CZ"/>
        </w:rPr>
        <w:t> </w:t>
      </w:r>
      <w:r w:rsidRPr="00204E10">
        <w:rPr>
          <w:rFonts w:ascii="Times New Roman" w:hAnsi="Times New Roman"/>
          <w:sz w:val="24"/>
          <w:szCs w:val="24"/>
        </w:rPr>
        <w:t xml:space="preserve">objemu </w:t>
      </w:r>
      <w:r>
        <w:rPr>
          <w:rFonts w:ascii="Times New Roman" w:hAnsi="Times New Roman"/>
          <w:sz w:val="24"/>
          <w:szCs w:val="24"/>
          <w:lang w:val="cs-CZ"/>
        </w:rPr>
        <w:t>60, 80</w:t>
      </w:r>
      <w:r w:rsidR="00082248">
        <w:rPr>
          <w:rFonts w:ascii="Times New Roman" w:hAnsi="Times New Roman"/>
          <w:sz w:val="24"/>
          <w:szCs w:val="24"/>
          <w:lang w:val="cs-CZ"/>
        </w:rPr>
        <w:t>,</w:t>
      </w:r>
      <w:r>
        <w:rPr>
          <w:rFonts w:ascii="Times New Roman" w:hAnsi="Times New Roman"/>
          <w:sz w:val="24"/>
          <w:szCs w:val="24"/>
          <w:lang w:val="cs-CZ"/>
        </w:rPr>
        <w:t xml:space="preserve"> 1</w:t>
      </w:r>
      <w:r w:rsidR="00082248">
        <w:rPr>
          <w:rFonts w:ascii="Times New Roman" w:hAnsi="Times New Roman"/>
          <w:sz w:val="24"/>
          <w:szCs w:val="24"/>
          <w:lang w:val="cs-CZ"/>
        </w:rPr>
        <w:t>2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="00082248">
        <w:rPr>
          <w:rFonts w:ascii="Times New Roman" w:hAnsi="Times New Roman"/>
          <w:sz w:val="24"/>
          <w:szCs w:val="24"/>
          <w:lang w:val="cs-CZ"/>
        </w:rPr>
        <w:t xml:space="preserve"> nebo 240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04E10">
        <w:rPr>
          <w:rFonts w:ascii="Times New Roman" w:hAnsi="Times New Roman"/>
          <w:sz w:val="24"/>
          <w:szCs w:val="24"/>
          <w:lang w:val="cs-CZ"/>
        </w:rPr>
        <w:t>litrů</w:t>
      </w:r>
      <w:r w:rsidRPr="00204E10">
        <w:rPr>
          <w:rFonts w:ascii="Times New Roman" w:hAnsi="Times New Roman"/>
          <w:sz w:val="24"/>
          <w:szCs w:val="24"/>
        </w:rPr>
        <w:t>)</w:t>
      </w:r>
      <w:r w:rsidRPr="00204E1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23CB7">
        <w:rPr>
          <w:rFonts w:ascii="Times New Roman" w:hAnsi="Times New Roman"/>
          <w:sz w:val="24"/>
          <w:szCs w:val="24"/>
          <w:lang w:val="cs-CZ"/>
        </w:rPr>
        <w:t>přistavovaných v den vyprazdňování na místo přistavení sběrných nádob,</w:t>
      </w:r>
    </w:p>
    <w:p w14:paraId="6A6627AC" w14:textId="77777777" w:rsidR="003B252C" w:rsidRPr="003B252C" w:rsidRDefault="003B252C" w:rsidP="00EF04C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zvláštního kontejneru umístěného na stanovišti zvláštních sběrných nádob,</w:t>
      </w:r>
    </w:p>
    <w:p w14:paraId="6C0CE77E" w14:textId="77777777" w:rsidR="00EF04CA" w:rsidRPr="00204E10" w:rsidRDefault="00EF04CA" w:rsidP="00EF04C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04E10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204E1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204E10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204E1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. </w:t>
      </w:r>
    </w:p>
    <w:p w14:paraId="4619D033" w14:textId="77777777" w:rsidR="00EF04CA" w:rsidRDefault="00EF04CA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6754FF14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2CA983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13DD8F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CBA0A12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38213C2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E0DF93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91D8FCA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E21FAD7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8A10EB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5BEE2E4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7131F31" w14:textId="77777777" w:rsidR="00EF04CA" w:rsidRPr="003B252C" w:rsidRDefault="00EF04CA" w:rsidP="00EF04C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B252C">
        <w:rPr>
          <w:rFonts w:ascii="Times New Roman" w:eastAsia="MS Mincho" w:hAnsi="Times New Roman"/>
          <w:b/>
          <w:sz w:val="24"/>
          <w:szCs w:val="24"/>
          <w:lang w:val="cs-CZ"/>
        </w:rPr>
        <w:t>Článek 6</w:t>
      </w:r>
    </w:p>
    <w:p w14:paraId="43A076E3" w14:textId="77777777" w:rsidR="00EF04CA" w:rsidRPr="003B252C" w:rsidRDefault="00EF04CA" w:rsidP="00EF04C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B252C">
        <w:rPr>
          <w:rFonts w:ascii="Times New Roman" w:eastAsia="MS Mincho" w:hAnsi="Times New Roman"/>
          <w:b/>
          <w:sz w:val="24"/>
          <w:szCs w:val="24"/>
          <w:lang w:val="cs-CZ"/>
        </w:rPr>
        <w:t>Informace o možnosti odložit některé složky komunálního odpadu mimo území obce</w:t>
      </w:r>
    </w:p>
    <w:p w14:paraId="7DFDC55E" w14:textId="77777777" w:rsidR="00EF04CA" w:rsidRPr="003B252C" w:rsidRDefault="00EF04CA" w:rsidP="00EF04CA">
      <w:pPr>
        <w:pStyle w:val="Prosttext"/>
        <w:tabs>
          <w:tab w:val="left" w:pos="4172"/>
        </w:tabs>
        <w:rPr>
          <w:rFonts w:ascii="Times New Roman" w:eastAsia="MS Mincho" w:hAnsi="Times New Roman"/>
          <w:sz w:val="24"/>
          <w:szCs w:val="24"/>
          <w:lang w:val="cs-CZ"/>
        </w:rPr>
      </w:pPr>
    </w:p>
    <w:p w14:paraId="0B899E5D" w14:textId="77777777" w:rsidR="00EF04CA" w:rsidRDefault="00EF04CA" w:rsidP="00EF04C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B252C">
        <w:rPr>
          <w:rFonts w:ascii="Times New Roman" w:eastAsia="MS Mincho" w:hAnsi="Times New Roman"/>
          <w:sz w:val="24"/>
          <w:szCs w:val="24"/>
          <w:lang w:val="cs-CZ"/>
        </w:rPr>
        <w:t xml:space="preserve">Obec zajistila nepodnikajícím fyzickým osobám s trvalým pobytem na území obce rovněž možnost odložení objemného odpadu a nebezpečného odpadu ve sběrném dvoře firmy Marius </w:t>
      </w:r>
      <w:proofErr w:type="spellStart"/>
      <w:r w:rsidRPr="003B252C">
        <w:rPr>
          <w:rFonts w:ascii="Times New Roman" w:eastAsia="MS Mincho" w:hAnsi="Times New Roman"/>
          <w:sz w:val="24"/>
          <w:szCs w:val="24"/>
          <w:lang w:val="cs-CZ"/>
        </w:rPr>
        <w:t>Pedersen</w:t>
      </w:r>
      <w:proofErr w:type="spellEnd"/>
      <w:r w:rsidRPr="003B252C">
        <w:rPr>
          <w:rFonts w:ascii="Times New Roman" w:eastAsia="MS Mincho" w:hAnsi="Times New Roman"/>
          <w:sz w:val="24"/>
          <w:szCs w:val="24"/>
          <w:lang w:val="cs-CZ"/>
        </w:rPr>
        <w:t xml:space="preserve"> ve městě Louny v ulici Rybalkova zdarma (po prokázání totožnosti) v celkovém množství do 200 kg za kalendářní rok a osobu.</w:t>
      </w:r>
    </w:p>
    <w:p w14:paraId="398D08F6" w14:textId="77777777" w:rsidR="00EF04CA" w:rsidRDefault="00EF04CA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29DA18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B252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44AA1E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E32812C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29255CA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B252C">
        <w:rPr>
          <w:rFonts w:ascii="Times New Roman" w:eastAsia="MS Mincho" w:hAnsi="Times New Roman"/>
          <w:sz w:val="24"/>
          <w:szCs w:val="24"/>
          <w:lang w:val="cs-CZ"/>
        </w:rPr>
        <w:t>1/2016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3B252C" w:rsidRPr="003B252C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odstraňování, komunálních odpadů a systém nakládání se stavebním odpadem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3B252C">
        <w:rPr>
          <w:rFonts w:ascii="Times New Roman" w:eastAsia="MS Mincho" w:hAnsi="Times New Roman"/>
          <w:sz w:val="24"/>
          <w:szCs w:val="24"/>
          <w:lang w:val="cs-CZ"/>
        </w:rPr>
        <w:t>5. 12. 2016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2F21A4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CE7AF6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B252C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F3FC094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BCBCB4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44230A5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A50F937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F759390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CAADA53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18661EA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B673DF3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2C07B5A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D491112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7CC09E80" w14:textId="77777777" w:rsidTr="007C1932">
        <w:trPr>
          <w:trHeight w:val="80"/>
          <w:jc w:val="center"/>
        </w:trPr>
        <w:tc>
          <w:tcPr>
            <w:tcW w:w="4605" w:type="dxa"/>
          </w:tcPr>
          <w:p w14:paraId="2720D687" w14:textId="77777777" w:rsidR="004B7865" w:rsidRPr="00A010E4" w:rsidRDefault="001C23BA" w:rsidP="007C1932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31D2BD9B" w14:textId="77777777" w:rsidR="004B7865" w:rsidRPr="00A010E4" w:rsidRDefault="001C23BA" w:rsidP="007C1932">
            <w:pPr>
              <w:jc w:val="center"/>
            </w:pPr>
            <w:r>
              <w:t>____________________________</w:t>
            </w:r>
          </w:p>
        </w:tc>
      </w:tr>
      <w:tr w:rsidR="004B7865" w:rsidRPr="00814C64" w14:paraId="747264A6" w14:textId="77777777" w:rsidTr="007C1932">
        <w:trPr>
          <w:jc w:val="center"/>
        </w:trPr>
        <w:tc>
          <w:tcPr>
            <w:tcW w:w="4605" w:type="dxa"/>
          </w:tcPr>
          <w:p w14:paraId="048D8160" w14:textId="77777777" w:rsidR="004B7865" w:rsidRPr="00A010E4" w:rsidRDefault="001C23BA" w:rsidP="007C1932">
            <w:pPr>
              <w:jc w:val="center"/>
            </w:pPr>
            <w:r>
              <w:t xml:space="preserve">Milan </w:t>
            </w:r>
            <w:proofErr w:type="spellStart"/>
            <w:r>
              <w:t>Sulo</w:t>
            </w:r>
            <w:proofErr w:type="spellEnd"/>
            <w:r>
              <w:t xml:space="preserve"> v. r.</w:t>
            </w:r>
          </w:p>
          <w:p w14:paraId="43A8F081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431F5A48" w14:textId="77777777" w:rsidR="00E23C20" w:rsidRPr="00A010E4" w:rsidRDefault="001C23BA" w:rsidP="00E23C20">
            <w:pPr>
              <w:jc w:val="center"/>
            </w:pPr>
            <w:r>
              <w:t>Lenka Kalousová v. r.</w:t>
            </w:r>
          </w:p>
          <w:p w14:paraId="24D758B2" w14:textId="77777777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1C23BA">
              <w:t>k</w:t>
            </w:r>
            <w:r w:rsidRPr="00A010E4">
              <w:t>a</w:t>
            </w:r>
          </w:p>
        </w:tc>
      </w:tr>
    </w:tbl>
    <w:p w14:paraId="638C3927" w14:textId="77777777" w:rsidR="004B7865" w:rsidRDefault="004B7865" w:rsidP="004B7865"/>
    <w:p w14:paraId="157968F5" w14:textId="77777777" w:rsidR="00BD651D" w:rsidRDefault="00BD651D" w:rsidP="004B7865"/>
    <w:p w14:paraId="6DBC4609" w14:textId="77777777" w:rsidR="00BD651D" w:rsidRDefault="00BD651D" w:rsidP="004B7865"/>
    <w:p w14:paraId="6AD7A899" w14:textId="77777777" w:rsidR="002F6E60" w:rsidRDefault="002F6E60" w:rsidP="004B7865"/>
    <w:p w14:paraId="6E6BF3FC" w14:textId="77777777" w:rsidR="002F6E60" w:rsidRDefault="002F6E60" w:rsidP="004B7865"/>
    <w:p w14:paraId="3E7BF4DF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89DD" w14:textId="77777777" w:rsidR="008566F0" w:rsidRDefault="008566F0" w:rsidP="00792C01">
      <w:r>
        <w:separator/>
      </w:r>
    </w:p>
  </w:endnote>
  <w:endnote w:type="continuationSeparator" w:id="0">
    <w:p w14:paraId="728A136E" w14:textId="77777777" w:rsidR="008566F0" w:rsidRDefault="008566F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8D08" w14:textId="77777777" w:rsidR="008566F0" w:rsidRDefault="008566F0" w:rsidP="00792C01">
      <w:r>
        <w:separator/>
      </w:r>
    </w:p>
  </w:footnote>
  <w:footnote w:type="continuationSeparator" w:id="0">
    <w:p w14:paraId="08949BFC" w14:textId="77777777" w:rsidR="008566F0" w:rsidRDefault="008566F0" w:rsidP="00792C01">
      <w:r>
        <w:continuationSeparator/>
      </w:r>
    </w:p>
  </w:footnote>
  <w:footnote w:id="1">
    <w:p w14:paraId="7CC3A75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D47D7"/>
    <w:multiLevelType w:val="hybridMultilevel"/>
    <w:tmpl w:val="6F00BA4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008C7"/>
    <w:multiLevelType w:val="hybridMultilevel"/>
    <w:tmpl w:val="6F00BA4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F25948"/>
    <w:multiLevelType w:val="hybridMultilevel"/>
    <w:tmpl w:val="6F00BA4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5027597">
    <w:abstractNumId w:val="17"/>
  </w:num>
  <w:num w:numId="2" w16cid:durableId="362445024">
    <w:abstractNumId w:val="18"/>
  </w:num>
  <w:num w:numId="3" w16cid:durableId="627592929">
    <w:abstractNumId w:val="20"/>
  </w:num>
  <w:num w:numId="4" w16cid:durableId="780227509">
    <w:abstractNumId w:val="14"/>
  </w:num>
  <w:num w:numId="5" w16cid:durableId="309096651">
    <w:abstractNumId w:val="13"/>
  </w:num>
  <w:num w:numId="6" w16cid:durableId="1944071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1890562">
    <w:abstractNumId w:val="8"/>
  </w:num>
  <w:num w:numId="8" w16cid:durableId="277641937">
    <w:abstractNumId w:val="10"/>
  </w:num>
  <w:num w:numId="9" w16cid:durableId="772358890">
    <w:abstractNumId w:val="4"/>
  </w:num>
  <w:num w:numId="10" w16cid:durableId="11222769">
    <w:abstractNumId w:val="3"/>
  </w:num>
  <w:num w:numId="11" w16cid:durableId="1536962261">
    <w:abstractNumId w:val="0"/>
  </w:num>
  <w:num w:numId="12" w16cid:durableId="1330984198">
    <w:abstractNumId w:val="1"/>
  </w:num>
  <w:num w:numId="13" w16cid:durableId="1066680976">
    <w:abstractNumId w:val="2"/>
  </w:num>
  <w:num w:numId="14" w16cid:durableId="1742866587">
    <w:abstractNumId w:val="5"/>
  </w:num>
  <w:num w:numId="15" w16cid:durableId="106049087">
    <w:abstractNumId w:val="6"/>
  </w:num>
  <w:num w:numId="16" w16cid:durableId="279454681">
    <w:abstractNumId w:val="7"/>
  </w:num>
  <w:num w:numId="17" w16cid:durableId="31276211">
    <w:abstractNumId w:val="21"/>
  </w:num>
  <w:num w:numId="18" w16cid:durableId="459690488">
    <w:abstractNumId w:val="16"/>
  </w:num>
  <w:num w:numId="19" w16cid:durableId="225801973">
    <w:abstractNumId w:val="19"/>
  </w:num>
  <w:num w:numId="20" w16cid:durableId="1349673332">
    <w:abstractNumId w:val="15"/>
  </w:num>
  <w:num w:numId="21" w16cid:durableId="769853665">
    <w:abstractNumId w:val="22"/>
  </w:num>
  <w:num w:numId="22" w16cid:durableId="588196209">
    <w:abstractNumId w:val="9"/>
  </w:num>
  <w:num w:numId="23" w16cid:durableId="333920653">
    <w:abstractNumId w:val="11"/>
  </w:num>
  <w:num w:numId="24" w16cid:durableId="378360431">
    <w:abstractNumId w:val="23"/>
  </w:num>
  <w:num w:numId="25" w16cid:durableId="161193545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2248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03CE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23BA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B252C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15CAA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566F0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61846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10655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B65D1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F04CA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9436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9DA6-72DC-4CEE-9AA7-6F32FA1E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1070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OU Smolnice</cp:lastModifiedBy>
  <cp:revision>4</cp:revision>
  <cp:lastPrinted>2023-10-04T13:20:00Z</cp:lastPrinted>
  <dcterms:created xsi:type="dcterms:W3CDTF">2023-10-04T13:13:00Z</dcterms:created>
  <dcterms:modified xsi:type="dcterms:W3CDTF">2023-10-04T13:21:00Z</dcterms:modified>
</cp:coreProperties>
</file>