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B46C" w14:textId="77777777" w:rsidR="001E0E99" w:rsidRDefault="001E0E99">
      <w:pPr>
        <w:pStyle w:val="Nzev"/>
      </w:pPr>
    </w:p>
    <w:p w14:paraId="0200B46D" w14:textId="77777777" w:rsidR="001E0E99" w:rsidRDefault="002725A3">
      <w:pPr>
        <w:pStyle w:val="Nzev"/>
      </w:pPr>
      <w:r>
        <w:t>Město Jindřichův Hradec</w:t>
      </w:r>
      <w:r>
        <w:br/>
      </w:r>
      <w:r>
        <w:t>Zastupitelstvo města Jindřichův Hradec</w:t>
      </w:r>
    </w:p>
    <w:p w14:paraId="0200B46E" w14:textId="77777777" w:rsidR="001E0E99" w:rsidRDefault="001E0E99">
      <w:pPr>
        <w:pStyle w:val="Nadpis1"/>
      </w:pPr>
    </w:p>
    <w:p w14:paraId="0200B46F" w14:textId="77777777" w:rsidR="001E0E99" w:rsidRDefault="002725A3">
      <w:pPr>
        <w:pStyle w:val="Nadpis1"/>
      </w:pPr>
      <w:r>
        <w:t>Obecně závazná vyhláška města Jindřichův Hradec</w:t>
      </w:r>
      <w:r>
        <w:br/>
      </w:r>
      <w:r>
        <w:t>o místním poplatku ze psů</w:t>
      </w:r>
    </w:p>
    <w:p w14:paraId="0200B470" w14:textId="77777777" w:rsidR="001E0E99" w:rsidRDefault="002725A3">
      <w:pPr>
        <w:pStyle w:val="UvodniVeta"/>
      </w:pPr>
      <w:r>
        <w:t xml:space="preserve">Zastupitelstvo města Jindřichův Hradec se na svém zasedání dne 22. listopadu 2023 usneslo </w:t>
      </w:r>
      <w: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200B471" w14:textId="77777777" w:rsidR="001E0E99" w:rsidRDefault="002725A3">
      <w:pPr>
        <w:pStyle w:val="Nadpis2"/>
      </w:pPr>
      <w:r>
        <w:t>Čl. 1</w:t>
      </w:r>
      <w:r>
        <w:br/>
      </w:r>
      <w:r>
        <w:t>Úvodní ustanovení</w:t>
      </w:r>
    </w:p>
    <w:p w14:paraId="0200B472" w14:textId="77777777" w:rsidR="001E0E99" w:rsidRDefault="002725A3">
      <w:pPr>
        <w:pStyle w:val="Odstavec"/>
        <w:numPr>
          <w:ilvl w:val="0"/>
          <w:numId w:val="1"/>
        </w:numPr>
      </w:pPr>
      <w:r>
        <w:t>Město Jindřichův Hradec touto vyhláškou zavádí místní poplatek ze psů (dále jen „poplatek“).</w:t>
      </w:r>
    </w:p>
    <w:p w14:paraId="0200B473" w14:textId="77777777" w:rsidR="001E0E99" w:rsidRDefault="002725A3">
      <w:pPr>
        <w:pStyle w:val="Odstavec"/>
        <w:numPr>
          <w:ilvl w:val="0"/>
          <w:numId w:val="1"/>
        </w:numPr>
      </w:pPr>
      <w:r>
        <w:t>Poplatkovým obdobím poplatku je kalendářní rok</w:t>
      </w:r>
      <w:r>
        <w:rPr>
          <w:rStyle w:val="Znakapoznpodarou"/>
        </w:rPr>
        <w:footnoteReference w:id="1"/>
      </w:r>
      <w:r>
        <w:t>.</w:t>
      </w:r>
    </w:p>
    <w:p w14:paraId="0200B474" w14:textId="77777777" w:rsidR="001E0E99" w:rsidRDefault="002725A3">
      <w:pPr>
        <w:pStyle w:val="Odstavec"/>
        <w:numPr>
          <w:ilvl w:val="0"/>
          <w:numId w:val="1"/>
        </w:numPr>
      </w:pPr>
      <w:r>
        <w:t>Správcem poplatku je městský úřad</w:t>
      </w:r>
      <w:r>
        <w:rPr>
          <w:rStyle w:val="Znakapoznpodarou"/>
        </w:rPr>
        <w:footnoteReference w:id="2"/>
      </w:r>
      <w:r>
        <w:t>.</w:t>
      </w:r>
    </w:p>
    <w:p w14:paraId="0200B475" w14:textId="77777777" w:rsidR="001E0E99" w:rsidRDefault="002725A3">
      <w:pPr>
        <w:pStyle w:val="Nadpis2"/>
      </w:pPr>
      <w:r>
        <w:t>Čl. 2</w:t>
      </w:r>
      <w:r>
        <w:br/>
      </w:r>
      <w:r>
        <w:t>Předmět poplatku a poplatník</w:t>
      </w:r>
    </w:p>
    <w:p w14:paraId="0200B476" w14:textId="77777777" w:rsidR="001E0E99" w:rsidRDefault="002725A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0200B477" w14:textId="77777777" w:rsidR="001E0E99" w:rsidRDefault="002725A3">
      <w:pPr>
        <w:pStyle w:val="Odstavec"/>
        <w:numPr>
          <w:ilvl w:val="0"/>
          <w:numId w:val="1"/>
        </w:numPr>
      </w:pPr>
      <w:r>
        <w:t>Poplatek ze psů se platí ze psů starších 3 měsíců</w:t>
      </w:r>
      <w:r>
        <w:rPr>
          <w:rStyle w:val="Znakapoznpodarou"/>
        </w:rPr>
        <w:footnoteReference w:id="4"/>
      </w:r>
      <w:r>
        <w:t>.</w:t>
      </w:r>
    </w:p>
    <w:p w14:paraId="0200B478" w14:textId="77777777" w:rsidR="001E0E99" w:rsidRDefault="002725A3">
      <w:pPr>
        <w:pStyle w:val="Nadpis2"/>
      </w:pPr>
      <w:r>
        <w:t>Čl. 3</w:t>
      </w:r>
      <w:r>
        <w:br/>
      </w:r>
      <w:r>
        <w:t>Ohlašovací povinnost</w:t>
      </w:r>
    </w:p>
    <w:p w14:paraId="0200B479" w14:textId="77777777" w:rsidR="001E0E99" w:rsidRDefault="002725A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200B47A" w14:textId="77777777" w:rsidR="001E0E99" w:rsidRDefault="002725A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200B47B" w14:textId="77777777" w:rsidR="001E0E99" w:rsidRDefault="002725A3">
      <w:pPr>
        <w:pStyle w:val="Nadpis2"/>
      </w:pPr>
      <w:r>
        <w:lastRenderedPageBreak/>
        <w:t>Čl. 4</w:t>
      </w:r>
      <w:r>
        <w:br/>
      </w:r>
      <w:r>
        <w:t>Sazba poplatku</w:t>
      </w:r>
    </w:p>
    <w:p w14:paraId="0200B47C" w14:textId="77777777" w:rsidR="001E0E99" w:rsidRDefault="002725A3">
      <w:pPr>
        <w:pStyle w:val="Odstavec"/>
        <w:numPr>
          <w:ilvl w:val="0"/>
          <w:numId w:val="4"/>
        </w:numPr>
      </w:pPr>
      <w:r>
        <w:t>Sazba poplatku je stanovena podle místa přihlášení nebo sídla držitele psa a za kalendářní rok činí:</w:t>
      </w:r>
    </w:p>
    <w:p w14:paraId="0200B47D" w14:textId="77777777" w:rsidR="001E0E99" w:rsidRDefault="002725A3">
      <w:pPr>
        <w:pStyle w:val="Odstavec"/>
        <w:numPr>
          <w:ilvl w:val="1"/>
          <w:numId w:val="1"/>
        </w:numPr>
      </w:pPr>
      <w:r>
        <w:t>v rodinných domech v místních částech (tj. Buk, Děbolín, Dolní Radouň, Dolní Skrýchov, Horní Žďár, Matná, Otín, Políkno, Radouňka), v okrajových částech města (tj. č. p. 167/II, 173/II, 176/II, 180/II, 183/II, 184/II, 196/II, 259/II, 328/II, 1154/II, 1204/II, 1340/II, 120/IV, 381/IV, 382/IV, 383/IV, 385/IV, 391/IV, 393/IV, 394/IV, 402/IV, č. e. 2231) a v bytových domech Radouňka č. p. 2, 10, 23, 107, 149, 177, Dolní Radouň č. p. 17, 140, Dolní Skrýchov č. p. 63 a 64:</w:t>
      </w:r>
    </w:p>
    <w:p w14:paraId="0200B47E" w14:textId="77777777" w:rsidR="001E0E99" w:rsidRDefault="002725A3">
      <w:pPr>
        <w:pStyle w:val="Odstavec"/>
        <w:numPr>
          <w:ilvl w:val="0"/>
          <w:numId w:val="5"/>
        </w:numPr>
      </w:pPr>
      <w:r>
        <w:t>za jednoho psa ……………………………………………………………..……….. 100 Kč,</w:t>
      </w:r>
    </w:p>
    <w:p w14:paraId="0200B47F" w14:textId="77777777" w:rsidR="001E0E99" w:rsidRDefault="002725A3">
      <w:pPr>
        <w:pStyle w:val="Odstavec"/>
        <w:numPr>
          <w:ilvl w:val="0"/>
          <w:numId w:val="5"/>
        </w:numPr>
      </w:pPr>
      <w:r>
        <w:t>za druhého a každého dalšího psa téhož držitele ……………………………….. 200 Kč,</w:t>
      </w:r>
    </w:p>
    <w:p w14:paraId="0200B480" w14:textId="77777777" w:rsidR="001E0E99" w:rsidRDefault="002725A3">
      <w:pPr>
        <w:pStyle w:val="Odstavec"/>
        <w:numPr>
          <w:ilvl w:val="0"/>
          <w:numId w:val="5"/>
        </w:numPr>
      </w:pPr>
      <w:r>
        <w:t>za psa, jehož držitelem je osoba, která dosáhne v průběhu kalendářního roku věku 65 let a starší ………………………………………………………………………….. 50 Kč,</w:t>
      </w:r>
    </w:p>
    <w:p w14:paraId="0200B481" w14:textId="77777777" w:rsidR="001E0E99" w:rsidRDefault="002725A3">
      <w:pPr>
        <w:pStyle w:val="Odstavec"/>
        <w:numPr>
          <w:ilvl w:val="0"/>
          <w:numId w:val="5"/>
        </w:numPr>
      </w:pPr>
      <w:r>
        <w:t>za druhého a každého dalšího psa téhož držitele, kterým je osoba, která dosáhne v průběhu kalendářního roku věku 65 let a starší ………………………….…….. 100 Kč,</w:t>
      </w:r>
    </w:p>
    <w:p w14:paraId="0200B482" w14:textId="77777777" w:rsidR="001E0E99" w:rsidRDefault="002725A3">
      <w:pPr>
        <w:pStyle w:val="Odstavec"/>
        <w:numPr>
          <w:ilvl w:val="1"/>
          <w:numId w:val="1"/>
        </w:numPr>
      </w:pPr>
      <w:r>
        <w:t>v rodinných domech v ostatních částech města:</w:t>
      </w:r>
    </w:p>
    <w:p w14:paraId="0200B483" w14:textId="77777777" w:rsidR="001E0E99" w:rsidRDefault="002725A3">
      <w:pPr>
        <w:pStyle w:val="Odstavec"/>
        <w:numPr>
          <w:ilvl w:val="0"/>
          <w:numId w:val="5"/>
        </w:numPr>
      </w:pPr>
      <w:r>
        <w:t>za jednoho psa ………………………………………………………………………. 200 Kč,</w:t>
      </w:r>
    </w:p>
    <w:p w14:paraId="0200B484" w14:textId="77777777" w:rsidR="001E0E99" w:rsidRDefault="002725A3">
      <w:pPr>
        <w:pStyle w:val="Odstavec"/>
        <w:numPr>
          <w:ilvl w:val="0"/>
          <w:numId w:val="5"/>
        </w:numPr>
      </w:pPr>
      <w:r>
        <w:t>za druhého a každého dalšího psa téhož držitele ………………………………... 400 Kč,</w:t>
      </w:r>
    </w:p>
    <w:p w14:paraId="0200B485" w14:textId="77777777" w:rsidR="001E0E99" w:rsidRDefault="002725A3">
      <w:pPr>
        <w:pStyle w:val="Odstavec"/>
        <w:numPr>
          <w:ilvl w:val="0"/>
          <w:numId w:val="5"/>
        </w:numPr>
      </w:pPr>
      <w:r>
        <w:t>za psa, jehož držitelem je osoba, která dosáhne v průběhu kalendářního roku věku 65 let a starší ……………….………………………………………………………... 100 Kč,</w:t>
      </w:r>
    </w:p>
    <w:p w14:paraId="0200B486" w14:textId="77777777" w:rsidR="001E0E99" w:rsidRDefault="002725A3">
      <w:pPr>
        <w:pStyle w:val="Odstavec"/>
        <w:numPr>
          <w:ilvl w:val="0"/>
          <w:numId w:val="5"/>
        </w:numPr>
      </w:pPr>
      <w:r>
        <w:t>za druhého a každého dalšího psa téhož držitele, kterým je osoba, která dosáhne v průběhu kalendářního roku věku 65 let a starší …………………….………….. 200 Kč,</w:t>
      </w:r>
    </w:p>
    <w:p w14:paraId="0200B487" w14:textId="77777777" w:rsidR="001E0E99" w:rsidRDefault="002725A3">
      <w:pPr>
        <w:pStyle w:val="Odstavec"/>
        <w:numPr>
          <w:ilvl w:val="1"/>
          <w:numId w:val="1"/>
        </w:numPr>
      </w:pPr>
      <w:r>
        <w:t>v ostatních domech a objektech na celém území města:</w:t>
      </w:r>
    </w:p>
    <w:p w14:paraId="0200B488" w14:textId="77777777" w:rsidR="001E0E99" w:rsidRDefault="002725A3">
      <w:pPr>
        <w:pStyle w:val="Odstavec"/>
        <w:numPr>
          <w:ilvl w:val="0"/>
          <w:numId w:val="5"/>
        </w:numPr>
      </w:pPr>
      <w:r>
        <w:t>za jednoho psa ………………………………………………………………………. 800 Kč,</w:t>
      </w:r>
    </w:p>
    <w:p w14:paraId="0200B489" w14:textId="77777777" w:rsidR="001E0E99" w:rsidRDefault="002725A3">
      <w:pPr>
        <w:pStyle w:val="Odstavec"/>
        <w:numPr>
          <w:ilvl w:val="0"/>
          <w:numId w:val="5"/>
        </w:numPr>
      </w:pPr>
      <w:r>
        <w:t>za druhého a každého dalšího psa téhož držitele ……………………………… 1 200 Kč,</w:t>
      </w:r>
    </w:p>
    <w:p w14:paraId="0200B48A" w14:textId="77777777" w:rsidR="001E0E99" w:rsidRDefault="002725A3">
      <w:pPr>
        <w:pStyle w:val="Odstavec"/>
        <w:numPr>
          <w:ilvl w:val="0"/>
          <w:numId w:val="5"/>
        </w:numPr>
      </w:pPr>
      <w:r>
        <w:t xml:space="preserve">za psa, jehož držitelem je osoba, která dosáhne v průběhu </w:t>
      </w:r>
      <w:r>
        <w:t>kalendářního roku věku 65 let a starší .………………………………………………………………………... 200 Kč,</w:t>
      </w:r>
    </w:p>
    <w:p w14:paraId="0200B48B" w14:textId="77777777" w:rsidR="001E0E99" w:rsidRDefault="002725A3">
      <w:pPr>
        <w:pStyle w:val="Odstavec"/>
        <w:numPr>
          <w:ilvl w:val="0"/>
          <w:numId w:val="5"/>
        </w:numPr>
      </w:pPr>
      <w:r>
        <w:t>za druhého a každého dalšího psa téhož držitele, kterým je osoba, která dosáhne v průběhu kalendářního roku věku 65 let a starší .……………………………….. 300 Kč.</w:t>
      </w:r>
    </w:p>
    <w:p w14:paraId="0200B48C" w14:textId="77777777" w:rsidR="001E0E99" w:rsidRDefault="002725A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200B48D" w14:textId="77777777" w:rsidR="001E0E99" w:rsidRDefault="002725A3">
      <w:pPr>
        <w:pStyle w:val="Nadpis2"/>
      </w:pPr>
      <w:r>
        <w:t>Čl. 5</w:t>
      </w:r>
      <w:r>
        <w:br/>
      </w:r>
      <w:r>
        <w:t>Splatnost poplatku</w:t>
      </w:r>
    </w:p>
    <w:p w14:paraId="0200B48E" w14:textId="77777777" w:rsidR="001E0E99" w:rsidRDefault="002725A3">
      <w:pPr>
        <w:pStyle w:val="Odstavec"/>
        <w:numPr>
          <w:ilvl w:val="0"/>
          <w:numId w:val="6"/>
        </w:numPr>
      </w:pPr>
      <w:r>
        <w:t>Poplatek je splatný nejpozději do 31. května příslušného kalendářního roku.</w:t>
      </w:r>
    </w:p>
    <w:p w14:paraId="0200B48F" w14:textId="77777777" w:rsidR="001E0E99" w:rsidRDefault="002725A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200B490" w14:textId="77777777" w:rsidR="001E0E99" w:rsidRDefault="002725A3">
      <w:pPr>
        <w:pStyle w:val="Odstavec"/>
        <w:numPr>
          <w:ilvl w:val="0"/>
          <w:numId w:val="1"/>
        </w:numPr>
      </w:pPr>
      <w:r>
        <w:lastRenderedPageBreak/>
        <w:t>Lhůta splatnosti neskončí poplatníkovi dříve než lhůta pro podání ohlášení podle čl. 3 odst. 1 této vyhlášky.</w:t>
      </w:r>
    </w:p>
    <w:p w14:paraId="0200B491" w14:textId="77777777" w:rsidR="001E0E99" w:rsidRDefault="002725A3">
      <w:pPr>
        <w:pStyle w:val="Nadpis2"/>
      </w:pPr>
      <w:r>
        <w:t>Čl. 6</w:t>
      </w:r>
      <w:r>
        <w:br/>
      </w:r>
      <w:r>
        <w:t xml:space="preserve"> Osvobození</w:t>
      </w:r>
    </w:p>
    <w:p w14:paraId="0200B492" w14:textId="77777777" w:rsidR="001E0E99" w:rsidRDefault="002725A3">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200B493" w14:textId="77777777" w:rsidR="001E0E99" w:rsidRDefault="002725A3">
      <w:pPr>
        <w:pStyle w:val="Odstavec"/>
        <w:numPr>
          <w:ilvl w:val="0"/>
          <w:numId w:val="1"/>
        </w:numPr>
      </w:pPr>
      <w:r>
        <w:t>Od poplatku jsou dále osvobozeni poplatníci, kteří převzali psa ze zařízení města Jindřichův Hradec – útulku pro ztracené nebo opuštěné psy, a to v roce převzetí a následující 4 roky.</w:t>
      </w:r>
    </w:p>
    <w:p w14:paraId="0200B494" w14:textId="77777777" w:rsidR="001E0E99" w:rsidRDefault="002725A3">
      <w:pPr>
        <w:pStyle w:val="Odstavec"/>
        <w:numPr>
          <w:ilvl w:val="0"/>
          <w:numId w:val="1"/>
        </w:numPr>
      </w:pPr>
      <w:r>
        <w:t>Od poplatku je osvobozeno město Jindřichův Hradec a organizace, jejichž zřizovatelem nebo zakladatelem je město Jindřichův Hradec.</w:t>
      </w:r>
    </w:p>
    <w:p w14:paraId="0200B495" w14:textId="77777777" w:rsidR="001E0E99" w:rsidRDefault="002725A3">
      <w:pPr>
        <w:pStyle w:val="Odstavec"/>
        <w:numPr>
          <w:ilvl w:val="0"/>
          <w:numId w:val="1"/>
        </w:numPr>
      </w:pPr>
      <w:r>
        <w:t>Úleva ve výši 50 % sazby se poskytuje držitelům psů, kteří chovají psa na pozemku mimo své místo přihlášení.</w:t>
      </w:r>
    </w:p>
    <w:p w14:paraId="0200B496" w14:textId="77777777" w:rsidR="001E0E99" w:rsidRDefault="002725A3">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200B497" w14:textId="77777777" w:rsidR="001E0E99" w:rsidRDefault="002725A3">
      <w:pPr>
        <w:pStyle w:val="Nadpis2"/>
      </w:pPr>
      <w:r>
        <w:t>Čl. 7</w:t>
      </w:r>
      <w:r>
        <w:br/>
      </w:r>
      <w:r>
        <w:t xml:space="preserve"> Přechodné a zrušovací ustanovení</w:t>
      </w:r>
    </w:p>
    <w:p w14:paraId="0200B498" w14:textId="77777777" w:rsidR="001E0E99" w:rsidRDefault="002725A3">
      <w:pPr>
        <w:pStyle w:val="Odstavec"/>
        <w:numPr>
          <w:ilvl w:val="0"/>
          <w:numId w:val="8"/>
        </w:numPr>
      </w:pPr>
      <w:r>
        <w:t>Poplatkové povinnosti vzniklé před nabytím účinnosti této vyhlášky se posuzují podle dosavadních právních předpisů.</w:t>
      </w:r>
    </w:p>
    <w:p w14:paraId="0200B499" w14:textId="77777777" w:rsidR="001E0E99" w:rsidRDefault="002725A3">
      <w:pPr>
        <w:pStyle w:val="Odstavec"/>
        <w:numPr>
          <w:ilvl w:val="0"/>
          <w:numId w:val="1"/>
        </w:numPr>
      </w:pPr>
      <w:r>
        <w:t>Zrušuje se obecně závazná vyhláška č. 2/2019 o místním poplatku ze psů, ze dne 27. listopadu 2019.</w:t>
      </w:r>
    </w:p>
    <w:p w14:paraId="0200B49A" w14:textId="77777777" w:rsidR="001E0E99" w:rsidRDefault="002725A3">
      <w:pPr>
        <w:pStyle w:val="Nadpis2"/>
      </w:pPr>
      <w:r>
        <w:t>Čl. 8</w:t>
      </w:r>
      <w:r>
        <w:br/>
      </w:r>
      <w:r>
        <w:t>Účinnost</w:t>
      </w:r>
    </w:p>
    <w:p w14:paraId="0200B49B" w14:textId="77777777" w:rsidR="001E0E99" w:rsidRDefault="002725A3">
      <w:pPr>
        <w:pStyle w:val="Odstavec"/>
      </w:pPr>
      <w:r>
        <w:t>Tato vyhláška nabývá účinnosti dnem 1. ledna 2024.</w:t>
      </w:r>
    </w:p>
    <w:p w14:paraId="0200B49C" w14:textId="77777777" w:rsidR="001E0E99" w:rsidRDefault="001E0E99">
      <w:pPr>
        <w:pStyle w:val="Odstavec"/>
      </w:pPr>
    </w:p>
    <w:p w14:paraId="0200B49D" w14:textId="77777777" w:rsidR="001E0E99" w:rsidRDefault="001E0E9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E0E99" w14:paraId="0200B4A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00B49E" w14:textId="77777777" w:rsidR="001E0E99" w:rsidRDefault="002725A3">
            <w:pPr>
              <w:pStyle w:val="PodpisovePole"/>
            </w:pPr>
            <w:r>
              <w:t xml:space="preserve">Mgr. </w:t>
            </w:r>
            <w:r>
              <w:t>Ing. Michal Kozár, MBA v. r.</w:t>
            </w:r>
            <w:r>
              <w:br/>
            </w:r>
            <w:r>
              <w:t xml:space="preserve"> starosta</w:t>
            </w:r>
          </w:p>
        </w:tc>
        <w:tc>
          <w:tcPr>
            <w:tcW w:w="4821" w:type="dxa"/>
            <w:shd w:val="clear" w:color="auto" w:fill="auto"/>
            <w:tcMar>
              <w:top w:w="55" w:type="dxa"/>
              <w:left w:w="55" w:type="dxa"/>
              <w:bottom w:w="55" w:type="dxa"/>
              <w:right w:w="55" w:type="dxa"/>
            </w:tcMar>
            <w:vAlign w:val="bottom"/>
          </w:tcPr>
          <w:p w14:paraId="0200B49F" w14:textId="77777777" w:rsidR="001E0E99" w:rsidRDefault="002725A3">
            <w:pPr>
              <w:pStyle w:val="PodpisovePole"/>
            </w:pPr>
            <w:r>
              <w:t>Bc. Radim Staněk v. r.</w:t>
            </w:r>
            <w:r>
              <w:br/>
            </w:r>
            <w:r>
              <w:t xml:space="preserve"> místostarosta</w:t>
            </w:r>
          </w:p>
        </w:tc>
      </w:tr>
      <w:tr w:rsidR="001E0E99" w14:paraId="0200B4A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00B4A1" w14:textId="77777777" w:rsidR="001E0E99" w:rsidRDefault="002725A3">
            <w:pPr>
              <w:pStyle w:val="PodpisovePole"/>
            </w:pPr>
            <w:r>
              <w:t>Ing. Bohumil Komínek v. r.</w:t>
            </w:r>
            <w:r>
              <w:br/>
            </w:r>
            <w:r>
              <w:t xml:space="preserve"> místostarosta</w:t>
            </w:r>
          </w:p>
        </w:tc>
        <w:tc>
          <w:tcPr>
            <w:tcW w:w="4821" w:type="dxa"/>
            <w:shd w:val="clear" w:color="auto" w:fill="auto"/>
            <w:tcMar>
              <w:top w:w="55" w:type="dxa"/>
              <w:left w:w="55" w:type="dxa"/>
              <w:bottom w:w="55" w:type="dxa"/>
              <w:right w:w="55" w:type="dxa"/>
            </w:tcMar>
            <w:vAlign w:val="bottom"/>
          </w:tcPr>
          <w:p w14:paraId="0200B4A2" w14:textId="77777777" w:rsidR="001E0E99" w:rsidRDefault="001E0E99">
            <w:pPr>
              <w:pStyle w:val="PodpisovePole"/>
            </w:pPr>
          </w:p>
        </w:tc>
      </w:tr>
    </w:tbl>
    <w:p w14:paraId="0200B4A4" w14:textId="77777777" w:rsidR="001E0E99" w:rsidRDefault="001E0E99"/>
    <w:sectPr w:rsidR="001E0E99">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B470" w14:textId="77777777" w:rsidR="002725A3" w:rsidRDefault="002725A3">
      <w:r>
        <w:separator/>
      </w:r>
    </w:p>
  </w:endnote>
  <w:endnote w:type="continuationSeparator" w:id="0">
    <w:p w14:paraId="0200B472" w14:textId="77777777" w:rsidR="002725A3" w:rsidRDefault="0027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B474" w14:textId="77777777" w:rsidR="002725A3" w:rsidRDefault="002725A3">
    <w:pPr>
      <w:pStyle w:val="Zpat"/>
      <w:jc w:val="cente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p>
  <w:p w14:paraId="0200B475" w14:textId="77777777" w:rsidR="002725A3" w:rsidRDefault="002725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B46C" w14:textId="77777777" w:rsidR="002725A3" w:rsidRDefault="002725A3">
      <w:r>
        <w:rPr>
          <w:color w:val="000000"/>
        </w:rPr>
        <w:separator/>
      </w:r>
    </w:p>
  </w:footnote>
  <w:footnote w:type="continuationSeparator" w:id="0">
    <w:p w14:paraId="0200B46E" w14:textId="77777777" w:rsidR="002725A3" w:rsidRDefault="002725A3">
      <w:r>
        <w:continuationSeparator/>
      </w:r>
    </w:p>
  </w:footnote>
  <w:footnote w:id="1">
    <w:p w14:paraId="0200B46C" w14:textId="77777777" w:rsidR="001E0E99" w:rsidRDefault="002725A3">
      <w:pPr>
        <w:pStyle w:val="Footnote"/>
      </w:pPr>
      <w:r>
        <w:rPr>
          <w:rStyle w:val="Znakapoznpodarou"/>
        </w:rPr>
        <w:footnoteRef/>
      </w:r>
      <w:r>
        <w:t>§ 2 odst. 5 zákona o místních poplatcích</w:t>
      </w:r>
    </w:p>
  </w:footnote>
  <w:footnote w:id="2">
    <w:p w14:paraId="0200B46D" w14:textId="77777777" w:rsidR="001E0E99" w:rsidRDefault="002725A3">
      <w:pPr>
        <w:pStyle w:val="Footnote"/>
      </w:pPr>
      <w:r>
        <w:rPr>
          <w:rStyle w:val="Znakapoznpodarou"/>
        </w:rPr>
        <w:footnoteRef/>
      </w:r>
      <w:r>
        <w:t>§ 15 odst. 1 zákona o místních poplatcích</w:t>
      </w:r>
    </w:p>
  </w:footnote>
  <w:footnote w:id="3">
    <w:p w14:paraId="0200B46E" w14:textId="77777777" w:rsidR="001E0E99" w:rsidRDefault="002725A3">
      <w:pPr>
        <w:pStyle w:val="Footnote"/>
      </w:pPr>
      <w:r>
        <w:rPr>
          <w:rStyle w:val="Znakapoznpodarou"/>
        </w:rPr>
        <w:footnoteRef/>
      </w:r>
      <w:r>
        <w:t>§ 2 odst. 1 a 4 zákona o místních poplatcích</w:t>
      </w:r>
    </w:p>
  </w:footnote>
  <w:footnote w:id="4">
    <w:p w14:paraId="0200B46F" w14:textId="77777777" w:rsidR="001E0E99" w:rsidRDefault="002725A3">
      <w:pPr>
        <w:pStyle w:val="Footnote"/>
      </w:pPr>
      <w:r>
        <w:rPr>
          <w:rStyle w:val="Znakapoznpodarou"/>
        </w:rPr>
        <w:footnoteRef/>
      </w:r>
      <w:r>
        <w:t xml:space="preserve">§ 2 odst. 2 </w:t>
      </w:r>
      <w:r>
        <w:t>zákona o místních poplatcích</w:t>
      </w:r>
    </w:p>
  </w:footnote>
  <w:footnote w:id="5">
    <w:p w14:paraId="0200B470" w14:textId="77777777" w:rsidR="001E0E99" w:rsidRDefault="002725A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200B471" w14:textId="77777777" w:rsidR="001E0E99" w:rsidRDefault="002725A3">
      <w:pPr>
        <w:pStyle w:val="Footnote"/>
      </w:pPr>
      <w:r>
        <w:rPr>
          <w:rStyle w:val="Znakapoznpodarou"/>
        </w:rPr>
        <w:footnoteRef/>
      </w:r>
      <w:r>
        <w:t>§ 14a odst. 4 zákona o místních poplatcích</w:t>
      </w:r>
    </w:p>
  </w:footnote>
  <w:footnote w:id="7">
    <w:p w14:paraId="0200B472" w14:textId="77777777" w:rsidR="001E0E99" w:rsidRDefault="002725A3">
      <w:pPr>
        <w:pStyle w:val="Footnote"/>
      </w:pPr>
      <w:r>
        <w:rPr>
          <w:rStyle w:val="Znakapoznpodarou"/>
        </w:rPr>
        <w:footnoteRef/>
      </w:r>
      <w:r>
        <w:t>§ 2 odst. 3 zákona o místních poplatcích</w:t>
      </w:r>
    </w:p>
  </w:footnote>
  <w:footnote w:id="8">
    <w:p w14:paraId="0200B473" w14:textId="77777777" w:rsidR="001E0E99" w:rsidRDefault="002725A3">
      <w:pPr>
        <w:pStyle w:val="Footnote"/>
      </w:pPr>
      <w:r>
        <w:rPr>
          <w:rStyle w:val="Znakapoznpodarou"/>
        </w:rPr>
        <w:footnoteRef/>
      </w:r>
      <w:r>
        <w:t>§ 2 odst. 2 zákona o místních poplatcích</w:t>
      </w:r>
    </w:p>
  </w:footnote>
  <w:footnote w:id="9">
    <w:p w14:paraId="0200B474" w14:textId="77777777" w:rsidR="001E0E99" w:rsidRDefault="002725A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869"/>
    <w:multiLevelType w:val="multilevel"/>
    <w:tmpl w:val="63226ECC"/>
    <w:lvl w:ilvl="0">
      <w:numFmt w:val="bullet"/>
      <w:lvlText w:val="-"/>
      <w:lvlJc w:val="left"/>
      <w:pPr>
        <w:ind w:left="1324" w:hanging="360"/>
      </w:pPr>
      <w:rPr>
        <w:rFonts w:ascii="Arial" w:eastAsia="Arial" w:hAnsi="Arial" w:cs="Arial"/>
      </w:rPr>
    </w:lvl>
    <w:lvl w:ilvl="1">
      <w:numFmt w:val="bullet"/>
      <w:lvlText w:val="o"/>
      <w:lvlJc w:val="left"/>
      <w:pPr>
        <w:ind w:left="2044" w:hanging="360"/>
      </w:pPr>
      <w:rPr>
        <w:rFonts w:ascii="Courier New" w:hAnsi="Courier New" w:cs="Courier New"/>
      </w:rPr>
    </w:lvl>
    <w:lvl w:ilvl="2">
      <w:numFmt w:val="bullet"/>
      <w:lvlText w:val=""/>
      <w:lvlJc w:val="left"/>
      <w:pPr>
        <w:ind w:left="2764" w:hanging="360"/>
      </w:pPr>
      <w:rPr>
        <w:rFonts w:ascii="Wingdings" w:hAnsi="Wingdings"/>
      </w:rPr>
    </w:lvl>
    <w:lvl w:ilvl="3">
      <w:numFmt w:val="bullet"/>
      <w:lvlText w:val=""/>
      <w:lvlJc w:val="left"/>
      <w:pPr>
        <w:ind w:left="3484" w:hanging="360"/>
      </w:pPr>
      <w:rPr>
        <w:rFonts w:ascii="Symbol" w:hAnsi="Symbol"/>
      </w:rPr>
    </w:lvl>
    <w:lvl w:ilvl="4">
      <w:numFmt w:val="bullet"/>
      <w:lvlText w:val="o"/>
      <w:lvlJc w:val="left"/>
      <w:pPr>
        <w:ind w:left="4204" w:hanging="360"/>
      </w:pPr>
      <w:rPr>
        <w:rFonts w:ascii="Courier New" w:hAnsi="Courier New" w:cs="Courier New"/>
      </w:rPr>
    </w:lvl>
    <w:lvl w:ilvl="5">
      <w:numFmt w:val="bullet"/>
      <w:lvlText w:val=""/>
      <w:lvlJc w:val="left"/>
      <w:pPr>
        <w:ind w:left="4924" w:hanging="360"/>
      </w:pPr>
      <w:rPr>
        <w:rFonts w:ascii="Wingdings" w:hAnsi="Wingdings"/>
      </w:rPr>
    </w:lvl>
    <w:lvl w:ilvl="6">
      <w:numFmt w:val="bullet"/>
      <w:lvlText w:val=""/>
      <w:lvlJc w:val="left"/>
      <w:pPr>
        <w:ind w:left="5644" w:hanging="360"/>
      </w:pPr>
      <w:rPr>
        <w:rFonts w:ascii="Symbol" w:hAnsi="Symbol"/>
      </w:rPr>
    </w:lvl>
    <w:lvl w:ilvl="7">
      <w:numFmt w:val="bullet"/>
      <w:lvlText w:val="o"/>
      <w:lvlJc w:val="left"/>
      <w:pPr>
        <w:ind w:left="6364" w:hanging="360"/>
      </w:pPr>
      <w:rPr>
        <w:rFonts w:ascii="Courier New" w:hAnsi="Courier New" w:cs="Courier New"/>
      </w:rPr>
    </w:lvl>
    <w:lvl w:ilvl="8">
      <w:numFmt w:val="bullet"/>
      <w:lvlText w:val=""/>
      <w:lvlJc w:val="left"/>
      <w:pPr>
        <w:ind w:left="7084" w:hanging="360"/>
      </w:pPr>
      <w:rPr>
        <w:rFonts w:ascii="Wingdings" w:hAnsi="Wingdings"/>
      </w:rPr>
    </w:lvl>
  </w:abstractNum>
  <w:abstractNum w:abstractNumId="1" w15:restartNumberingAfterBreak="0">
    <w:nsid w:val="30934175"/>
    <w:multiLevelType w:val="multilevel"/>
    <w:tmpl w:val="EDC8C5A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68357794">
    <w:abstractNumId w:val="1"/>
  </w:num>
  <w:num w:numId="2" w16cid:durableId="133329631">
    <w:abstractNumId w:val="1"/>
    <w:lvlOverride w:ilvl="0">
      <w:startOverride w:val="1"/>
    </w:lvlOverride>
  </w:num>
  <w:num w:numId="3" w16cid:durableId="1421105032">
    <w:abstractNumId w:val="1"/>
    <w:lvlOverride w:ilvl="0">
      <w:startOverride w:val="1"/>
    </w:lvlOverride>
  </w:num>
  <w:num w:numId="4" w16cid:durableId="801076209">
    <w:abstractNumId w:val="1"/>
    <w:lvlOverride w:ilvl="0">
      <w:startOverride w:val="1"/>
    </w:lvlOverride>
  </w:num>
  <w:num w:numId="5" w16cid:durableId="1933396209">
    <w:abstractNumId w:val="0"/>
  </w:num>
  <w:num w:numId="6" w16cid:durableId="2082635033">
    <w:abstractNumId w:val="1"/>
    <w:lvlOverride w:ilvl="0">
      <w:startOverride w:val="1"/>
    </w:lvlOverride>
  </w:num>
  <w:num w:numId="7" w16cid:durableId="33315280">
    <w:abstractNumId w:val="1"/>
    <w:lvlOverride w:ilvl="0">
      <w:startOverride w:val="1"/>
    </w:lvlOverride>
  </w:num>
  <w:num w:numId="8" w16cid:durableId="3285986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0E99"/>
    <w:rsid w:val="001E0E99"/>
    <w:rsid w:val="00272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B46C"/>
  <w15:docId w15:val="{5340F771-B81E-4992-9AF9-B72435C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4656</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Fleišmanová, Alena</dc:creator>
  <cp:lastModifiedBy>Kopáčková, Kateřina</cp:lastModifiedBy>
  <cp:revision>2</cp:revision>
  <cp:lastPrinted>2023-10-24T11:21:00Z</cp:lastPrinted>
  <dcterms:created xsi:type="dcterms:W3CDTF">2023-11-23T09:19:00Z</dcterms:created>
  <dcterms:modified xsi:type="dcterms:W3CDTF">2023-11-23T09:19:00Z</dcterms:modified>
</cp:coreProperties>
</file>