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lang w:val="it-IT"/>
        </w:rPr>
      </w:pPr>
      <w:r>
        <w:drawing>
          <wp:anchor behindDoc="1" distT="0" distB="0" distL="0" distR="0" simplePos="0" locked="0" layoutInCell="1" allowOverlap="0" relativeHeight="2">
            <wp:simplePos x="0" y="0"/>
            <wp:positionH relativeFrom="column">
              <wp:posOffset>-243205</wp:posOffset>
            </wp:positionH>
            <wp:positionV relativeFrom="line">
              <wp:posOffset>-21590</wp:posOffset>
            </wp:positionV>
            <wp:extent cx="615950" cy="723265"/>
            <wp:effectExtent l="0" t="0" r="0" b="0"/>
            <wp:wrapNone/>
            <wp:docPr id="1" name="Obrázek 4" descr="2006050321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20060503213519"/>
                    <pic:cNvPicPr>
                      <a:picLocks noChangeAspect="1" noChangeArrowheads="1"/>
                    </pic:cNvPicPr>
                  </pic:nvPicPr>
                  <pic:blipFill>
                    <a:blip r:embed="rId2"/>
                    <a:stretch>
                      <a:fillRect/>
                    </a:stretch>
                  </pic:blipFill>
                  <pic:spPr bwMode="auto">
                    <a:xfrm>
                      <a:off x="0" y="0"/>
                      <a:ext cx="615950" cy="723265"/>
                    </a:xfrm>
                    <a:prstGeom prst="rect">
                      <a:avLst/>
                    </a:prstGeom>
                  </pic:spPr>
                </pic:pic>
              </a:graphicData>
            </a:graphic>
          </wp:anchor>
        </w:drawing>
      </w:r>
      <w:r>
        <w:rPr>
          <w:b/>
          <w:sz w:val="32"/>
        </w:rPr>
        <w:t>OBEC  MÁSLOVICE</w:t>
        <w:br/>
      </w:r>
      <w:r>
        <w:rPr>
          <w:rFonts w:cs="Calibri"/>
        </w:rPr>
        <w:t>sídlo: Obecní úřad Máslovice, Pražská 18, 250 69  Vodochody, okres Praha – východ</w:t>
        <w:br/>
        <w:t>IČ: 00240443, bankovní spojení: ČSOB, Poštovní spořitelna, č.ú: 125257600/0300</w:t>
        <w:br/>
      </w:r>
      <w:r>
        <w:rPr>
          <w:rFonts w:cs="Calibri"/>
          <w:lang w:val="it-IT"/>
        </w:rPr>
        <w:t>________________________________________________________________</w:t>
      </w:r>
    </w:p>
    <w:p>
      <w:pPr>
        <w:pStyle w:val="ZkladntextIMP"/>
        <w:spacing w:lineRule="auto" w:line="240"/>
        <w:jc w:val="center"/>
        <w:rPr>
          <w:rFonts w:ascii="Calibri" w:hAnsi="Calibri" w:cs="Calibri" w:asciiTheme="minorHAnsi" w:cstheme="minorHAnsi" w:hAnsiTheme="minorHAnsi"/>
          <w:sz w:val="28"/>
        </w:rPr>
      </w:pPr>
      <w:r>
        <w:rPr>
          <w:rFonts w:cs="Calibri" w:ascii="Calibri" w:hAnsi="Calibri" w:asciiTheme="minorHAnsi" w:cstheme="minorHAnsi" w:hAnsiTheme="minorHAnsi"/>
          <w:sz w:val="28"/>
        </w:rPr>
        <w:t>ZASTUPITELSTVO OBCE</w:t>
      </w:r>
    </w:p>
    <w:p>
      <w:pPr>
        <w:pStyle w:val="ZkladntextIMP"/>
        <w:spacing w:lineRule="auto" w:line="240"/>
        <w:jc w:val="center"/>
        <w:rPr>
          <w:rFonts w:ascii="Calibri" w:hAnsi="Calibri" w:cs="Calibri" w:asciiTheme="minorHAnsi" w:cstheme="minorHAnsi" w:hAnsiTheme="minorHAnsi"/>
          <w:b/>
          <w:sz w:val="28"/>
        </w:rPr>
      </w:pPr>
      <w:r>
        <w:rPr>
          <w:rFonts w:cs="Calibri" w:cstheme="minorHAnsi" w:ascii="Calibri" w:hAnsi="Calibri"/>
          <w:b/>
          <w:sz w:val="28"/>
        </w:rPr>
      </w:r>
    </w:p>
    <w:p>
      <w:pPr>
        <w:pStyle w:val="ZkladntextIMP"/>
        <w:spacing w:lineRule="auto" w:line="240"/>
        <w:jc w:val="center"/>
        <w:rPr>
          <w:rFonts w:ascii="Calibri" w:hAnsi="Calibri" w:cs="Calibri" w:asciiTheme="minorHAnsi" w:cstheme="minorHAnsi" w:hAnsiTheme="minorHAnsi"/>
          <w:b/>
          <w:sz w:val="28"/>
        </w:rPr>
      </w:pPr>
      <w:r>
        <w:rPr>
          <w:rFonts w:cs="Calibri" w:cstheme="minorHAnsi" w:ascii="Calibri" w:hAnsi="Calibri"/>
          <w:b/>
          <w:sz w:val="28"/>
        </w:rPr>
      </w:r>
    </w:p>
    <w:p>
      <w:pPr>
        <w:pStyle w:val="ZkladntextIMP"/>
        <w:spacing w:lineRule="auto" w:line="240"/>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Obecně</w:t>
      </w:r>
      <w:r>
        <w:rPr>
          <w:rFonts w:cs="Calibri" w:ascii="Calibri" w:hAnsi="Calibri" w:asciiTheme="minorHAnsi" w:cstheme="minorHAnsi" w:hAnsiTheme="minorHAnsi"/>
          <w:b/>
          <w:sz w:val="36"/>
        </w:rPr>
        <w:t xml:space="preserve"> </w:t>
      </w:r>
      <w:r>
        <w:rPr>
          <w:rFonts w:cs="Calibri" w:ascii="Calibri" w:hAnsi="Calibri" w:asciiTheme="minorHAnsi" w:cstheme="minorHAnsi" w:hAnsiTheme="minorHAnsi"/>
          <w:b/>
          <w:sz w:val="28"/>
        </w:rPr>
        <w:t xml:space="preserve">závazná vyhláška </w:t>
      </w:r>
    </w:p>
    <w:p>
      <w:pPr>
        <w:pStyle w:val="ZkladntextIMP"/>
        <w:spacing w:lineRule="auto" w:line="240"/>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obce Máslovice</w:t>
      </w:r>
    </w:p>
    <w:p>
      <w:pPr>
        <w:pStyle w:val="ZkladntextIMP"/>
        <w:spacing w:lineRule="auto" w:line="240" w:before="0" w:after="60"/>
        <w:jc w:val="center"/>
        <w:rPr>
          <w:rFonts w:ascii="Calibri" w:hAnsi="Calibri" w:cs="Calibri" w:asciiTheme="minorHAnsi" w:cstheme="minorHAnsi" w:hAnsiTheme="minorHAnsi"/>
          <w:b/>
        </w:rPr>
      </w:pPr>
      <w:r>
        <w:rPr>
          <w:rFonts w:cs="Calibri" w:cstheme="minorHAnsi" w:ascii="Calibri" w:hAnsi="Calibri"/>
          <w:b/>
        </w:rPr>
      </w:r>
    </w:p>
    <w:p>
      <w:pPr>
        <w:pStyle w:val="NormlnIMP"/>
        <w:spacing w:lineRule="auto" w:line="240"/>
        <w:jc w:val="center"/>
        <w:rPr>
          <w:rFonts w:ascii="Calibri" w:hAnsi="Calibri" w:cs="Calibri" w:asciiTheme="minorHAnsi" w:cstheme="minorHAnsi" w:hAnsiTheme="minorHAnsi"/>
          <w:b/>
          <w:color w:val="000000"/>
          <w:sz w:val="28"/>
          <w:szCs w:val="28"/>
        </w:rPr>
      </w:pPr>
      <w:r>
        <w:rPr>
          <w:rFonts w:cs="Calibri" w:ascii="Calibri" w:hAnsi="Calibri" w:asciiTheme="minorHAnsi" w:cstheme="minorHAnsi" w:hAnsiTheme="minorHAnsi"/>
          <w:b/>
          <w:color w:val="000000"/>
          <w:sz w:val="28"/>
          <w:szCs w:val="28"/>
        </w:rPr>
        <w:t xml:space="preserve">o </w:t>
      </w:r>
      <w:r>
        <w:rPr>
          <w:rFonts w:cs="Calibri" w:ascii="Calibri" w:hAnsi="Calibri" w:asciiTheme="minorHAnsi" w:cstheme="minorHAnsi" w:hAnsiTheme="minorHAnsi"/>
          <w:b/>
          <w:sz w:val="28"/>
          <w:szCs w:val="28"/>
        </w:rPr>
        <w:t>místním poplatku za odkládání komunálního odpadu z nemovité věci</w:t>
      </w:r>
    </w:p>
    <w:p>
      <w:pPr>
        <w:pStyle w:val="ZkladntextIMP"/>
        <w:spacing w:lineRule="auto" w:line="24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ZkladntextIMP"/>
        <w:spacing w:lineRule="auto" w:line="240"/>
        <w:jc w:val="both"/>
        <w:rPr>
          <w:rFonts w:ascii="Calibri" w:hAnsi="Calibri" w:cs="Calibri"/>
          <w:sz w:val="22"/>
          <w:szCs w:val="22"/>
        </w:rPr>
      </w:pPr>
      <w:r>
        <w:rPr>
          <w:rFonts w:cs="Calibri" w:ascii="Calibri" w:hAnsi="Calibri"/>
          <w:sz w:val="22"/>
          <w:szCs w:val="22"/>
        </w:rPr>
      </w:r>
    </w:p>
    <w:p>
      <w:pPr>
        <w:pStyle w:val="ZkladntextIMP"/>
        <w:spacing w:lineRule="auto" w:line="240"/>
        <w:jc w:val="both"/>
        <w:rPr>
          <w:rFonts w:ascii="Calibri" w:hAnsi="Calibri" w:cs="Calibri"/>
          <w:sz w:val="22"/>
          <w:szCs w:val="22"/>
        </w:rPr>
      </w:pPr>
      <w:r>
        <w:rPr>
          <w:rFonts w:cs="Calibri" w:ascii="Calibri" w:hAnsi="Calibri"/>
          <w:sz w:val="22"/>
          <w:szCs w:val="22"/>
        </w:rPr>
        <w:t>Zastupitelstvo obce Máslovice schvaluje a vydává dne 12. 12. 2023 usnesením č. 7/8/23 v souladu s ust. § 10 písm. d), § 35 a § 84 odst. 2) písm. h) zákona č. 128/2000 Sb., o obcích (obecní zřízení), ve znění pozdějších předpisů, a s ust. § 14 zákona č. 565/1990 Sb., o místních poplatcích, ve znění pozdějších předpisů, tuto obecně závaznou vyhlášku o místním poplatku za odkládání komunálního odpadu z nemovité</w:t>
      </w:r>
      <w:r>
        <w:rPr>
          <w:rStyle w:val="FootnoteCharacters"/>
          <w:rFonts w:cs="Calibri" w:ascii="Calibri" w:hAnsi="Calibri"/>
          <w:sz w:val="22"/>
          <w:szCs w:val="22"/>
        </w:rPr>
        <w:t xml:space="preserve"> </w:t>
      </w:r>
      <w:r>
        <w:rPr>
          <w:rFonts w:cs="Calibri" w:ascii="Calibri" w:hAnsi="Calibri"/>
          <w:sz w:val="22"/>
          <w:szCs w:val="22"/>
        </w:rPr>
        <w:t>věci:</w:t>
      </w:r>
    </w:p>
    <w:p>
      <w:pPr>
        <w:pStyle w:val="ZkladntextIMP"/>
        <w:numPr>
          <w:ilvl w:val="0"/>
          <w:numId w:val="0"/>
        </w:numPr>
        <w:spacing w:lineRule="auto" w:line="240"/>
        <w:jc w:val="center"/>
        <w:outlineLvl w:val="0"/>
        <w:rPr>
          <w:rFonts w:ascii="Calibri" w:hAnsi="Calibri" w:cs="Calibri"/>
          <w:b/>
          <w:sz w:val="22"/>
          <w:szCs w:val="22"/>
        </w:rPr>
      </w:pPr>
      <w:r>
        <w:rPr>
          <w:rFonts w:cs="Calibri" w:ascii="Calibri" w:hAnsi="Calibri"/>
          <w:b/>
          <w:sz w:val="22"/>
          <w:szCs w:val="22"/>
        </w:rPr>
      </w:r>
    </w:p>
    <w:p>
      <w:pPr>
        <w:pStyle w:val="ZkladntextIMP"/>
        <w:numPr>
          <w:ilvl w:val="0"/>
          <w:numId w:val="0"/>
        </w:numPr>
        <w:spacing w:lineRule="auto" w:line="240"/>
        <w:jc w:val="center"/>
        <w:outlineLvl w:val="0"/>
        <w:rPr>
          <w:rFonts w:ascii="Calibri" w:hAnsi="Calibri" w:cs="Calibri"/>
          <w:b/>
          <w:sz w:val="22"/>
          <w:szCs w:val="22"/>
        </w:rPr>
      </w:pPr>
      <w:r>
        <w:rPr>
          <w:rFonts w:cs="Calibri" w:ascii="Calibri" w:hAnsi="Calibri"/>
          <w:b/>
          <w:sz w:val="22"/>
          <w:szCs w:val="22"/>
        </w:rPr>
        <w:t>Čl. 1</w:t>
      </w:r>
    </w:p>
    <w:p>
      <w:pPr>
        <w:pStyle w:val="ZkladntextIMP"/>
        <w:spacing w:lineRule="auto" w:line="240" w:before="0" w:after="120"/>
        <w:jc w:val="center"/>
        <w:rPr>
          <w:rFonts w:ascii="Calibri" w:hAnsi="Calibri" w:cs="Calibri"/>
          <w:b/>
          <w:sz w:val="22"/>
          <w:szCs w:val="22"/>
        </w:rPr>
      </w:pPr>
      <w:r>
        <w:rPr>
          <w:rFonts w:cs="Calibri" w:ascii="Calibri" w:hAnsi="Calibri"/>
          <w:b/>
          <w:sz w:val="22"/>
          <w:szCs w:val="22"/>
        </w:rPr>
        <w:t>Základní ustanovení</w:t>
      </w:r>
    </w:p>
    <w:p>
      <w:pPr>
        <w:pStyle w:val="Seznamoslovan"/>
        <w:numPr>
          <w:ilvl w:val="0"/>
          <w:numId w:val="6"/>
        </w:numPr>
        <w:spacing w:lineRule="auto" w:line="240" w:before="0" w:after="120"/>
        <w:textAlignment w:val="auto"/>
        <w:rPr>
          <w:rFonts w:ascii="Calibri" w:hAnsi="Calibri" w:cs="Calibri"/>
          <w:sz w:val="22"/>
          <w:szCs w:val="22"/>
        </w:rPr>
      </w:pPr>
      <w:r>
        <w:rPr>
          <w:rFonts w:cs="Calibri" w:ascii="Calibri" w:hAnsi="Calibri"/>
          <w:sz w:val="22"/>
          <w:szCs w:val="22"/>
        </w:rPr>
        <w:t>Obec Máslovice (dále jen „obec“) zavádí místní poplatek za odkládání komunálního odpadu z nemovité</w:t>
      </w:r>
      <w:r>
        <w:rPr>
          <w:rStyle w:val="FootnoteCharacters"/>
          <w:rFonts w:cs="Calibri" w:ascii="Calibri" w:hAnsi="Calibri"/>
          <w:sz w:val="22"/>
          <w:szCs w:val="22"/>
        </w:rPr>
        <w:t xml:space="preserve"> </w:t>
      </w:r>
      <w:r>
        <w:rPr>
          <w:rFonts w:cs="Calibri" w:ascii="Calibri" w:hAnsi="Calibri"/>
          <w:sz w:val="22"/>
          <w:szCs w:val="22"/>
        </w:rPr>
        <w:t>věci</w:t>
      </w:r>
      <w:r>
        <w:rPr>
          <w:rStyle w:val="FootnoteReference"/>
          <w:rFonts w:cs="Calibri" w:ascii="Calibri" w:hAnsi="Calibri"/>
          <w:sz w:val="22"/>
          <w:szCs w:val="22"/>
        </w:rPr>
        <w:footnoteReference w:id="2"/>
      </w:r>
      <w:r>
        <w:rPr>
          <w:rFonts w:cs="Calibri" w:ascii="Calibri" w:hAnsi="Calibri"/>
          <w:sz w:val="22"/>
          <w:szCs w:val="22"/>
        </w:rPr>
        <w:t xml:space="preserve"> (dále jen „poplatek“).</w:t>
      </w:r>
    </w:p>
    <w:p>
      <w:pPr>
        <w:pStyle w:val="Seznamoslovan"/>
        <w:numPr>
          <w:ilvl w:val="0"/>
          <w:numId w:val="6"/>
        </w:numPr>
        <w:spacing w:lineRule="auto" w:line="240" w:before="0" w:after="120"/>
        <w:textAlignment w:val="auto"/>
        <w:rPr>
          <w:rFonts w:ascii="Calibri" w:hAnsi="Calibri" w:cs="Calibri"/>
          <w:sz w:val="22"/>
          <w:szCs w:val="22"/>
        </w:rPr>
      </w:pPr>
      <w:r>
        <w:rPr>
          <w:rFonts w:cs="Calibri" w:ascii="Calibri" w:hAnsi="Calibri"/>
          <w:sz w:val="22"/>
          <w:szCs w:val="22"/>
        </w:rPr>
        <w:t>Správcem poplatku je Obecní úřad Máslovice</w:t>
      </w:r>
      <w:r>
        <w:rPr>
          <w:rStyle w:val="FootnoteReference"/>
          <w:rFonts w:cs="Calibri" w:ascii="Calibri" w:hAnsi="Calibri"/>
          <w:sz w:val="22"/>
          <w:szCs w:val="22"/>
        </w:rPr>
        <w:footnoteReference w:id="3"/>
      </w:r>
      <w:r>
        <w:rPr>
          <w:rFonts w:cs="Calibri" w:ascii="Calibri" w:hAnsi="Calibri"/>
          <w:sz w:val="22"/>
          <w:szCs w:val="22"/>
        </w:rPr>
        <w:t>.</w:t>
      </w:r>
    </w:p>
    <w:p>
      <w:pPr>
        <w:pStyle w:val="ZkladntextIMP"/>
        <w:spacing w:lineRule="auto" w:line="240"/>
        <w:jc w:val="center"/>
        <w:rPr>
          <w:rFonts w:ascii="Calibri" w:hAnsi="Calibri" w:cs="Calibri"/>
          <w:b/>
          <w:sz w:val="22"/>
          <w:szCs w:val="22"/>
        </w:rPr>
      </w:pPr>
      <w:r>
        <w:rPr>
          <w:rFonts w:cs="Calibri" w:ascii="Calibri" w:hAnsi="Calibri"/>
          <w:b/>
          <w:sz w:val="22"/>
          <w:szCs w:val="22"/>
        </w:rPr>
      </w:r>
    </w:p>
    <w:p>
      <w:pPr>
        <w:pStyle w:val="ZkladntextIMP"/>
        <w:spacing w:lineRule="auto" w:line="240"/>
        <w:jc w:val="center"/>
        <w:rPr>
          <w:rFonts w:ascii="Calibri" w:hAnsi="Calibri" w:cs="Calibri"/>
          <w:b/>
          <w:sz w:val="22"/>
          <w:szCs w:val="22"/>
        </w:rPr>
      </w:pPr>
      <w:r>
        <w:rPr>
          <w:rFonts w:cs="Calibri" w:ascii="Calibri" w:hAnsi="Calibri"/>
          <w:b/>
          <w:sz w:val="22"/>
          <w:szCs w:val="22"/>
        </w:rPr>
        <w:t>Čl. 2</w:t>
      </w:r>
    </w:p>
    <w:p>
      <w:pPr>
        <w:pStyle w:val="Normal"/>
        <w:spacing w:lineRule="auto" w:line="240" w:before="0" w:after="120"/>
        <w:jc w:val="center"/>
        <w:rPr>
          <w:rFonts w:ascii="Calibri" w:hAnsi="Calibri" w:cs="Calibri"/>
          <w:b/>
        </w:rPr>
      </w:pPr>
      <w:r>
        <w:rPr>
          <w:rFonts w:cs="Calibri"/>
          <w:b/>
        </w:rPr>
        <w:t>Předmět poplatku, poplatník a plátce</w:t>
      </w:r>
    </w:p>
    <w:p>
      <w:pPr>
        <w:pStyle w:val="NormalWeb"/>
        <w:numPr>
          <w:ilvl w:val="0"/>
          <w:numId w:val="3"/>
        </w:numPr>
        <w:spacing w:beforeAutospacing="0" w:before="0" w:afterAutospacing="0" w:after="0"/>
        <w:ind w:hanging="357" w:left="363"/>
        <w:jc w:val="both"/>
        <w:rPr>
          <w:rFonts w:ascii="Calibri" w:hAnsi="Calibri" w:cs="Calibri"/>
          <w:sz w:val="22"/>
          <w:szCs w:val="22"/>
        </w:rPr>
      </w:pPr>
      <w:r>
        <w:rPr>
          <w:rFonts w:cs="Calibri" w:ascii="Calibri" w:hAnsi="Calibri"/>
          <w:sz w:val="22"/>
          <w:szCs w:val="22"/>
        </w:rPr>
        <w:t>Předmětem poplatku</w:t>
      </w:r>
      <w:r>
        <w:rPr>
          <w:rStyle w:val="FootnoteReference"/>
          <w:rFonts w:cs="Calibri" w:ascii="Calibri" w:hAnsi="Calibri"/>
          <w:sz w:val="22"/>
          <w:szCs w:val="22"/>
        </w:rPr>
        <w:footnoteReference w:id="4"/>
      </w:r>
      <w:r>
        <w:rPr>
          <w:rFonts w:cs="Calibri" w:ascii="Calibri" w:hAnsi="Calibri"/>
          <w:sz w:val="22"/>
          <w:szCs w:val="22"/>
        </w:rPr>
        <w:t xml:space="preserve"> je</w:t>
      </w:r>
      <w:r>
        <w:rPr>
          <w:rFonts w:cs="Calibri" w:ascii="Calibri" w:hAnsi="Calibri"/>
          <w:sz w:val="22"/>
          <w:szCs w:val="22"/>
          <w:shd w:fill="FFFFFF" w:val="clear"/>
        </w:rPr>
        <w:t xml:space="preserve"> odkládání směsného komunálního odpadu z jednotlivé nemovité věci zahrnující byt, rodinný dům nebo stavbu pro rodinnou rekreaci, která se nachází na území obce (dále jen „nemovitá věc“).</w:t>
      </w:r>
    </w:p>
    <w:p>
      <w:pPr>
        <w:pStyle w:val="NormalWeb"/>
        <w:numPr>
          <w:ilvl w:val="0"/>
          <w:numId w:val="3"/>
        </w:numPr>
        <w:spacing w:beforeAutospacing="0" w:before="0" w:afterAutospacing="0" w:after="0"/>
        <w:ind w:hanging="357" w:left="360"/>
        <w:jc w:val="both"/>
        <w:rPr>
          <w:rFonts w:ascii="Calibri" w:hAnsi="Calibri" w:cs="Calibri"/>
          <w:sz w:val="22"/>
          <w:szCs w:val="22"/>
        </w:rPr>
      </w:pPr>
      <w:r>
        <w:rPr>
          <w:rFonts w:cs="Calibri" w:ascii="Calibri" w:hAnsi="Calibri"/>
          <w:sz w:val="22"/>
          <w:szCs w:val="22"/>
        </w:rPr>
        <w:t>Poplatníkem poplatku</w:t>
      </w:r>
      <w:r>
        <w:rPr>
          <w:rStyle w:val="FootnoteReference"/>
          <w:rFonts w:cs="Calibri" w:ascii="Calibri" w:hAnsi="Calibri"/>
          <w:sz w:val="22"/>
          <w:szCs w:val="22"/>
        </w:rPr>
        <w:footnoteReference w:id="5"/>
      </w:r>
      <w:r>
        <w:rPr>
          <w:rFonts w:cs="Calibri" w:ascii="Calibri" w:hAnsi="Calibri"/>
          <w:sz w:val="22"/>
          <w:szCs w:val="22"/>
        </w:rPr>
        <w:t xml:space="preserve"> je:</w:t>
      </w:r>
    </w:p>
    <w:p>
      <w:pPr>
        <w:pStyle w:val="NormalWeb"/>
        <w:numPr>
          <w:ilvl w:val="1"/>
          <w:numId w:val="4"/>
        </w:numPr>
        <w:spacing w:beforeAutospacing="0" w:before="0" w:afterAutospacing="0" w:after="0"/>
        <w:ind w:hanging="357" w:left="1134"/>
        <w:jc w:val="both"/>
        <w:rPr>
          <w:rFonts w:ascii="Calibri" w:hAnsi="Calibri" w:cs="Calibri"/>
          <w:sz w:val="22"/>
          <w:szCs w:val="22"/>
        </w:rPr>
      </w:pPr>
      <w:r>
        <w:rPr>
          <w:rStyle w:val="s31"/>
          <w:rFonts w:cs="Calibri" w:ascii="Calibri" w:hAnsi="Calibri"/>
          <w:sz w:val="22"/>
          <w:szCs w:val="22"/>
          <w:shd w:fill="FFFFFF" w:val="clear"/>
        </w:rPr>
        <w:t xml:space="preserve">fyzická osoba, která má v nemovité věci bydliště, </w:t>
      </w:r>
    </w:p>
    <w:p>
      <w:pPr>
        <w:pStyle w:val="NormalWeb"/>
        <w:numPr>
          <w:ilvl w:val="1"/>
          <w:numId w:val="4"/>
        </w:numPr>
        <w:spacing w:beforeAutospacing="0" w:before="0" w:afterAutospacing="0" w:after="120"/>
        <w:ind w:hanging="357" w:left="1134"/>
        <w:jc w:val="both"/>
        <w:rPr>
          <w:rFonts w:ascii="Calibri" w:hAnsi="Calibri" w:cs="Calibri"/>
          <w:sz w:val="22"/>
          <w:szCs w:val="22"/>
        </w:rPr>
      </w:pPr>
      <w:r>
        <w:rPr>
          <w:rStyle w:val="s31"/>
          <w:rFonts w:cs="Calibri" w:ascii="Calibri" w:hAnsi="Calibri"/>
          <w:sz w:val="22"/>
          <w:szCs w:val="22"/>
          <w:shd w:fill="FFFFFF" w:val="clear"/>
        </w:rPr>
        <w:t>vlastník nemovité věci, ve které nemá bydliště žádná fyzická osoba.</w:t>
      </w:r>
    </w:p>
    <w:p>
      <w:pPr>
        <w:pStyle w:val="NormalWeb"/>
        <w:numPr>
          <w:ilvl w:val="0"/>
          <w:numId w:val="3"/>
        </w:numPr>
        <w:spacing w:beforeAutospacing="0" w:before="0" w:afterAutospacing="0" w:after="0"/>
        <w:ind w:hanging="357" w:left="360"/>
        <w:jc w:val="both"/>
        <w:rPr>
          <w:rFonts w:ascii="Calibri" w:hAnsi="Calibri" w:cs="Calibri"/>
          <w:sz w:val="22"/>
          <w:szCs w:val="22"/>
        </w:rPr>
      </w:pPr>
      <w:r>
        <w:rPr>
          <w:rFonts w:cs="Calibri" w:ascii="Calibri" w:hAnsi="Calibri"/>
          <w:sz w:val="22"/>
          <w:szCs w:val="22"/>
        </w:rPr>
        <w:t>Plátcem poplatku</w:t>
      </w:r>
      <w:r>
        <w:rPr>
          <w:rStyle w:val="FootnoteReference"/>
          <w:rFonts w:cs="Calibri" w:ascii="Calibri" w:hAnsi="Calibri"/>
          <w:sz w:val="22"/>
          <w:szCs w:val="22"/>
        </w:rPr>
        <w:footnoteReference w:id="6"/>
      </w:r>
      <w:r>
        <w:rPr>
          <w:rFonts w:cs="Calibri" w:ascii="Calibri" w:hAnsi="Calibri"/>
          <w:sz w:val="22"/>
          <w:szCs w:val="22"/>
        </w:rPr>
        <w:t xml:space="preserve"> je: </w:t>
      </w:r>
    </w:p>
    <w:p>
      <w:pPr>
        <w:pStyle w:val="NormalWeb"/>
        <w:numPr>
          <w:ilvl w:val="1"/>
          <w:numId w:val="4"/>
        </w:numPr>
        <w:spacing w:beforeAutospacing="0" w:before="0" w:afterAutospacing="0" w:after="0"/>
        <w:ind w:hanging="357" w:left="1134"/>
        <w:jc w:val="both"/>
        <w:rPr>
          <w:rStyle w:val="s31"/>
          <w:rFonts w:ascii="Calibri" w:hAnsi="Calibri" w:cs="Calibri"/>
          <w:sz w:val="22"/>
          <w:szCs w:val="22"/>
        </w:rPr>
      </w:pPr>
      <w:r>
        <w:rPr>
          <w:rStyle w:val="s31"/>
          <w:rFonts w:cs="Calibri" w:ascii="Calibri" w:hAnsi="Calibri"/>
          <w:sz w:val="22"/>
          <w:szCs w:val="22"/>
          <w:shd w:fill="FFFFFF" w:val="clear"/>
        </w:rPr>
        <w:t>společenství vlastníků jednotek, pokud pro dům vzniklo,</w:t>
      </w:r>
    </w:p>
    <w:p>
      <w:pPr>
        <w:pStyle w:val="NormalWeb"/>
        <w:numPr>
          <w:ilvl w:val="1"/>
          <w:numId w:val="4"/>
        </w:numPr>
        <w:spacing w:beforeAutospacing="0" w:before="0" w:afterAutospacing="0" w:after="120"/>
        <w:ind w:hanging="357" w:left="1134"/>
        <w:jc w:val="both"/>
        <w:rPr>
          <w:rStyle w:val="s31"/>
          <w:rFonts w:ascii="Calibri" w:hAnsi="Calibri" w:cs="Calibri"/>
          <w:sz w:val="22"/>
          <w:szCs w:val="22"/>
        </w:rPr>
      </w:pPr>
      <w:r>
        <w:rPr>
          <w:rStyle w:val="s31"/>
          <w:rFonts w:cs="Calibri" w:ascii="Calibri" w:hAnsi="Calibri"/>
          <w:sz w:val="22"/>
          <w:szCs w:val="22"/>
          <w:shd w:fill="FFFFFF" w:val="clear"/>
        </w:rPr>
        <w:t>vlastník nemovité věci v ostatních případech.</w:t>
      </w:r>
    </w:p>
    <w:p>
      <w:pPr>
        <w:pStyle w:val="NormalWeb"/>
        <w:numPr>
          <w:ilvl w:val="0"/>
          <w:numId w:val="3"/>
        </w:numPr>
        <w:spacing w:beforeAutospacing="0" w:before="0" w:afterAutospacing="0" w:after="120"/>
        <w:jc w:val="both"/>
        <w:rPr>
          <w:rFonts w:ascii="Calibri" w:hAnsi="Calibri" w:cs="Calibri"/>
          <w:sz w:val="22"/>
          <w:szCs w:val="22"/>
        </w:rPr>
      </w:pPr>
      <w:r>
        <w:rPr>
          <w:rFonts w:cs="Calibri" w:ascii="Calibri" w:hAnsi="Calibri"/>
          <w:sz w:val="22"/>
          <w:szCs w:val="22"/>
        </w:rPr>
        <w:t xml:space="preserve">Plátce poplatku </w:t>
      </w:r>
      <w:r>
        <w:rPr>
          <w:rFonts w:cs="Calibri" w:ascii="Calibri" w:hAnsi="Calibri"/>
          <w:sz w:val="22"/>
          <w:szCs w:val="22"/>
          <w:shd w:fill="FFFFFF" w:val="clear"/>
        </w:rPr>
        <w:t>je povinen vybrat poplatek od poplatníka</w:t>
      </w:r>
      <w:r>
        <w:rPr>
          <w:rStyle w:val="FootnoteReference"/>
          <w:rFonts w:cs="Calibri" w:ascii="Calibri" w:hAnsi="Calibri"/>
          <w:sz w:val="22"/>
          <w:szCs w:val="22"/>
        </w:rPr>
        <w:footnoteReference w:id="7"/>
      </w:r>
      <w:r>
        <w:rPr>
          <w:rFonts w:cs="Calibri" w:ascii="Calibri" w:hAnsi="Calibri"/>
          <w:sz w:val="22"/>
          <w:szCs w:val="22"/>
        </w:rPr>
        <w:t>.</w:t>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3</w:t>
        <w:br/>
        <w:t>Ohlašovací povinnost</w:t>
      </w:r>
    </w:p>
    <w:p>
      <w:pPr>
        <w:pStyle w:val="Seznamoslovan"/>
        <w:numPr>
          <w:ilvl w:val="0"/>
          <w:numId w:val="2"/>
        </w:numPr>
        <w:spacing w:lineRule="auto" w:line="240" w:before="0" w:after="113"/>
        <w:rPr>
          <w:rFonts w:ascii="Calibri" w:hAnsi="Calibri" w:cs="Calibri"/>
          <w:sz w:val="22"/>
          <w:szCs w:val="22"/>
        </w:rPr>
      </w:pPr>
      <w:r>
        <w:rPr>
          <w:rFonts w:cs="Calibri" w:ascii="Calibri" w:hAnsi="Calibri"/>
          <w:sz w:val="22"/>
          <w:szCs w:val="22"/>
        </w:rPr>
        <w:t>Plátce poplatku je povinen podat správci poplatku ohlášení</w:t>
      </w:r>
      <w:r>
        <w:rPr>
          <w:rStyle w:val="FootnoteReference"/>
          <w:rFonts w:cs="Calibri" w:ascii="Calibri" w:hAnsi="Calibri"/>
          <w:sz w:val="22"/>
          <w:szCs w:val="22"/>
        </w:rPr>
        <w:footnoteReference w:id="8"/>
      </w:r>
      <w:r>
        <w:rPr>
          <w:rFonts w:cs="Calibri" w:ascii="Calibri" w:hAnsi="Calibri"/>
          <w:sz w:val="22"/>
          <w:szCs w:val="22"/>
        </w:rPr>
        <w:t>, a to do 60</w:t>
      </w:r>
      <w:r>
        <w:rPr>
          <w:rFonts w:cs="Calibri" w:ascii="Calibri" w:hAnsi="Calibri"/>
          <w:bCs/>
          <w:sz w:val="22"/>
          <w:szCs w:val="22"/>
        </w:rPr>
        <w:t xml:space="preserve">ti </w:t>
      </w:r>
      <w:r>
        <w:rPr>
          <w:rFonts w:cs="Calibri" w:ascii="Calibri" w:hAnsi="Calibri"/>
          <w:sz w:val="22"/>
          <w:szCs w:val="22"/>
        </w:rPr>
        <w:t>dnů ode dne účinnosti této obecně závazné vyhlášky nebo do 15</w:t>
      </w:r>
      <w:r>
        <w:rPr>
          <w:rFonts w:cs="Calibri" w:ascii="Calibri" w:hAnsi="Calibri"/>
          <w:bCs/>
          <w:sz w:val="22"/>
          <w:szCs w:val="22"/>
        </w:rPr>
        <w:t xml:space="preserve">ti </w:t>
      </w:r>
      <w:r>
        <w:rPr>
          <w:rFonts w:cs="Calibri" w:ascii="Calibri" w:hAnsi="Calibri"/>
          <w:sz w:val="22"/>
          <w:szCs w:val="22"/>
        </w:rPr>
        <w:t>dnů ode dne, kdy se stal plátcem poplatku. Skutečnost, že plátce poplatku pozbyl postavení plátce poplatku, je plátce poplatku povinen ohlásit správci poplatku do 15ti dnů ode dne, kdy tato skutečnost nastala.</w:t>
      </w:r>
    </w:p>
    <w:p>
      <w:pPr>
        <w:pStyle w:val="Normal"/>
        <w:numPr>
          <w:ilvl w:val="0"/>
          <w:numId w:val="2"/>
        </w:numPr>
        <w:suppressAutoHyphens w:val="true"/>
        <w:overflowPunct w:val="true"/>
        <w:spacing w:lineRule="auto" w:line="240" w:before="0" w:after="113"/>
        <w:jc w:val="both"/>
        <w:textAlignment w:val="baseline"/>
        <w:rPr>
          <w:rFonts w:ascii="Calibri" w:hAnsi="Calibri" w:cs="Calibri"/>
        </w:rPr>
      </w:pPr>
      <w:r>
        <w:rPr>
          <w:rFonts w:cs="Calibri"/>
        </w:rPr>
        <w:t>V rámci ohlašovací povinnosti plátce poplatku uvede údaje podle zákona o místních poplatcích</w:t>
      </w:r>
      <w:r>
        <w:rPr>
          <w:rStyle w:val="FootnoteReference"/>
          <w:rFonts w:cs="Calibri"/>
        </w:rPr>
        <w:footnoteReference w:id="9"/>
      </w:r>
      <w:r>
        <w:rPr>
          <w:rFonts w:cs="Calibri"/>
        </w:rPr>
        <w:t>, identifikaci nemovité věci údaji dle katastru nemovitostí, počet, objem a frekvenci svozu sběrných nádob pro shromažďování směsného komunálního odpadu pro uvedenou nemovitou věc.</w:t>
      </w:r>
    </w:p>
    <w:p>
      <w:pPr>
        <w:pStyle w:val="Seznamoslovan"/>
        <w:numPr>
          <w:ilvl w:val="0"/>
          <w:numId w:val="2"/>
        </w:numPr>
        <w:spacing w:lineRule="auto" w:line="240" w:before="0" w:after="120"/>
        <w:rPr>
          <w:rFonts w:ascii="Calibri" w:hAnsi="Calibri" w:cs="Calibri"/>
          <w:bCs/>
          <w:sz w:val="22"/>
          <w:szCs w:val="22"/>
        </w:rPr>
      </w:pPr>
      <w:r>
        <w:rPr>
          <w:rFonts w:cs="Calibri" w:ascii="Calibri" w:hAnsi="Calibri"/>
          <w:sz w:val="22"/>
          <w:szCs w:val="22"/>
        </w:rPr>
        <w:t xml:space="preserve">Plátce poplatku </w:t>
      </w:r>
      <w:r>
        <w:rPr>
          <w:rFonts w:cs="Calibri" w:ascii="Calibri" w:hAnsi="Calibri"/>
          <w:bCs/>
          <w:sz w:val="22"/>
          <w:szCs w:val="22"/>
        </w:rPr>
        <w:t>je povinen ohlásit správci poplatku do 15ti dnů jakékoliv změny v ohlášených skutečnostech.</w:t>
      </w:r>
    </w:p>
    <w:p>
      <w:pPr>
        <w:pStyle w:val="BodyText"/>
        <w:numPr>
          <w:ilvl w:val="0"/>
          <w:numId w:val="2"/>
        </w:numPr>
        <w:spacing w:lineRule="auto" w:line="240"/>
        <w:jc w:val="both"/>
        <w:rPr>
          <w:rFonts w:ascii="Calibri" w:hAnsi="Calibri" w:cs="Calibri"/>
        </w:rPr>
      </w:pPr>
      <w:r>
        <w:rPr>
          <w:rFonts w:cs="Calibri"/>
        </w:rPr>
        <w:t>Ohlašovací povinnost se nevztahuje na údaje zveřejněné pro tyto účely správcem poplatku na úřední desce</w:t>
      </w:r>
      <w:r>
        <w:rPr>
          <w:rStyle w:val="FootnoteReference"/>
          <w:rFonts w:cs="Calibri"/>
        </w:rPr>
        <w:footnoteReference w:id="10"/>
      </w:r>
      <w:r>
        <w:rPr>
          <w:rFonts w:cs="Calibri"/>
        </w:rPr>
        <w:t>.</w:t>
      </w:r>
    </w:p>
    <w:p>
      <w:pPr>
        <w:pStyle w:val="Heading4"/>
        <w:spacing w:lineRule="auto" w:line="240" w:before="0" w:after="0"/>
        <w:jc w:val="center"/>
        <w:rPr>
          <w:rFonts w:ascii="Calibri" w:hAnsi="Calibri" w:cs="Calibri"/>
          <w:bCs/>
          <w:i w:val="false"/>
          <w:i w:val="false"/>
          <w:color w:val="auto"/>
        </w:rPr>
      </w:pPr>
      <w:r>
        <w:rPr>
          <w:rFonts w:cs="Calibri" w:ascii="Calibri" w:hAnsi="Calibri"/>
          <w:bCs/>
          <w:i w:val="false"/>
          <w:color w:themeColor="accent1" w:themeShade="bf" w:val="auto"/>
        </w:rPr>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4</w:t>
        <w:br/>
        <w:t>Základ poplatku</w:t>
      </w:r>
    </w:p>
    <w:p>
      <w:pPr>
        <w:pStyle w:val="NormalWeb"/>
        <w:numPr>
          <w:ilvl w:val="0"/>
          <w:numId w:val="5"/>
        </w:numPr>
        <w:spacing w:beforeAutospacing="0" w:before="0" w:afterAutospacing="0" w:after="0"/>
        <w:ind w:hanging="357" w:left="357"/>
        <w:jc w:val="both"/>
        <w:rPr>
          <w:rFonts w:ascii="Calibri" w:hAnsi="Calibri" w:cs="Calibri"/>
          <w:sz w:val="22"/>
          <w:szCs w:val="22"/>
        </w:rPr>
      </w:pPr>
      <w:r>
        <w:rPr>
          <w:rFonts w:cs="Calibri" w:ascii="Calibri" w:hAnsi="Calibri"/>
          <w:sz w:val="22"/>
          <w:szCs w:val="22"/>
        </w:rPr>
        <w:t>Základem dílčího poplatku</w:t>
      </w:r>
      <w:r>
        <w:rPr>
          <w:rStyle w:val="FootnoteReference"/>
          <w:rFonts w:cs="Calibri" w:ascii="Calibri" w:hAnsi="Calibri"/>
          <w:sz w:val="22"/>
          <w:szCs w:val="22"/>
        </w:rPr>
        <w:footnoteReference w:id="11"/>
      </w:r>
      <w:r>
        <w:rPr>
          <w:rFonts w:cs="Calibri" w:ascii="Calibri" w:hAnsi="Calibri"/>
          <w:sz w:val="22"/>
          <w:szCs w:val="22"/>
        </w:rPr>
        <w:t xml:space="preserve"> je kapacita soustřeďovacích prostředků (sběrných nádob) na </w:t>
      </w:r>
      <w:r>
        <w:rPr>
          <w:rFonts w:cs="Calibri" w:ascii="Calibri" w:hAnsi="Calibri"/>
          <w:sz w:val="22"/>
          <w:szCs w:val="22"/>
          <w:shd w:fill="FFFFFF" w:val="clear"/>
        </w:rPr>
        <w:t xml:space="preserve">směsný komunální </w:t>
      </w:r>
      <w:r>
        <w:rPr>
          <w:rFonts w:cs="Calibri" w:ascii="Calibri" w:hAnsi="Calibri"/>
          <w:sz w:val="22"/>
          <w:szCs w:val="22"/>
        </w:rPr>
        <w:t>odpad pro nemovitou věc za kalendářní měsíc v litrech připadající na poplatníka.</w:t>
      </w:r>
    </w:p>
    <w:p>
      <w:pPr>
        <w:pStyle w:val="Normal"/>
        <w:numPr>
          <w:ilvl w:val="0"/>
          <w:numId w:val="5"/>
        </w:numPr>
        <w:spacing w:lineRule="auto" w:line="240" w:before="0" w:after="120"/>
        <w:jc w:val="both"/>
        <w:rPr>
          <w:rFonts w:ascii="Calibri" w:hAnsi="Calibri" w:cs="Calibri"/>
          <w:i/>
          <w:i/>
        </w:rPr>
      </w:pPr>
      <w:r>
        <w:rPr>
          <w:rFonts w:cs="Calibri"/>
        </w:rPr>
        <w:t xml:space="preserve">Minimální základ dílčího poplatku činí 60 l. </w:t>
      </w:r>
    </w:p>
    <w:p>
      <w:pPr>
        <w:pStyle w:val="ZkladntextIMP"/>
        <w:numPr>
          <w:ilvl w:val="0"/>
          <w:numId w:val="0"/>
        </w:numPr>
        <w:spacing w:lineRule="auto" w:line="240"/>
        <w:jc w:val="center"/>
        <w:outlineLvl w:val="0"/>
        <w:rPr>
          <w:rFonts w:ascii="Calibri" w:hAnsi="Calibri" w:cs="Calibri"/>
          <w:b/>
          <w:sz w:val="22"/>
          <w:szCs w:val="22"/>
        </w:rPr>
      </w:pPr>
      <w:r>
        <w:rPr>
          <w:rFonts w:cs="Calibri" w:ascii="Calibri" w:hAnsi="Calibri"/>
          <w:b/>
          <w:sz w:val="22"/>
          <w:szCs w:val="22"/>
        </w:rPr>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5</w:t>
        <w:br/>
        <w:t>Sazba poplatku</w:t>
      </w:r>
    </w:p>
    <w:p>
      <w:pPr>
        <w:pStyle w:val="NormalWeb"/>
        <w:spacing w:beforeAutospacing="0" w:before="0" w:afterAutospacing="0" w:after="120"/>
        <w:jc w:val="both"/>
        <w:rPr>
          <w:rFonts w:ascii="Calibri" w:hAnsi="Calibri" w:cs="Calibri"/>
          <w:sz w:val="22"/>
          <w:szCs w:val="22"/>
        </w:rPr>
      </w:pPr>
      <w:r>
        <w:rPr>
          <w:rFonts w:cs="Calibri" w:ascii="Calibri" w:hAnsi="Calibri"/>
          <w:sz w:val="22"/>
          <w:szCs w:val="22"/>
        </w:rPr>
        <w:t>Sazba poplatku činí 0,90 Kč/litr.</w:t>
      </w:r>
    </w:p>
    <w:p>
      <w:pPr>
        <w:pStyle w:val="BodyText"/>
        <w:spacing w:lineRule="auto" w:line="240" w:before="0" w:after="0"/>
        <w:jc w:val="center"/>
        <w:rPr>
          <w:rFonts w:ascii="Calibri" w:hAnsi="Calibri" w:cs="Calibri"/>
          <w:b/>
        </w:rPr>
      </w:pPr>
      <w:r>
        <w:rPr>
          <w:rFonts w:cs="Calibri"/>
          <w:b/>
        </w:rPr>
      </w:r>
    </w:p>
    <w:p>
      <w:pPr>
        <w:pStyle w:val="BodyText"/>
        <w:spacing w:lineRule="auto" w:line="240" w:before="0" w:after="0"/>
        <w:jc w:val="center"/>
        <w:rPr>
          <w:rFonts w:ascii="Calibri" w:hAnsi="Calibri" w:cs="Calibri"/>
          <w:b/>
        </w:rPr>
      </w:pPr>
      <w:r>
        <w:rPr>
          <w:rFonts w:cs="Calibri"/>
          <w:b/>
        </w:rPr>
        <w:t>Čl. 6</w:t>
      </w:r>
    </w:p>
    <w:p>
      <w:pPr>
        <w:pStyle w:val="BodyText"/>
        <w:spacing w:lineRule="auto" w:line="240"/>
        <w:jc w:val="center"/>
        <w:rPr>
          <w:rFonts w:ascii="Calibri" w:hAnsi="Calibri" w:cs="Calibri"/>
        </w:rPr>
      </w:pPr>
      <w:r>
        <w:rPr>
          <w:rFonts w:cs="Calibri"/>
          <w:b/>
        </w:rPr>
        <w:t>Splatnost poplatku</w:t>
      </w:r>
    </w:p>
    <w:p>
      <w:pPr>
        <w:pStyle w:val="Seznamoslovan"/>
        <w:numPr>
          <w:ilvl w:val="0"/>
          <w:numId w:val="7"/>
        </w:numPr>
        <w:spacing w:lineRule="auto" w:line="240" w:before="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Poplatek je na příslušný kalendářní rok splatný nejpozději do 30. 9. příslušného kalendářního roku. </w:t>
      </w:r>
    </w:p>
    <w:p>
      <w:pPr>
        <w:pStyle w:val="Seznamoslovan"/>
        <w:numPr>
          <w:ilvl w:val="0"/>
          <w:numId w:val="7"/>
        </w:numPr>
        <w:spacing w:lineRule="auto" w:line="240" w:before="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Vznikne-li poplatková povinnost během roku po datu splatnosti uvedeném v odstavci 1</w:t>
      </w:r>
      <w:r>
        <w:rPr>
          <w:rFonts w:cs="Calibri" w:ascii="Calibri" w:hAnsi="Calibri" w:asciiTheme="minorHAnsi" w:cstheme="minorHAnsi" w:hAnsiTheme="minorHAnsi"/>
          <w:iCs/>
          <w:sz w:val="22"/>
          <w:szCs w:val="22"/>
        </w:rPr>
        <w:t>) tohoto článku,</w:t>
      </w:r>
      <w:r>
        <w:rPr>
          <w:rFonts w:cs="Calibri" w:ascii="Calibri" w:hAnsi="Calibri" w:asciiTheme="minorHAnsi" w:cstheme="minorHAnsi" w:hAnsiTheme="minorHAnsi"/>
          <w:sz w:val="22"/>
          <w:szCs w:val="22"/>
        </w:rPr>
        <w:t xml:space="preserve"> je poplatek splatný do 30 ti dnů od vzniku poplatkové povinnosti.</w:t>
      </w:r>
    </w:p>
    <w:p>
      <w:pPr>
        <w:pStyle w:val="ZkladntextIMP"/>
        <w:spacing w:lineRule="auto" w:line="240"/>
        <w:jc w:val="center"/>
        <w:rPr>
          <w:rFonts w:ascii="Calibri" w:hAnsi="Calibri" w:cs="Calibri"/>
          <w:b/>
          <w:sz w:val="22"/>
          <w:szCs w:val="22"/>
        </w:rPr>
      </w:pPr>
      <w:r>
        <w:rPr>
          <w:rFonts w:cs="Calibri" w:ascii="Calibri" w:hAnsi="Calibri"/>
          <w:b/>
          <w:sz w:val="22"/>
          <w:szCs w:val="22"/>
        </w:rPr>
      </w:r>
    </w:p>
    <w:p>
      <w:pPr>
        <w:pStyle w:val="ZkladntextIMP"/>
        <w:spacing w:lineRule="auto" w:line="240"/>
        <w:jc w:val="center"/>
        <w:rPr>
          <w:rFonts w:ascii="Calibri" w:hAnsi="Calibri" w:cs="Calibri"/>
          <w:b/>
          <w:sz w:val="22"/>
          <w:szCs w:val="22"/>
        </w:rPr>
      </w:pPr>
      <w:r>
        <w:rPr>
          <w:rFonts w:cs="Calibri" w:ascii="Calibri" w:hAnsi="Calibri"/>
          <w:b/>
          <w:sz w:val="22"/>
          <w:szCs w:val="22"/>
        </w:rPr>
        <w:t>Čl. 7</w:t>
      </w:r>
    </w:p>
    <w:p>
      <w:pPr>
        <w:pStyle w:val="ZkladntextIMP"/>
        <w:spacing w:lineRule="auto" w:line="240" w:before="0" w:after="120"/>
        <w:jc w:val="center"/>
        <w:rPr>
          <w:rFonts w:ascii="Calibri" w:hAnsi="Calibri" w:cs="Calibri"/>
          <w:b/>
          <w:sz w:val="22"/>
          <w:szCs w:val="22"/>
        </w:rPr>
      </w:pPr>
      <w:r>
        <w:rPr>
          <w:rFonts w:cs="Calibri" w:ascii="Calibri" w:hAnsi="Calibri"/>
          <w:b/>
          <w:sz w:val="22"/>
          <w:szCs w:val="22"/>
        </w:rPr>
        <w:t>Přechodná ustanovení</w:t>
      </w:r>
    </w:p>
    <w:p>
      <w:pPr>
        <w:pStyle w:val="Seznamoslovan"/>
        <w:widowControl w:val="false"/>
        <w:numPr>
          <w:ilvl w:val="0"/>
          <w:numId w:val="1"/>
        </w:numPr>
        <w:spacing w:lineRule="auto" w:line="240" w:before="0" w:after="113"/>
        <w:rPr>
          <w:rFonts w:ascii="Calibri" w:hAnsi="Calibri" w:cs="Calibri"/>
          <w:sz w:val="22"/>
          <w:szCs w:val="22"/>
        </w:rPr>
      </w:pPr>
      <w:r>
        <w:rPr>
          <w:rFonts w:cs="Calibri" w:ascii="Calibri" w:hAnsi="Calibri"/>
          <w:sz w:val="22"/>
          <w:szCs w:val="22"/>
        </w:rPr>
        <w:t>Práva a povinnosti vyplývající z obecně závazné vyhlášky obce uvedené v ust. čl. 8 odst. 1) této obecně závazné vyhlášky, týkající se poplatkové povinnosti, zůstávají nedotčena a posuzují se podle uvedené obecně závazné vyhlášky a dosavadních právních předpisů.</w:t>
      </w:r>
    </w:p>
    <w:p>
      <w:pPr>
        <w:pStyle w:val="Seznamoslovan"/>
        <w:numPr>
          <w:ilvl w:val="0"/>
          <w:numId w:val="1"/>
        </w:numPr>
        <w:spacing w:lineRule="auto" w:line="240" w:before="0" w:after="113"/>
        <w:rPr>
          <w:rFonts w:ascii="Calibri" w:hAnsi="Calibri" w:cs="Calibri"/>
          <w:sz w:val="22"/>
          <w:szCs w:val="22"/>
        </w:rPr>
      </w:pPr>
      <w:r>
        <w:rPr>
          <w:rFonts w:cs="Calibri" w:ascii="Calibri" w:hAnsi="Calibri"/>
          <w:sz w:val="22"/>
          <w:szCs w:val="22"/>
        </w:rPr>
        <w:t>Splnění ohlašovací povinnosti ke vzniku poplatkové povinnosti před účinností této obecně závazné vyhlášky podle obecně závazné vyhlášky obce uvedené v ust. čl. 8 odst. 1) této obecně závazné vyhlášky se považuje za splnění ohlašovací povinnosti ke vzniku poplatkové povinnosti dle této obecně závazné vyhlášky.</w:t>
      </w:r>
    </w:p>
    <w:p>
      <w:pPr>
        <w:pStyle w:val="NoSpacing"/>
        <w:jc w:val="center"/>
        <w:rPr>
          <w:rFonts w:ascii="Calibri" w:hAnsi="Calibri" w:cs="Calibri"/>
          <w:b/>
        </w:rPr>
      </w:pPr>
      <w:r>
        <w:rPr>
          <w:rFonts w:cs="Calibri"/>
          <w:b/>
        </w:rPr>
      </w:r>
    </w:p>
    <w:p>
      <w:pPr>
        <w:pStyle w:val="NoSpacing"/>
        <w:jc w:val="center"/>
        <w:rPr>
          <w:rFonts w:ascii="Calibri" w:hAnsi="Calibri" w:cs="Calibri"/>
          <w:b/>
        </w:rPr>
      </w:pPr>
      <w:bookmarkStart w:id="0" w:name="_Hlk121214773"/>
      <w:bookmarkEnd w:id="0"/>
      <w:r>
        <w:rPr>
          <w:rFonts w:cs="Calibri"/>
          <w:b/>
        </w:rPr>
        <w:t>Čl. 8</w:t>
      </w:r>
    </w:p>
    <w:p>
      <w:pPr>
        <w:pStyle w:val="NoSpacing"/>
        <w:spacing w:before="0" w:after="120"/>
        <w:jc w:val="center"/>
        <w:rPr>
          <w:rFonts w:ascii="Calibri" w:hAnsi="Calibri" w:cs="Calibri"/>
          <w:b/>
        </w:rPr>
      </w:pPr>
      <w:r>
        <w:rPr>
          <w:rFonts w:cs="Calibri"/>
          <w:b/>
        </w:rPr>
        <w:t>Závěrečná ustanovení</w:t>
      </w:r>
    </w:p>
    <w:p>
      <w:pPr>
        <w:pStyle w:val="BodyText2"/>
        <w:numPr>
          <w:ilvl w:val="0"/>
          <w:numId w:val="8"/>
        </w:numPr>
        <w:spacing w:lineRule="auto" w:line="240"/>
        <w:ind w:hanging="357" w:left="357"/>
        <w:jc w:val="both"/>
        <w:rPr>
          <w:rFonts w:ascii="Calibri" w:hAnsi="Calibri" w:cs="Calibri"/>
        </w:rPr>
      </w:pPr>
      <w:r>
        <w:rPr>
          <w:rFonts w:cs="Calibri"/>
        </w:rPr>
        <w:t xml:space="preserve">Zrušuje se obecně závazná vyhláška obce Máslovice č. 2/2022 </w:t>
      </w:r>
      <w:r>
        <w:rPr>
          <w:rFonts w:cs="Calibri"/>
          <w:color w:val="000000"/>
        </w:rPr>
        <w:t>o</w:t>
      </w:r>
      <w:r>
        <w:rPr/>
        <w:t xml:space="preserve"> </w:t>
      </w:r>
      <w:r>
        <w:rPr>
          <w:rFonts w:cs="Calibri"/>
        </w:rPr>
        <w:t>místním poplatku za odkládání komunálního odpadu z nemovité</w:t>
      </w:r>
      <w:r>
        <w:rPr>
          <w:rStyle w:val="FootnoteCharacters"/>
          <w:rFonts w:cs="Calibri"/>
        </w:rPr>
        <w:t xml:space="preserve"> </w:t>
      </w:r>
      <w:r>
        <w:rPr>
          <w:rFonts w:cs="Calibri"/>
        </w:rPr>
        <w:t>věci,</w:t>
      </w:r>
      <w:r>
        <w:rPr/>
        <w:t xml:space="preserve"> ze dn</w:t>
      </w:r>
      <w:r>
        <w:rPr>
          <w:rFonts w:cs="Calibri"/>
        </w:rPr>
        <w:t>e 12. 12. 2022.</w:t>
      </w:r>
    </w:p>
    <w:p>
      <w:pPr>
        <w:pStyle w:val="BodyText2"/>
        <w:numPr>
          <w:ilvl w:val="0"/>
          <w:numId w:val="8"/>
        </w:numPr>
        <w:spacing w:lineRule="auto" w:line="240"/>
        <w:ind w:hanging="357" w:left="357"/>
        <w:jc w:val="both"/>
        <w:rPr>
          <w:rFonts w:ascii="Calibri" w:hAnsi="Calibri" w:cs="Calibri"/>
        </w:rPr>
      </w:pPr>
      <w:r>
        <w:rPr>
          <w:rFonts w:cs="Calibri"/>
        </w:rPr>
        <w:t>Tato obecně závazná vyhláška nabývá účinnosti dnem 1. 1. 2024.</w:t>
      </w:r>
    </w:p>
    <w:p>
      <w:pPr>
        <w:pStyle w:val="Normln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lnIMP"/>
        <w:spacing w:lineRule="auto" w:line="240"/>
        <w:ind w:firstLine="72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_______________________</w:t>
        <w:tab/>
        <w:tab/>
        <w:tab/>
        <w:tab/>
        <w:t>_______________________</w:t>
      </w:r>
    </w:p>
    <w:p>
      <w:pPr>
        <w:pStyle w:val="NormlnIMP"/>
        <w:spacing w:lineRule="auto" w:line="24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ab/>
      </w:r>
      <w:r>
        <w:rPr>
          <w:rFonts w:cs="Calibri" w:ascii="Calibri" w:hAnsi="Calibri" w:asciiTheme="minorHAnsi" w:cstheme="minorHAnsi" w:hAnsiTheme="minorHAnsi"/>
          <w:color w:val="333333"/>
          <w:sz w:val="22"/>
          <w:szCs w:val="22"/>
          <w:shd w:fill="FFFFFF" w:val="clear"/>
        </w:rPr>
        <w:t xml:space="preserve">Ing. Aleš Illichman v. r. </w:t>
      </w:r>
      <w:r>
        <w:rPr>
          <w:rFonts w:cs="Calibri" w:ascii="Calibri" w:hAnsi="Calibri" w:asciiTheme="minorHAnsi" w:cstheme="minorHAnsi" w:hAnsiTheme="minorHAnsi"/>
          <w:color w:val="000000"/>
          <w:sz w:val="22"/>
          <w:szCs w:val="22"/>
        </w:rPr>
        <w:tab/>
        <w:tab/>
        <w:tab/>
        <w:tab/>
        <w:tab/>
        <w:t>Ing. Vladimíra Sýkorová</w:t>
        <w:tab/>
        <w:t xml:space="preserve"> v. r.</w:t>
      </w:r>
    </w:p>
    <w:p>
      <w:pPr>
        <w:pStyle w:val="NormlnIMP"/>
        <w:spacing w:lineRule="auto" w:line="240"/>
        <w:ind w:firstLine="708"/>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místostarosta</w:t>
        <w:tab/>
        <w:tab/>
        <w:tab/>
        <w:tab/>
        <w:tab/>
        <w:tab/>
        <w:t>starostka obce</w:t>
      </w:r>
    </w:p>
    <w:p>
      <w:pPr>
        <w:pStyle w:val="NormlnIMP"/>
        <w:spacing w:lineRule="auto" w:line="24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lnIMP"/>
        <w:spacing w:lineRule="auto" w:line="24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bookmarkStart w:id="1" w:name="_Hlk121214773"/>
      <w:bookmarkStart w:id="2" w:name="_Hlk121214773"/>
      <w:bookmarkEnd w:id="2"/>
    </w:p>
    <w:p>
      <w:pPr>
        <w:pStyle w:val="Seznamoslovan"/>
        <w:spacing w:lineRule="auto" w:line="240" w:before="0" w:after="113"/>
        <w:ind w:left="360"/>
        <w:rPr>
          <w:rFonts w:ascii="Calibri" w:hAnsi="Calibri" w:cs="Calibri"/>
          <w:sz w:val="22"/>
          <w:szCs w:val="22"/>
        </w:rPr>
      </w:pPr>
      <w:r>
        <w:rPr>
          <w:rFonts w:cs="Calibri" w:ascii="Calibri" w:hAnsi="Calibri"/>
          <w:sz w:val="22"/>
          <w:szCs w:val="22"/>
        </w:rPr>
      </w:r>
    </w:p>
    <w:p>
      <w:pPr>
        <w:pStyle w:val="Normal"/>
        <w:widowControl/>
        <w:bidi w:val="0"/>
        <w:spacing w:lineRule="auto" w:line="276" w:before="0" w:after="200"/>
        <w:jc w:val="left"/>
        <w:rPr/>
      </w:pPr>
      <w:r>
        <w:rPr/>
      </w:r>
    </w:p>
    <w:sectPr>
      <w:footnotePr>
        <w:numFmt w:val="decimal"/>
        <w:numRestart w:val="eachSect"/>
      </w:footnotePr>
      <w:type w:val="nextPage"/>
      <w:pgSz w:w="11906" w:h="16838"/>
      <w:pgMar w:left="1304" w:right="1304" w:gutter="0" w:header="0" w:top="1418"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swiss"/>
    <w:pitch w:val="variable"/>
  </w:font>
  <w:font w:name="Segoe UI">
    <w:charset w:val="01"/>
    <w:family w:val="swiss"/>
    <w:pitch w:val="variable"/>
  </w:font>
  <w:font w:name="Wingdings">
    <w:charset w:val="02"/>
    <w:family w:val="auto"/>
    <w:pitch w:val="variable"/>
  </w:font>
  <w:font w:name="Courier New">
    <w:charset w:val="01"/>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10d odst. 1) písm. b) zákona č. 565/1990 Sb., o místních poplatcích, ve znění pozdějších předpisů</w:t>
      </w:r>
    </w:p>
  </w:footnote>
  <w:footnote w:id="3">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xml:space="preserve">§ 15 odst. 1) zákona č. 565/1990 Sb., o místních poplatcích, ve znění pozdějších předpisů </w:t>
      </w:r>
    </w:p>
  </w:footnote>
  <w:footnote w:id="4">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10j zákona č. 565/1990 Sb., o místních poplatcích, ve znění pozdějších předpisů</w:t>
      </w:r>
    </w:p>
  </w:footnote>
  <w:footnote w:id="5">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10i zákona č. 565/1990 Sb., o místních poplatcích, ve znění pozdějších předpisů</w:t>
      </w:r>
    </w:p>
  </w:footnote>
  <w:footnote w:id="6">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10n odst. 1) zákona č. 565/1990 Sb., o místních poplatcích, ve znění pozdějších předpisů</w:t>
      </w:r>
    </w:p>
  </w:footnote>
  <w:footnote w:id="7">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10n odst. 2) zákona č. 565/1990 Sb., o místních poplatcích, ve znění pozdějších předpisů</w:t>
      </w:r>
    </w:p>
  </w:footnote>
  <w:footnote w:id="8">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zákona č. 565/1990 Sb., o místních poplatcích, ve znění pozdějších předpisů</w:t>
      </w:r>
    </w:p>
  </w:footnote>
  <w:footnote w:id="9">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odst. 2) a 3) zákona č. 565/1990 Sb., o místních poplatcích, ve znění pozdějších předpisů</w:t>
      </w:r>
    </w:p>
  </w:footnote>
  <w:footnote w:id="10">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odst. 5) zákona č. 565/1990 Sb., o místních poplatcích, ve znění pozdějších předpisů</w:t>
      </w:r>
    </w:p>
  </w:footnote>
  <w:footnote w:id="11">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10k zákona č. 565/1990 Sb., o místních poplatcích, ve znění pozdějších předpisů</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2"/>
        <w:i w:val="false"/>
        <w:b w:val="false"/>
        <w:rFonts w:ascii="Calibri" w:hAnsi="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60"/>
        </w:tabs>
        <w:ind w:left="360" w:hanging="360"/>
      </w:pPr>
      <w:rPr>
        <w:sz w:val="22"/>
        <w:i w:val="false"/>
        <w:b w:val="false"/>
        <w:rFonts w:ascii="Calibri" w:hAnsi="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360" w:hanging="360"/>
      </w:pPr>
      <w:rPr>
        <w:sz w:val="22"/>
        <w:i w:val="false"/>
        <w:b w:val="false"/>
        <w:rFonts w:ascii="Calibri" w:hAnsi="Calibri"/>
        <w:color w:val="auto"/>
      </w:rPr>
    </w:lvl>
    <w:lvl w:ilvl="1">
      <w:start w:val="1"/>
      <w:numFmt w:val="lowerLetter"/>
      <w:lvlText w:val="%2)"/>
      <w:lvlJc w:val="left"/>
      <w:pPr>
        <w:tabs>
          <w:tab w:val="num" w:pos="0"/>
        </w:tabs>
        <w:ind w:left="1428" w:hanging="708"/>
      </w:pPr>
      <w:rPr>
        <w:color w:val="000000"/>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6"/>
      <w:numFmt w:val="bullet"/>
      <w:lvlText w:val="-"/>
      <w:lvlJc w:val="left"/>
      <w:pPr>
        <w:tabs>
          <w:tab w:val="num" w:pos="0"/>
        </w:tabs>
        <w:ind w:left="1800" w:hanging="360"/>
      </w:pPr>
      <w:rPr>
        <w:rFonts w:ascii="Segoe UI" w:hAnsi="Segoe UI" w:cs="Segoe UI" w:hint="default"/>
        <w:sz w:val="29"/>
        <w:color w:val="000000"/>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decimal"/>
      <w:lvlText w:val="%1)"/>
      <w:lvlJc w:val="left"/>
      <w:pPr>
        <w:tabs>
          <w:tab w:val="num" w:pos="0"/>
        </w:tabs>
        <w:ind w:left="360" w:hanging="360"/>
      </w:pPr>
      <w:rPr>
        <w:sz w:val="22"/>
        <w:i w:val="false"/>
        <w:b w:val="false"/>
        <w:rFonts w:ascii="Calibri" w:hAnsi="Calibri"/>
        <w:color w:val="auto"/>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sz w:val="22"/>
        <w:i w:val="false"/>
        <w:b w:val="false"/>
        <w:rFonts w:ascii="Calibri" w:hAnsi="Calibri"/>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numRestart w:val="eachSect"/>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Heading1">
    <w:name w:val="Heading 1"/>
    <w:basedOn w:val="Normal"/>
    <w:next w:val="Normal"/>
    <w:link w:val="Nadpis1Char"/>
    <w:uiPriority w:val="9"/>
    <w:qFormat/>
    <w:rsid w:val="00756886"/>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4">
    <w:name w:val="Heading 4"/>
    <w:basedOn w:val="Normal"/>
    <w:next w:val="Normal"/>
    <w:link w:val="Nadpis4Char"/>
    <w:uiPriority w:val="9"/>
    <w:semiHidden/>
    <w:unhideWhenUsed/>
    <w:qFormat/>
    <w:rsid w:val="007d50ef"/>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Nadpis4Char" w:customStyle="1">
    <w:name w:val="Nadpis 4 Char"/>
    <w:basedOn w:val="DefaultParagraphFont"/>
    <w:uiPriority w:val="9"/>
    <w:semiHidden/>
    <w:qFormat/>
    <w:rsid w:val="007d50ef"/>
    <w:rPr>
      <w:rFonts w:ascii="Cambria" w:hAnsi="Cambria" w:eastAsia="" w:cs="" w:asciiTheme="majorHAnsi" w:cstheme="majorBidi" w:eastAsiaTheme="majorEastAsia" w:hAnsiTheme="majorHAnsi"/>
      <w:i/>
      <w:iCs/>
      <w:color w:themeColor="accent1" w:themeShade="bf" w:val="365F91"/>
    </w:rPr>
  </w:style>
  <w:style w:type="character" w:styleId="TextpoznpodarouChar" w:customStyle="1">
    <w:name w:val="Text pozn. pod čarou Char"/>
    <w:basedOn w:val="DefaultParagraphFont"/>
    <w:uiPriority w:val="99"/>
    <w:qFormat/>
    <w:rsid w:val="007d50ef"/>
    <w:rPr>
      <w:rFonts w:ascii="Arial" w:hAnsi="Arial" w:eastAsia="Calibri" w:cs="Arial"/>
      <w:sz w:val="20"/>
      <w:szCs w:val="20"/>
    </w:rPr>
  </w:style>
  <w:style w:type="character" w:styleId="s31" w:customStyle="1">
    <w:name w:val="s31"/>
    <w:basedOn w:val="DefaultParagraphFont"/>
    <w:qFormat/>
    <w:rsid w:val="007d50ef"/>
    <w:rPr/>
  </w:style>
  <w:style w:type="character" w:styleId="ZkladntextChar" w:customStyle="1">
    <w:name w:val="Základní text Char"/>
    <w:basedOn w:val="DefaultParagraphFont"/>
    <w:uiPriority w:val="99"/>
    <w:semiHidden/>
    <w:qFormat/>
    <w:rsid w:val="007d50ef"/>
    <w:rPr/>
  </w:style>
  <w:style w:type="character" w:styleId="FootnoteReference">
    <w:name w:val="Footnote Reference"/>
    <w:rPr>
      <w:vertAlign w:val="superscript"/>
    </w:rPr>
  </w:style>
  <w:style w:type="character" w:styleId="FootnoteCharacters">
    <w:name w:val="Footnote Characters"/>
    <w:basedOn w:val="DefaultParagraphFont"/>
    <w:unhideWhenUsed/>
    <w:qFormat/>
    <w:rsid w:val="007d50ef"/>
    <w:rPr>
      <w:vertAlign w:val="superscript"/>
    </w:rPr>
  </w:style>
  <w:style w:type="character" w:styleId="NzevChar" w:customStyle="1">
    <w:name w:val="Název Char"/>
    <w:basedOn w:val="DefaultParagraphFont"/>
    <w:qFormat/>
    <w:rsid w:val="007d50ef"/>
    <w:rPr>
      <w:rFonts w:ascii="Times New Roman" w:hAnsi="Times New Roman" w:eastAsia="Times New Roman" w:cs="Times New Roman"/>
      <w:b/>
      <w:bCs/>
      <w:sz w:val="24"/>
      <w:szCs w:val="24"/>
      <w:lang w:eastAsia="cs-CZ"/>
    </w:rPr>
  </w:style>
  <w:style w:type="character" w:styleId="Zkladntext2Char" w:customStyle="1">
    <w:name w:val="Základní text 2 Char"/>
    <w:basedOn w:val="DefaultParagraphFont"/>
    <w:link w:val="BodyText2"/>
    <w:uiPriority w:val="99"/>
    <w:qFormat/>
    <w:rsid w:val="00a85940"/>
    <w:rPr/>
  </w:style>
  <w:style w:type="character" w:styleId="Nadpis1Char" w:customStyle="1">
    <w:name w:val="Nadpis 1 Char"/>
    <w:basedOn w:val="DefaultParagraphFont"/>
    <w:uiPriority w:val="9"/>
    <w:qFormat/>
    <w:rsid w:val="00756886"/>
    <w:rPr>
      <w:rFonts w:ascii="Cambria" w:hAnsi="Cambria" w:eastAsia="" w:cs="" w:asciiTheme="majorHAnsi" w:cstheme="majorBidi" w:eastAsiaTheme="majorEastAsia" w:hAnsiTheme="majorHAnsi"/>
      <w:b/>
      <w:bCs/>
      <w:color w:themeColor="accent1" w:themeShade="bf" w:val="365F91"/>
      <w:sz w:val="28"/>
      <w:szCs w:val="28"/>
    </w:rPr>
  </w:style>
  <w:style w:type="character" w:styleId="InternetLink">
    <w:name w:val="Internet Link"/>
    <w:uiPriority w:val="99"/>
    <w:unhideWhenUsed/>
    <w:qFormat/>
    <w:rsid w:val="00756886"/>
    <w:rPr>
      <w:color w:val="0000FF"/>
      <w:u w:val="single"/>
    </w:rPr>
  </w:style>
  <w:style w:type="character" w:styleId="ZhlavChar" w:customStyle="1">
    <w:name w:val="Záhlaví Char"/>
    <w:basedOn w:val="DefaultParagraphFont"/>
    <w:qFormat/>
    <w:rsid w:val="00756886"/>
    <w:rPr>
      <w:rFonts w:ascii="Calibri" w:hAnsi="Calibri" w:eastAsia="Calibri" w:cs="Times New Roman"/>
    </w:rPr>
  </w:style>
  <w:style w:type="character" w:styleId="ZpatChar" w:customStyle="1">
    <w:name w:val="Zápatí Char"/>
    <w:basedOn w:val="DefaultParagraphFont"/>
    <w:uiPriority w:val="99"/>
    <w:qFormat/>
    <w:rsid w:val="00cd2f19"/>
    <w:rPr/>
  </w:style>
  <w:style w:type="character" w:styleId="Znakypropoznmkupodarou">
    <w:name w:val="Znaky pro poznámku pod čarou"/>
    <w:qForma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uiPriority w:val="99"/>
    <w:semiHidden/>
    <w:unhideWhenUsed/>
    <w:rsid w:val="007d50ef"/>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Spacing">
    <w:name w:val="No Spacing"/>
    <w:uiPriority w:val="1"/>
    <w:qFormat/>
    <w:rsid w:val="007d50ef"/>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NormalWeb">
    <w:name w:val="Normal (Web)"/>
    <w:basedOn w:val="Normal"/>
    <w:uiPriority w:val="99"/>
    <w:unhideWhenUsed/>
    <w:qFormat/>
    <w:rsid w:val="007d50ef"/>
    <w:pPr>
      <w:spacing w:lineRule="auto" w:line="240" w:beforeAutospacing="1" w:afterAutospacing="1"/>
    </w:pPr>
    <w:rPr>
      <w:rFonts w:ascii="Times New Roman" w:hAnsi="Times New Roman" w:eastAsia="Times New Roman" w:cs="Times New Roman"/>
      <w:sz w:val="24"/>
      <w:szCs w:val="24"/>
    </w:rPr>
  </w:style>
  <w:style w:type="paragraph" w:styleId="FootnoteText">
    <w:name w:val="Footnote Text"/>
    <w:basedOn w:val="Normal"/>
    <w:link w:val="TextpoznpodarouChar"/>
    <w:uiPriority w:val="99"/>
    <w:unhideWhenUsed/>
    <w:rsid w:val="007d50ef"/>
    <w:pPr>
      <w:spacing w:lineRule="auto" w:line="240" w:before="0" w:after="0"/>
      <w:jc w:val="both"/>
    </w:pPr>
    <w:rPr>
      <w:rFonts w:ascii="Arial" w:hAnsi="Arial" w:eastAsia="Calibri" w:cs="Arial"/>
      <w:sz w:val="20"/>
      <w:szCs w:val="20"/>
    </w:rPr>
  </w:style>
  <w:style w:type="paragraph" w:styleId="Seznamoslovan" w:customStyle="1">
    <w:name w:val="Seznam očíslovaný~"/>
    <w:basedOn w:val="Normal"/>
    <w:qFormat/>
    <w:rsid w:val="007d50ef"/>
    <w:pPr>
      <w:suppressAutoHyphens w:val="true"/>
      <w:overflowPunct w:val="true"/>
      <w:spacing w:lineRule="auto" w:line="228" w:before="0" w:after="0"/>
      <w:jc w:val="both"/>
      <w:textAlignment w:val="baseline"/>
    </w:pPr>
    <w:rPr>
      <w:rFonts w:ascii="Times New Roman" w:hAnsi="Times New Roman" w:eastAsia="Times New Roman" w:cs="Times New Roman"/>
      <w:sz w:val="24"/>
      <w:szCs w:val="20"/>
    </w:rPr>
  </w:style>
  <w:style w:type="paragraph" w:styleId="Title">
    <w:name w:val="Title"/>
    <w:basedOn w:val="Normal"/>
    <w:link w:val="NzevChar"/>
    <w:qFormat/>
    <w:rsid w:val="007d50ef"/>
    <w:pPr>
      <w:spacing w:lineRule="auto" w:line="240" w:before="0" w:after="0"/>
      <w:jc w:val="center"/>
    </w:pPr>
    <w:rPr>
      <w:rFonts w:ascii="Times New Roman" w:hAnsi="Times New Roman" w:eastAsia="Times New Roman" w:cs="Times New Roman"/>
      <w:b/>
      <w:bCs/>
      <w:sz w:val="24"/>
      <w:szCs w:val="24"/>
    </w:rPr>
  </w:style>
  <w:style w:type="paragraph" w:styleId="NormlnIMP" w:customStyle="1">
    <w:name w:val="Normální_IMP"/>
    <w:basedOn w:val="Normal"/>
    <w:qFormat/>
    <w:rsid w:val="007d50ef"/>
    <w:pPr>
      <w:suppressAutoHyphens w:val="true"/>
      <w:overflowPunct w:val="true"/>
      <w:spacing w:lineRule="auto" w:line="228" w:before="0" w:after="0"/>
      <w:jc w:val="both"/>
    </w:pPr>
    <w:rPr>
      <w:rFonts w:ascii="Times New Roman" w:hAnsi="Times New Roman" w:eastAsia="Times New Roman" w:cs="Times New Roman"/>
      <w:sz w:val="24"/>
      <w:szCs w:val="20"/>
    </w:rPr>
  </w:style>
  <w:style w:type="paragraph" w:styleId="ZkladntextIMP" w:customStyle="1">
    <w:name w:val="Základní text_IMP"/>
    <w:basedOn w:val="Normal"/>
    <w:qFormat/>
    <w:rsid w:val="007d50ef"/>
    <w:pPr>
      <w:suppressAutoHyphens w:val="true"/>
      <w:overflowPunct w:val="true"/>
      <w:spacing w:before="0" w:after="0"/>
      <w:textAlignment w:val="baseline"/>
    </w:pPr>
    <w:rPr>
      <w:rFonts w:ascii="Times New Roman" w:hAnsi="Times New Roman" w:eastAsia="Times New Roman" w:cs="Times New Roman"/>
      <w:sz w:val="24"/>
      <w:szCs w:val="20"/>
    </w:rPr>
  </w:style>
  <w:style w:type="paragraph" w:styleId="Seznamoslovan1" w:customStyle="1">
    <w:name w:val="Seznam očíslovaný~~"/>
    <w:basedOn w:val="Normal"/>
    <w:uiPriority w:val="99"/>
    <w:qFormat/>
    <w:rsid w:val="007d50ef"/>
    <w:pPr>
      <w:suppressAutoHyphens w:val="true"/>
      <w:overflowPunct w:val="true"/>
      <w:spacing w:lineRule="auto" w:line="228" w:before="0" w:after="0"/>
      <w:jc w:val="both"/>
      <w:textAlignment w:val="baseline"/>
    </w:pPr>
    <w:rPr>
      <w:rFonts w:ascii="Times New Roman" w:hAnsi="Times New Roman" w:eastAsia="Times New Roman" w:cs="Times New Roman"/>
      <w:sz w:val="24"/>
      <w:szCs w:val="20"/>
    </w:rPr>
  </w:style>
  <w:style w:type="paragraph" w:styleId="BodyText2">
    <w:name w:val="Body Text 2"/>
    <w:basedOn w:val="Normal"/>
    <w:link w:val="Zkladntext2Char"/>
    <w:uiPriority w:val="99"/>
    <w:unhideWhenUsed/>
    <w:qFormat/>
    <w:rsid w:val="00a85940"/>
    <w:pPr>
      <w:spacing w:lineRule="auto" w:line="480" w:before="0" w:after="120"/>
    </w:pPr>
    <w:rPr/>
  </w:style>
  <w:style w:type="paragraph" w:styleId="HeaderandFooter">
    <w:name w:val="Header and Footer"/>
    <w:basedOn w:val="Normal"/>
    <w:qFormat/>
    <w:pPr/>
    <w:rPr/>
  </w:style>
  <w:style w:type="paragraph" w:styleId="Header">
    <w:name w:val="Header"/>
    <w:basedOn w:val="Normal"/>
    <w:link w:val="ZhlavChar"/>
    <w:unhideWhenUsed/>
    <w:rsid w:val="00756886"/>
    <w:pPr>
      <w:tabs>
        <w:tab w:val="clear" w:pos="708"/>
        <w:tab w:val="center" w:pos="4536" w:leader="none"/>
        <w:tab w:val="right" w:pos="9072" w:leader="none"/>
      </w:tabs>
    </w:pPr>
    <w:rPr>
      <w:rFonts w:ascii="Calibri" w:hAnsi="Calibri" w:eastAsia="Calibri" w:cs="Times New Roman"/>
    </w:rPr>
  </w:style>
  <w:style w:type="paragraph" w:styleId="Footer">
    <w:name w:val="Footer"/>
    <w:basedOn w:val="Normal"/>
    <w:link w:val="ZpatChar"/>
    <w:uiPriority w:val="99"/>
    <w:unhideWhenUsed/>
    <w:rsid w:val="00cd2f19"/>
    <w:pPr>
      <w:tabs>
        <w:tab w:val="clear" w:pos="708"/>
        <w:tab w:val="center" w:pos="4536" w:leader="none"/>
        <w:tab w:val="right" w:pos="9072" w:leader="none"/>
      </w:tabs>
      <w:spacing w:lineRule="auto" w:line="240" w:before="0" w:after="0"/>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742</Words>
  <Characters>4201</Characters>
  <CharactersWithSpaces>4900</CharactersWithSpaces>
  <Paragraphs>55</Paragraphs>
  <Company>PC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2026-01-13T12:35:00Z</dcterms:created>
  <dc:creator>PC</dc:creator>
  <dc:description/>
  <dc:language>cs-CZ</dc:language>
  <cp:lastModifiedBy>Šusta Zdeněk, Ing.</cp:lastModifiedBy>
  <cp:lastPrinted>2023-12-12T16:57:00Z</cp:lastPrinted>
  <dcterms:modified xsi:type="dcterms:W3CDTF">2026-01-13T12:35:00Z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