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97489" w14:textId="77777777" w:rsidR="00E7180B" w:rsidRPr="00E7180B" w:rsidRDefault="00E7180B" w:rsidP="00E7180B">
      <w:pPr>
        <w:keepNext/>
        <w:suppressAutoHyphens/>
        <w:autoSpaceDN w:val="0"/>
        <w:spacing w:before="240" w:after="120" w:line="240" w:lineRule="auto"/>
        <w:jc w:val="center"/>
        <w:textAlignment w:val="baseline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 Kvasice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Zastupitelstvo obce Kvasice</w:t>
      </w:r>
    </w:p>
    <w:p w14:paraId="77186BFB" w14:textId="77777777" w:rsidR="00E7180B" w:rsidRPr="00E7180B" w:rsidRDefault="00E7180B" w:rsidP="00E7180B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Obecně závazná vyhláška obce Kvasice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 místním poplatku za užívání veřejného prostranství</w:t>
      </w:r>
    </w:p>
    <w:p w14:paraId="7EF36F92" w14:textId="4E1546B8" w:rsidR="00E7180B" w:rsidRPr="00E7180B" w:rsidRDefault="00E7180B" w:rsidP="00E7180B">
      <w:pPr>
        <w:suppressAutoHyphens/>
        <w:autoSpaceDN w:val="0"/>
        <w:spacing w:before="62"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Zastupitelstvo obce Kvasice se na svém zasedání dne 9. dubna 2026</w:t>
      </w:r>
      <w:r w:rsidR="00C029B3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 usnesením č.330</w:t>
      </w: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C0C354A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1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Úvodní ustanovení</w:t>
      </w:r>
    </w:p>
    <w:p w14:paraId="5B653E75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Obec Kvasice touto vyhláškou zavádí místní poplatek za užívání veřejného prostranství (dále jen „poplatek“).</w:t>
      </w:r>
    </w:p>
    <w:p w14:paraId="561A01E4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Správcem poplatku je obecní úřad</w:t>
      </w:r>
      <w:r w:rsidRPr="00E7180B">
        <w:rPr>
          <w:rFonts w:ascii="Arial" w:eastAsia="Times New Roman" w:hAnsi="Arial" w:cs="Arial"/>
          <w:kern w:val="3"/>
          <w:vertAlign w:val="superscript"/>
          <w:lang w:eastAsia="zh-CN" w:bidi="hi-IN"/>
          <w14:ligatures w14:val="none"/>
        </w:rPr>
        <w:footnoteReference w:id="1"/>
      </w: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</w:t>
      </w:r>
    </w:p>
    <w:p w14:paraId="0B0B2641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2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Předmět poplatku a poplatník</w:t>
      </w:r>
    </w:p>
    <w:p w14:paraId="45C7386C" w14:textId="77777777" w:rsidR="00E7180B" w:rsidRPr="00E7180B" w:rsidRDefault="00E7180B" w:rsidP="00E7180B">
      <w:pPr>
        <w:numPr>
          <w:ilvl w:val="0"/>
          <w:numId w:val="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Poplatek se vybírá za zvláštní užívání veřejného prostranství, kterým se rozumí</w:t>
      </w:r>
      <w:r w:rsidRPr="00E7180B">
        <w:rPr>
          <w:rFonts w:ascii="Arial" w:eastAsia="Times New Roman" w:hAnsi="Arial" w:cs="Arial"/>
          <w:kern w:val="3"/>
          <w:vertAlign w:val="superscript"/>
          <w:lang w:eastAsia="zh-CN" w:bidi="hi-IN"/>
          <w14:ligatures w14:val="none"/>
        </w:rPr>
        <w:footnoteReference w:id="2"/>
      </w: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:</w:t>
      </w:r>
    </w:p>
    <w:p w14:paraId="06CC528B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dočasných staveb sloužících pro poskytování služeb,</w:t>
      </w:r>
    </w:p>
    <w:p w14:paraId="678740A9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zařízení sloužících pro poskytování služeb,</w:t>
      </w:r>
    </w:p>
    <w:p w14:paraId="4AC88D01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dočasných staveb sloužících pro poskytování prodeje,</w:t>
      </w:r>
    </w:p>
    <w:p w14:paraId="0AD631A3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zařízení sloužících pro poskytování prodeje,</w:t>
      </w:r>
    </w:p>
    <w:p w14:paraId="563AFEA0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reklamních zařízení,</w:t>
      </w:r>
    </w:p>
    <w:p w14:paraId="304713BF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provádění výkopových prací,</w:t>
      </w:r>
    </w:p>
    <w:p w14:paraId="31CD5523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stavebních zařízení,</w:t>
      </w:r>
    </w:p>
    <w:p w14:paraId="2D47F5E2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skládek,</w:t>
      </w:r>
    </w:p>
    <w:p w14:paraId="3CB0B498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zařízení cirkusů,</w:t>
      </w:r>
    </w:p>
    <w:p w14:paraId="620D0EB9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zařízení lunaparků a jiných obdobných atrakcí,</w:t>
      </w:r>
    </w:p>
    <w:p w14:paraId="29FAB171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užívání veřejného prostranství pro kulturní akce,</w:t>
      </w:r>
    </w:p>
    <w:p w14:paraId="1175F48D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užívání veřejného prostranství pro sportovní akce,</w:t>
      </w:r>
    </w:p>
    <w:p w14:paraId="7533770C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lastRenderedPageBreak/>
        <w:t>užívání veřejného prostranství pro reklamní akce,</w:t>
      </w:r>
    </w:p>
    <w:p w14:paraId="526AFF8B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užívání veřejného prostranství pro potřeby tvorby filmových a televizních děl.</w:t>
      </w:r>
    </w:p>
    <w:p w14:paraId="6DDA5ED2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Poplatek platí fyzické i právnické osoby, které užívají veřejné prostranství způsobem uvedeným v odstavci 1 (dále jen „poplatník“)</w:t>
      </w:r>
      <w:r w:rsidRPr="00E7180B">
        <w:rPr>
          <w:rFonts w:ascii="Arial" w:eastAsia="Times New Roman" w:hAnsi="Arial" w:cs="Arial"/>
          <w:kern w:val="3"/>
          <w:vertAlign w:val="superscript"/>
          <w:lang w:eastAsia="zh-CN" w:bidi="hi-IN"/>
          <w14:ligatures w14:val="none"/>
        </w:rPr>
        <w:footnoteReference w:id="3"/>
      </w: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</w:t>
      </w:r>
    </w:p>
    <w:p w14:paraId="6D748AA2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3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Veřejná prostranství</w:t>
      </w:r>
    </w:p>
    <w:p w14:paraId="2AF75BDE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0" w:line="276" w:lineRule="auto"/>
        <w:ind w:left="510" w:hanging="510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        Poplatek se platí za užívání veřejného prostranství, kterým se rozumí ulice Kroměřížská, Tlumačovská, Mlýn, Dvůr,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Osmek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Horní, A. Dohnala,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Hráza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Husova, Mírová, Školní, Včelín, Nová, M.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Krasického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Packov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Dolní,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Rýza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Mariánov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Bělovská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, Krajina, Družstevní, Čtvrtky, U Rybníčka, Příčná, Zahradní, Zámecký park (pozemky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152/1, 152/8, 152/9, 152/10, 2923/1, 2983, 170/2, 170/3, 170/15,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. Kvasice), Prostřední zahrada – sport areál Kvasice ( 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2839, 2841, 2848, 2849, 2850, 2851, 2852, 2853, 2748, 2752/1,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. Kvasice), hřiště u ZŠ (pozemky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1335/4, 1335/6, 1335/13, 1335/14, 1335/15, 1335/16, 1335/17, 1523/2, 1523/7, 979/4,  st. 724,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. Kvasice ),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Vilapark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 (pozemky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247/1, 1496/1, 200/10, 200/14, 249, 253/1, 253/2, 1463/46, 1463/14, 1463/56, 252, 250, 251, 2547, 2546,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Kvasice), lokalita Nový Dvůr (pozemky parc.č.3221, 3352, 3223,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. Kvasice), lokalita Cihelna (pozemky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2522, 2429, 2518,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. Kvasice), lokalita Chlum (pozemky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1926/1, 2225, 2218,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. Kvasice), lokalita u ČOV a pálenice (pozemky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parc.č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 3271, 3429, 3432, 3433, 3430, 3428, 3431, vše v 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k.ú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 Kvasice) bez ohledu na vlastnictví k tomuto prostoru.</w:t>
      </w:r>
    </w:p>
    <w:p w14:paraId="6E8C2697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</w:p>
    <w:p w14:paraId="11B171FC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4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Ohlašovací povinnost</w:t>
      </w:r>
    </w:p>
    <w:p w14:paraId="5F6E7F3A" w14:textId="77777777" w:rsidR="00E7180B" w:rsidRPr="00E7180B" w:rsidRDefault="00E7180B" w:rsidP="00E7180B">
      <w:pPr>
        <w:numPr>
          <w:ilvl w:val="0"/>
          <w:numId w:val="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2D13B421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Údaje uváděné v ohlášení upravuje zákon</w:t>
      </w:r>
      <w:r w:rsidRPr="00E7180B">
        <w:rPr>
          <w:rFonts w:ascii="Arial" w:eastAsia="Times New Roman" w:hAnsi="Arial" w:cs="Arial"/>
          <w:kern w:val="3"/>
          <w:vertAlign w:val="superscript"/>
          <w:lang w:eastAsia="zh-CN" w:bidi="hi-IN"/>
          <w14:ligatures w14:val="none"/>
        </w:rPr>
        <w:footnoteReference w:id="4"/>
      </w: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</w:t>
      </w:r>
    </w:p>
    <w:p w14:paraId="67F22A95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Dojde-li ke změně údajů uvedených v ohlášení, je poplatník povinen tuto změnu oznámit do 15 dnů ode dne, kdy nastala</w:t>
      </w:r>
      <w:r w:rsidRPr="00E7180B">
        <w:rPr>
          <w:rFonts w:ascii="Arial" w:eastAsia="Times New Roman" w:hAnsi="Arial" w:cs="Arial"/>
          <w:kern w:val="3"/>
          <w:vertAlign w:val="superscript"/>
          <w:lang w:eastAsia="zh-CN" w:bidi="hi-IN"/>
          <w14:ligatures w14:val="none"/>
        </w:rPr>
        <w:footnoteReference w:id="5"/>
      </w: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.</w:t>
      </w:r>
    </w:p>
    <w:p w14:paraId="505872BD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lastRenderedPageBreak/>
        <w:t>Čl. 5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Sazba poplatku</w:t>
      </w:r>
    </w:p>
    <w:p w14:paraId="6C36A9FA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Sazba poplatku činí za každý i započatý m² a každý i započatý den:</w:t>
      </w:r>
    </w:p>
    <w:p w14:paraId="0823DC8D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dočasných staveb sloužících pro poskytování služeb 2 Kč,</w:t>
      </w:r>
    </w:p>
    <w:p w14:paraId="62D0C318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zařízení sloužících pro poskytování služeb 2 Kč,</w:t>
      </w:r>
    </w:p>
    <w:p w14:paraId="7DD9608F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dočasných staveb sloužících pro poskytování prodeje 10 Kč,</w:t>
      </w:r>
    </w:p>
    <w:p w14:paraId="175A3CEC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zařízení sloužících pro poskytování prodeje 10 Kč,</w:t>
      </w:r>
    </w:p>
    <w:p w14:paraId="7BDFDDA8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reklamních zařízení 5 Kč,</w:t>
      </w:r>
    </w:p>
    <w:p w14:paraId="56477183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provádění výkopových prací 5 Kč,</w:t>
      </w:r>
    </w:p>
    <w:p w14:paraId="0DDA959F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stavebních zařízení 3 Kč,</w:t>
      </w:r>
    </w:p>
    <w:p w14:paraId="15AA9EE0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skládek 3 Kč,</w:t>
      </w:r>
    </w:p>
    <w:p w14:paraId="4D9DADFF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zařízení cirkusů 1 Kč,</w:t>
      </w:r>
    </w:p>
    <w:p w14:paraId="3528F970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umístění zařízení lunaparků a jiných obdobných atrakcí 1 Kč,</w:t>
      </w:r>
    </w:p>
    <w:p w14:paraId="7FF60371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užívání veřejného prostranství pro kulturní akce 1 Kč,</w:t>
      </w:r>
    </w:p>
    <w:p w14:paraId="1BEF0A60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užívání veřejného prostranství pro sportovní akce 1 Kč,</w:t>
      </w:r>
    </w:p>
    <w:p w14:paraId="3C6DD653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užívání veřejného prostranství pro reklamní akce 2 Kč,</w:t>
      </w:r>
    </w:p>
    <w:p w14:paraId="5CC3F2A3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6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za užívání veřejného prostranství pro potřeby tvorby filmových a televizních děl 3 Kč.</w:t>
      </w:r>
    </w:p>
    <w:p w14:paraId="644031CD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6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Splatnost poplatku</w:t>
      </w:r>
    </w:p>
    <w:p w14:paraId="0DC37678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Poplatek je splatný do 10 dnů ode dne ukončení užívání veřejného prostranství; trvá-li užívání veřejného prostranství déle než jeden měsíc, je poplatek, k již vzniklé poplatkové povinnosti splatný vždy k poslednímu dni každého měsíce.</w:t>
      </w:r>
    </w:p>
    <w:p w14:paraId="1EA489C6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7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 xml:space="preserve"> Osvobození</w:t>
      </w:r>
    </w:p>
    <w:p w14:paraId="294642E7" w14:textId="77777777" w:rsidR="00E7180B" w:rsidRPr="00E7180B" w:rsidRDefault="00E7180B" w:rsidP="00E7180B">
      <w:pPr>
        <w:numPr>
          <w:ilvl w:val="0"/>
          <w:numId w:val="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Poplatek se neplatí z akcí pořádaných na veřejném prostranství, jejichž celý výtěžek je odveden na charitativní a veřejně prospěšné účely.</w:t>
      </w:r>
    </w:p>
    <w:p w14:paraId="078166D2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Od poplatku se dále osvobozují:</w:t>
      </w:r>
    </w:p>
    <w:p w14:paraId="0A524409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sportovní a kulturní akce pořádané na veřejném prostranství bez vstupného,</w:t>
      </w:r>
    </w:p>
    <w:p w14:paraId="1108B429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skládek dodaného uhlí a palivového dříví; nejdéle však po dobu tří dnů od dodávky nebo složení,</w:t>
      </w:r>
    </w:p>
    <w:p w14:paraId="15F446CA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skládek stavebního materiálu; osvobození končí uplynutím 30 dnů po kolaudaci stavby nebo skončení platnosti povolení stavby,</w:t>
      </w:r>
    </w:p>
    <w:p w14:paraId="574C6835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umístění lešení pro opravu objektů; osvobození končí uplynutím 30 dnů od schválení zvláštního užívání orgánem obce,</w:t>
      </w:r>
    </w:p>
    <w:p w14:paraId="29469544" w14:textId="77777777" w:rsidR="00E7180B" w:rsidRPr="00E7180B" w:rsidRDefault="00E7180B" w:rsidP="00E7180B">
      <w:pPr>
        <w:numPr>
          <w:ilvl w:val="1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umístění zařízení cirkusů, lunaparků a jiných obdobných atrakcí v době konání </w:t>
      </w:r>
      <w:proofErr w:type="spellStart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Kvasické</w:t>
      </w:r>
      <w:proofErr w:type="spellEnd"/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 xml:space="preserve"> pouti.</w:t>
      </w:r>
    </w:p>
    <w:p w14:paraId="13D92DA5" w14:textId="77777777" w:rsidR="00E7180B" w:rsidRPr="00E7180B" w:rsidRDefault="00E7180B" w:rsidP="00E7180B">
      <w:pPr>
        <w:numPr>
          <w:ilvl w:val="0"/>
          <w:numId w:val="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lastRenderedPageBreak/>
        <w:t>V případě, že poplatník nesplní povinnost ohlásit údaj rozhodný pro osvobození ve lhůtách stanovených touto vyhláškou nebo zákonem, nárok na osvobození zaniká.</w:t>
      </w:r>
    </w:p>
    <w:p w14:paraId="0DB8C18D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8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Zrušovací ustanovení</w:t>
      </w:r>
    </w:p>
    <w:p w14:paraId="03E5F0F4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Zrušuje se obecně závazná vyhláška č. 4/2023, o místním poplatku za užívání veřejného prostranství, ze dne 7. prosince 2023.</w:t>
      </w:r>
    </w:p>
    <w:p w14:paraId="275972FF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</w:p>
    <w:p w14:paraId="2D9D5683" w14:textId="77777777" w:rsidR="00E7180B" w:rsidRPr="00E7180B" w:rsidRDefault="00E7180B" w:rsidP="00E7180B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t>Čl. 9</w:t>
      </w:r>
      <w:r w:rsidRPr="00E7180B">
        <w:rPr>
          <w:rFonts w:ascii="Arial" w:eastAsia="Times New Roman" w:hAnsi="Arial" w:cs="Arial Unicode MS"/>
          <w:b/>
          <w:bCs/>
          <w:kern w:val="3"/>
          <w:sz w:val="24"/>
          <w:szCs w:val="24"/>
          <w:lang w:eastAsia="zh-CN" w:bidi="hi-IN"/>
          <w14:ligatures w14:val="none"/>
        </w:rPr>
        <w:br/>
        <w:t>Účinnost</w:t>
      </w:r>
    </w:p>
    <w:p w14:paraId="080CAA13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  <w:r w:rsidRPr="00E7180B">
        <w:rPr>
          <w:rFonts w:ascii="Arial" w:eastAsia="Times New Roman" w:hAnsi="Arial" w:cs="Arial"/>
          <w:kern w:val="3"/>
          <w:lang w:eastAsia="zh-CN" w:bidi="hi-IN"/>
          <w14:ligatures w14:val="none"/>
        </w:rPr>
        <w:t>Tato vyhláška nabývá účinnosti dnem 1. května 2026.</w:t>
      </w:r>
    </w:p>
    <w:p w14:paraId="68E53D24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</w:p>
    <w:p w14:paraId="3D678EA8" w14:textId="77777777" w:rsid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</w:p>
    <w:p w14:paraId="04B40B04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</w:p>
    <w:p w14:paraId="48D8912E" w14:textId="77777777" w:rsidR="00E7180B" w:rsidRPr="00E7180B" w:rsidRDefault="00E7180B" w:rsidP="00E7180B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zh-CN" w:bidi="hi-IN"/>
          <w14:ligatures w14:val="none"/>
        </w:rPr>
      </w:pPr>
    </w:p>
    <w:tbl>
      <w:tblPr>
        <w:tblW w:w="1039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98"/>
        <w:gridCol w:w="5199"/>
      </w:tblGrid>
      <w:tr w:rsidR="00E7180B" w:rsidRPr="00E7180B" w14:paraId="3A42A453" w14:textId="77777777" w:rsidTr="00844E9D">
        <w:trPr>
          <w:trHeight w:hRule="exact" w:val="550"/>
        </w:trPr>
        <w:tc>
          <w:tcPr>
            <w:tcW w:w="5198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7467CDC" w14:textId="77777777" w:rsidR="00E7180B" w:rsidRPr="00E7180B" w:rsidRDefault="00E7180B" w:rsidP="00E7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lang w:eastAsia="zh-CN" w:bidi="hi-IN"/>
                <w14:ligatures w14:val="none"/>
              </w:rPr>
            </w:pPr>
            <w:r w:rsidRPr="00E7180B">
              <w:rPr>
                <w:rFonts w:ascii="Arial" w:eastAsia="Times New Roman" w:hAnsi="Arial" w:cs="Arial"/>
                <w:kern w:val="3"/>
                <w:lang w:eastAsia="zh-CN" w:bidi="hi-IN"/>
                <w14:ligatures w14:val="none"/>
              </w:rPr>
              <w:t>Ing. Dušan Odehnal v. r.</w:t>
            </w:r>
            <w:r w:rsidRPr="00E7180B">
              <w:rPr>
                <w:rFonts w:ascii="Arial" w:eastAsia="Times New Roman" w:hAnsi="Arial" w:cs="Arial"/>
                <w:kern w:val="3"/>
                <w:lang w:eastAsia="zh-CN" w:bidi="hi-IN"/>
                <w14:ligatures w14:val="none"/>
              </w:rPr>
              <w:br/>
              <w:t xml:space="preserve"> starosta</w:t>
            </w:r>
          </w:p>
        </w:tc>
        <w:tc>
          <w:tcPr>
            <w:tcW w:w="519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30D406" w14:textId="77777777" w:rsidR="00E7180B" w:rsidRPr="00E7180B" w:rsidRDefault="00E7180B" w:rsidP="00E7180B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3"/>
                <w:lang w:eastAsia="zh-CN" w:bidi="hi-IN"/>
                <w14:ligatures w14:val="none"/>
              </w:rPr>
            </w:pPr>
            <w:r w:rsidRPr="00E7180B">
              <w:rPr>
                <w:rFonts w:ascii="Arial" w:eastAsia="Times New Roman" w:hAnsi="Arial" w:cs="Arial"/>
                <w:kern w:val="3"/>
                <w:lang w:eastAsia="zh-CN" w:bidi="hi-IN"/>
                <w14:ligatures w14:val="none"/>
              </w:rPr>
              <w:t>Tomáš Kahaja v. r.</w:t>
            </w:r>
            <w:r w:rsidRPr="00E7180B">
              <w:rPr>
                <w:rFonts w:ascii="Arial" w:eastAsia="Times New Roman" w:hAnsi="Arial" w:cs="Arial"/>
                <w:kern w:val="3"/>
                <w:lang w:eastAsia="zh-CN" w:bidi="hi-IN"/>
                <w14:ligatures w14:val="none"/>
              </w:rPr>
              <w:br/>
              <w:t xml:space="preserve"> místostarosta</w:t>
            </w:r>
          </w:p>
        </w:tc>
      </w:tr>
    </w:tbl>
    <w:p w14:paraId="29A6DC32" w14:textId="77777777" w:rsidR="00E7180B" w:rsidRPr="00E7180B" w:rsidRDefault="00E7180B" w:rsidP="00E7180B">
      <w:pPr>
        <w:suppressAutoHyphens/>
        <w:autoSpaceDN w:val="0"/>
        <w:spacing w:after="0" w:line="240" w:lineRule="auto"/>
        <w:textAlignment w:val="baseline"/>
        <w:rPr>
          <w:rFonts w:ascii="Liberation Serif" w:eastAsia="Times New Roman" w:hAnsi="Liberation Serif" w:cs="Arial Unicode MS"/>
          <w:kern w:val="3"/>
          <w:sz w:val="24"/>
          <w:szCs w:val="24"/>
          <w:lang w:eastAsia="zh-CN" w:bidi="hi-IN"/>
          <w14:ligatures w14:val="none"/>
        </w:rPr>
      </w:pPr>
    </w:p>
    <w:p w14:paraId="4A03C06B" w14:textId="77777777" w:rsidR="008C5A59" w:rsidRDefault="008C5A59"/>
    <w:sectPr w:rsidR="008C5A59" w:rsidSect="00BF506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D761" w14:textId="77777777" w:rsidR="00D03443" w:rsidRDefault="00D03443" w:rsidP="00E7180B">
      <w:pPr>
        <w:spacing w:after="0" w:line="240" w:lineRule="auto"/>
      </w:pPr>
      <w:r>
        <w:separator/>
      </w:r>
    </w:p>
  </w:endnote>
  <w:endnote w:type="continuationSeparator" w:id="0">
    <w:p w14:paraId="6D7E8118" w14:textId="77777777" w:rsidR="00D03443" w:rsidRDefault="00D03443" w:rsidP="00E71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ECD72" w14:textId="77777777" w:rsidR="00D03443" w:rsidRDefault="00D03443" w:rsidP="00E7180B">
      <w:pPr>
        <w:spacing w:after="0" w:line="240" w:lineRule="auto"/>
      </w:pPr>
      <w:r>
        <w:separator/>
      </w:r>
    </w:p>
  </w:footnote>
  <w:footnote w:type="continuationSeparator" w:id="0">
    <w:p w14:paraId="3717A4FF" w14:textId="77777777" w:rsidR="00D03443" w:rsidRDefault="00D03443" w:rsidP="00E7180B">
      <w:pPr>
        <w:spacing w:after="0" w:line="240" w:lineRule="auto"/>
      </w:pPr>
      <w:r>
        <w:continuationSeparator/>
      </w:r>
    </w:p>
  </w:footnote>
  <w:footnote w:id="1">
    <w:p w14:paraId="3EC77D8A" w14:textId="77777777" w:rsidR="00E7180B" w:rsidRDefault="00E7180B" w:rsidP="00E7180B">
      <w:pPr>
        <w:pStyle w:val="Footnote"/>
      </w:pPr>
      <w:r>
        <w:rPr>
          <w:rStyle w:val="Znakapoznpodarou"/>
          <w:rFonts w:cs="Arial"/>
        </w:rPr>
        <w:footnoteRef/>
      </w:r>
      <w:r>
        <w:t>§ 15 odst. 1 zákona o místních poplatcích.</w:t>
      </w:r>
    </w:p>
    <w:p w14:paraId="0627FEB0" w14:textId="77777777" w:rsidR="00E7180B" w:rsidRDefault="00E7180B" w:rsidP="00E7180B">
      <w:pPr>
        <w:pStyle w:val="Footnote"/>
      </w:pPr>
    </w:p>
  </w:footnote>
  <w:footnote w:id="2">
    <w:p w14:paraId="015A2E0E" w14:textId="77777777" w:rsidR="00E7180B" w:rsidRDefault="00E7180B" w:rsidP="00E7180B">
      <w:pPr>
        <w:pStyle w:val="Footnote"/>
      </w:pPr>
      <w:r>
        <w:rPr>
          <w:rStyle w:val="Znakapoznpodarou"/>
        </w:rPr>
        <w:footnoteRef/>
      </w:r>
      <w:r>
        <w:t>§ 4 odst. 1 zákona o místních poplatcích.</w:t>
      </w:r>
    </w:p>
    <w:p w14:paraId="7BA571ED" w14:textId="77777777" w:rsidR="00E7180B" w:rsidRDefault="00E7180B" w:rsidP="00E7180B">
      <w:pPr>
        <w:pStyle w:val="Footnote"/>
      </w:pPr>
    </w:p>
  </w:footnote>
  <w:footnote w:id="3">
    <w:p w14:paraId="15107CB3" w14:textId="77777777" w:rsidR="00E7180B" w:rsidRDefault="00E7180B" w:rsidP="00E7180B">
      <w:pPr>
        <w:pStyle w:val="Footnote"/>
      </w:pPr>
      <w:r>
        <w:rPr>
          <w:rStyle w:val="Znakapoznpodarou"/>
        </w:rPr>
        <w:footnoteRef/>
      </w:r>
      <w:r>
        <w:t>§ 4 odst. 2 zákona o místních poplatcích.</w:t>
      </w:r>
    </w:p>
    <w:p w14:paraId="348C97C0" w14:textId="77777777" w:rsidR="00E7180B" w:rsidRDefault="00E7180B" w:rsidP="00E7180B">
      <w:pPr>
        <w:pStyle w:val="Footnote"/>
      </w:pPr>
    </w:p>
  </w:footnote>
  <w:footnote w:id="4">
    <w:p w14:paraId="10A6677C" w14:textId="77777777" w:rsidR="00E7180B" w:rsidRDefault="00E7180B" w:rsidP="00E7180B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  <w:p w14:paraId="5ADCC581" w14:textId="77777777" w:rsidR="00E7180B" w:rsidRDefault="00E7180B" w:rsidP="00E7180B">
      <w:pPr>
        <w:pStyle w:val="Footnote"/>
      </w:pPr>
    </w:p>
  </w:footnote>
  <w:footnote w:id="5">
    <w:p w14:paraId="6291CE50" w14:textId="77777777" w:rsidR="00E7180B" w:rsidRDefault="00E7180B" w:rsidP="00E7180B">
      <w:pPr>
        <w:pStyle w:val="Footnote"/>
      </w:pPr>
      <w:r>
        <w:rPr>
          <w:rStyle w:val="Znakapoznpodarou"/>
        </w:rPr>
        <w:footnoteRef/>
      </w:r>
      <w:r>
        <w:t>§ 14a odst. 4 zákona o místních poplatcích.</w:t>
      </w:r>
    </w:p>
    <w:p w14:paraId="0EA4B4D9" w14:textId="77777777" w:rsidR="00E7180B" w:rsidRDefault="00E7180B" w:rsidP="00E7180B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F84"/>
    <w:multiLevelType w:val="multilevel"/>
    <w:tmpl w:val="FFFFFFFF"/>
    <w:lvl w:ilvl="0">
      <w:start w:val="1"/>
      <w:numFmt w:val="decimal"/>
      <w:lvlText w:val="(%1)"/>
      <w:lvlJc w:val="left"/>
      <w:pPr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964" w:hanging="397"/>
      </w:pPr>
      <w:rPr>
        <w:rFonts w:cs="Times New Roman" w:hint="default"/>
      </w:rPr>
    </w:lvl>
    <w:lvl w:ilvl="2">
      <w:start w:val="1"/>
      <w:numFmt w:val="decimal"/>
      <w:lvlText w:val="(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decimal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(%7)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decimal"/>
      <w:lvlText w:val="(%9)"/>
      <w:lvlJc w:val="left"/>
      <w:pPr>
        <w:ind w:left="3600" w:hanging="360"/>
      </w:pPr>
      <w:rPr>
        <w:rFonts w:cs="Times New Roman" w:hint="default"/>
      </w:rPr>
    </w:lvl>
  </w:abstractNum>
  <w:num w:numId="1" w16cid:durableId="1197548341">
    <w:abstractNumId w:val="0"/>
  </w:num>
  <w:num w:numId="2" w16cid:durableId="1321690208">
    <w:abstractNumId w:val="0"/>
    <w:lvlOverride w:ilvl="0">
      <w:startOverride w:val="1"/>
    </w:lvlOverride>
  </w:num>
  <w:num w:numId="3" w16cid:durableId="191118632">
    <w:abstractNumId w:val="0"/>
    <w:lvlOverride w:ilvl="0">
      <w:startOverride w:val="1"/>
    </w:lvlOverride>
  </w:num>
  <w:num w:numId="4" w16cid:durableId="2002611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0B"/>
    <w:rsid w:val="002B0086"/>
    <w:rsid w:val="006573BA"/>
    <w:rsid w:val="00835544"/>
    <w:rsid w:val="008C5A59"/>
    <w:rsid w:val="00C029B3"/>
    <w:rsid w:val="00D03443"/>
    <w:rsid w:val="00E7180B"/>
    <w:rsid w:val="00F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0BA7"/>
  <w15:chartTrackingRefBased/>
  <w15:docId w15:val="{AD525307-E8D8-4CB3-810E-19F62818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180B"/>
    <w:pPr>
      <w:keepNext/>
      <w:suppressAutoHyphens/>
      <w:autoSpaceDN w:val="0"/>
      <w:spacing w:before="238" w:after="238" w:line="240" w:lineRule="auto"/>
      <w:jc w:val="center"/>
      <w:textAlignment w:val="baseline"/>
      <w:outlineLvl w:val="0"/>
    </w:pPr>
    <w:rPr>
      <w:rFonts w:ascii="Arial" w:eastAsia="Times New Roman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7180B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Times New Roman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180B"/>
    <w:rPr>
      <w:rFonts w:ascii="Arial" w:eastAsia="Times New Roman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E7180B"/>
    <w:rPr>
      <w:rFonts w:ascii="Arial" w:eastAsia="Times New Roman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styleId="Nzev">
    <w:name w:val="Title"/>
    <w:basedOn w:val="Normln"/>
    <w:next w:val="Normln"/>
    <w:link w:val="NzevChar"/>
    <w:uiPriority w:val="10"/>
    <w:qFormat/>
    <w:rsid w:val="00E7180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Times New Roman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E7180B"/>
    <w:rPr>
      <w:rFonts w:ascii="Arial" w:eastAsia="Times New Roman" w:hAnsi="Arial" w:cs="Arial Unicode MS"/>
      <w:b/>
      <w:bCs/>
      <w:kern w:val="3"/>
      <w:sz w:val="24"/>
      <w:szCs w:val="24"/>
      <w:lang w:eastAsia="zh-CN" w:bidi="hi-IN"/>
      <w14:ligatures w14:val="none"/>
    </w:rPr>
  </w:style>
  <w:style w:type="paragraph" w:customStyle="1" w:styleId="UvodniVeta">
    <w:name w:val="UvodniVeta"/>
    <w:basedOn w:val="Normln"/>
    <w:rsid w:val="00E7180B"/>
    <w:pPr>
      <w:suppressAutoHyphens/>
      <w:autoSpaceDN w:val="0"/>
      <w:spacing w:before="62" w:after="120" w:line="276" w:lineRule="auto"/>
      <w:jc w:val="both"/>
      <w:textAlignment w:val="baseline"/>
    </w:pPr>
    <w:rPr>
      <w:rFonts w:ascii="Arial" w:eastAsia="Times New Roman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E7180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Times New Roman" w:hAnsi="Arial" w:cs="Arial"/>
      <w:kern w:val="3"/>
      <w:lang w:eastAsia="zh-CN" w:bidi="hi-IN"/>
      <w14:ligatures w14:val="none"/>
    </w:rPr>
  </w:style>
  <w:style w:type="paragraph" w:customStyle="1" w:styleId="Footnote">
    <w:name w:val="Footnote"/>
    <w:basedOn w:val="Normln"/>
    <w:rsid w:val="00E7180B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ascii="Arial" w:eastAsia="Times New Roman" w:hAnsi="Arial" w:cs="Arial"/>
      <w:kern w:val="3"/>
      <w:sz w:val="18"/>
      <w:szCs w:val="18"/>
      <w:lang w:eastAsia="zh-CN" w:bidi="hi-IN"/>
      <w14:ligatures w14:val="none"/>
    </w:rPr>
  </w:style>
  <w:style w:type="character" w:styleId="Znakapoznpodarou">
    <w:name w:val="footnote reference"/>
    <w:basedOn w:val="Standardnpsmoodstavce"/>
    <w:rsid w:val="00E7180B"/>
    <w:rPr>
      <w:rFonts w:cs="Times New Roman"/>
      <w:position w:val="0"/>
      <w:vertAlign w:val="superscript"/>
    </w:rPr>
  </w:style>
  <w:style w:type="paragraph" w:customStyle="1" w:styleId="PodpisovePole">
    <w:name w:val="PodpisovePole"/>
    <w:basedOn w:val="Normln"/>
    <w:rsid w:val="00E7180B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Times New Roman" w:hAnsi="Arial" w:cs="Ari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827</Words>
  <Characters>4882</Characters>
  <Application>Microsoft Office Word</Application>
  <DocSecurity>0</DocSecurity>
  <Lines>40</Lines>
  <Paragraphs>11</Paragraphs>
  <ScaleCrop>false</ScaleCrop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</dc:creator>
  <cp:keywords/>
  <dc:description/>
  <cp:lastModifiedBy>horova</cp:lastModifiedBy>
  <cp:revision>3</cp:revision>
  <dcterms:created xsi:type="dcterms:W3CDTF">2026-04-07T06:26:00Z</dcterms:created>
  <dcterms:modified xsi:type="dcterms:W3CDTF">2026-04-13T05:23:00Z</dcterms:modified>
</cp:coreProperties>
</file>