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2CA9895E" w:rsidR="00455210" w:rsidRPr="00FD7DB7" w:rsidRDefault="008A4B6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8A4B66">
              <w:rPr>
                <w:rFonts w:ascii="Times New Roman" w:hAnsi="Times New Roman"/>
              </w:rPr>
              <w:t>SZ UKZUZ 146387/2023/43450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7AA89E97" w:rsidR="00455210" w:rsidRPr="00FD7DB7" w:rsidRDefault="005641C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641C2">
              <w:rPr>
                <w:rFonts w:ascii="Times New Roman" w:hAnsi="Times New Roman"/>
              </w:rPr>
              <w:t>UKZUZ 071013/2024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6452AF9E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UKZ /</w:t>
            </w:r>
            <w:r w:rsidR="008A4B66">
              <w:t xml:space="preserve"> </w:t>
            </w:r>
            <w:r w:rsidR="008A4B66" w:rsidRPr="008A4B66">
              <w:rPr>
                <w:rFonts w:ascii="Times New Roman" w:hAnsi="Times New Roman"/>
              </w:rPr>
              <w:t xml:space="preserve">quickphos </w:t>
            </w:r>
            <w:r w:rsidR="008A4B66">
              <w:rPr>
                <w:rFonts w:ascii="Times New Roman" w:hAnsi="Times New Roman"/>
              </w:rPr>
              <w:t>pellets</w:t>
            </w:r>
            <w:r w:rsidR="008A4B66" w:rsidRPr="008A4B66">
              <w:rPr>
                <w:rFonts w:ascii="Times New Roman" w:hAnsi="Times New Roman"/>
              </w:rPr>
              <w:t xml:space="preserve"> 56 ge</w:t>
            </w:r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25D486C6" w:rsidR="00455210" w:rsidRPr="00564FF8" w:rsidRDefault="000605E4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605E4">
              <w:rPr>
                <w:rFonts w:ascii="Times New Roman" w:hAnsi="Times New Roman"/>
              </w:rPr>
              <w:t>23</w:t>
            </w:r>
            <w:r w:rsidR="00DA0D86" w:rsidRPr="000605E4">
              <w:rPr>
                <w:rFonts w:ascii="Times New Roman" w:hAnsi="Times New Roman"/>
              </w:rPr>
              <w:t xml:space="preserve">. </w:t>
            </w:r>
            <w:r w:rsidR="001218DB" w:rsidRPr="000605E4">
              <w:rPr>
                <w:rFonts w:ascii="Times New Roman" w:hAnsi="Times New Roman"/>
              </w:rPr>
              <w:t>dubna</w:t>
            </w:r>
            <w:r w:rsidR="00DA0D86" w:rsidRPr="000605E4">
              <w:rPr>
                <w:rFonts w:ascii="Times New Roman" w:hAnsi="Times New Roman"/>
              </w:rPr>
              <w:t xml:space="preserve"> 202</w:t>
            </w:r>
            <w:r w:rsidR="008F052C" w:rsidRPr="000605E4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5AD77D36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8A4B66" w:rsidRPr="008A4B66">
        <w:rPr>
          <w:rFonts w:ascii="Times New Roman" w:hAnsi="Times New Roman"/>
          <w:b/>
          <w:sz w:val="28"/>
          <w:szCs w:val="28"/>
        </w:rPr>
        <w:t xml:space="preserve">Quickphos </w:t>
      </w:r>
      <w:r w:rsidR="008A4B66">
        <w:rPr>
          <w:rFonts w:ascii="Times New Roman" w:hAnsi="Times New Roman"/>
          <w:b/>
          <w:sz w:val="28"/>
          <w:szCs w:val="28"/>
        </w:rPr>
        <w:t>Pellets</w:t>
      </w:r>
      <w:r w:rsidR="008A4B66" w:rsidRPr="008A4B66">
        <w:rPr>
          <w:rFonts w:ascii="Times New Roman" w:hAnsi="Times New Roman"/>
          <w:b/>
          <w:sz w:val="28"/>
          <w:szCs w:val="28"/>
        </w:rPr>
        <w:t xml:space="preserve"> 56 GE </w:t>
      </w:r>
      <w:r w:rsidR="00072478">
        <w:rPr>
          <w:rFonts w:ascii="Times New Roman" w:hAnsi="Times New Roman"/>
          <w:b/>
          <w:sz w:val="28"/>
          <w:szCs w:val="28"/>
        </w:rPr>
        <w:t>(</w:t>
      </w:r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9E5D6D">
        <w:rPr>
          <w:rFonts w:ascii="Times New Roman" w:hAnsi="Times New Roman"/>
          <w:b/>
          <w:sz w:val="28"/>
          <w:szCs w:val="28"/>
        </w:rPr>
        <w:t>5</w:t>
      </w:r>
      <w:r w:rsidR="008A4B66">
        <w:rPr>
          <w:rFonts w:ascii="Times New Roman" w:hAnsi="Times New Roman"/>
          <w:b/>
          <w:sz w:val="28"/>
          <w:szCs w:val="28"/>
        </w:rPr>
        <w:t>185</w:t>
      </w:r>
      <w:r w:rsidR="00E20B8D" w:rsidRPr="009E5D6D">
        <w:rPr>
          <w:rFonts w:ascii="Times New Roman" w:hAnsi="Times New Roman"/>
          <w:b/>
          <w:iCs/>
          <w:sz w:val="28"/>
          <w:szCs w:val="28"/>
        </w:rPr>
        <w:t>-</w:t>
      </w:r>
      <w:r w:rsidR="009A23FB" w:rsidRPr="009E5D6D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10063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4"/>
        <w:gridCol w:w="1559"/>
        <w:gridCol w:w="568"/>
        <w:gridCol w:w="1983"/>
        <w:gridCol w:w="1842"/>
      </w:tblGrid>
      <w:tr w:rsidR="009A23FB" w:rsidRPr="009A23FB" w14:paraId="3F8DA91B" w14:textId="77777777" w:rsidTr="00287502">
        <w:tc>
          <w:tcPr>
            <w:tcW w:w="2127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984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559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8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98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842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312CB71F" w:rsidR="009A23FB" w:rsidRPr="009A23FB" w:rsidRDefault="009A23FB" w:rsidP="00B30A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8A4B66" w:rsidRPr="008A4B66" w14:paraId="23210DF1" w14:textId="77777777" w:rsidTr="00287502">
        <w:trPr>
          <w:trHeight w:val="57"/>
        </w:trPr>
        <w:tc>
          <w:tcPr>
            <w:tcW w:w="2127" w:type="dxa"/>
          </w:tcPr>
          <w:p w14:paraId="1A70954E" w14:textId="73DDD0B5" w:rsidR="008A4B66" w:rsidRPr="008A4B66" w:rsidRDefault="008A4B66" w:rsidP="008A4B6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4B66">
              <w:rPr>
                <w:rFonts w:ascii="Times New Roman" w:hAnsi="Times New Roman"/>
                <w:iCs/>
                <w:sz w:val="24"/>
                <w:szCs w:val="24"/>
              </w:rPr>
              <w:t>dřevo v přepravních kontejnerech</w:t>
            </w:r>
          </w:p>
        </w:tc>
        <w:tc>
          <w:tcPr>
            <w:tcW w:w="1984" w:type="dxa"/>
          </w:tcPr>
          <w:p w14:paraId="6C1C8A47" w14:textId="5898A171" w:rsidR="008A4B66" w:rsidRPr="008A4B66" w:rsidRDefault="008A4B66" w:rsidP="008A4B6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4B66">
              <w:rPr>
                <w:rFonts w:ascii="Times New Roman" w:hAnsi="Times New Roman"/>
                <w:iCs/>
                <w:sz w:val="24"/>
                <w:szCs w:val="24"/>
              </w:rPr>
              <w:t>dřevokazný hmyz</w:t>
            </w:r>
          </w:p>
        </w:tc>
        <w:tc>
          <w:tcPr>
            <w:tcW w:w="1559" w:type="dxa"/>
          </w:tcPr>
          <w:p w14:paraId="3859AA38" w14:textId="77777777" w:rsidR="00287502" w:rsidRDefault="008A4B66" w:rsidP="008A4B6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Pr="008A4B66">
              <w:rPr>
                <w:rFonts w:ascii="Times New Roman" w:hAnsi="Times New Roman"/>
                <w:iCs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pelet</w:t>
            </w:r>
            <w:r w:rsidRPr="008A4B66">
              <w:rPr>
                <w:rFonts w:ascii="Times New Roman" w:hAnsi="Times New Roman"/>
                <w:iCs/>
                <w:sz w:val="24"/>
                <w:szCs w:val="24"/>
              </w:rPr>
              <w:t>/m</w:t>
            </w:r>
            <w:r w:rsidRPr="008A4B66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>3</w:t>
            </w:r>
          </w:p>
          <w:p w14:paraId="1DF1C7CC" w14:textId="6B9B1AA2" w:rsidR="008A4B66" w:rsidRPr="008A4B66" w:rsidRDefault="00287502" w:rsidP="008A4B66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(= 5 g fosfinu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/ m</w:t>
            </w:r>
            <w:r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>3</w:t>
            </w:r>
            <w:r w:rsidRPr="004902D2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568" w:type="dxa"/>
          </w:tcPr>
          <w:p w14:paraId="2220BE7F" w14:textId="467BED2C" w:rsidR="008A4B66" w:rsidRPr="008A4B66" w:rsidRDefault="008A4B66" w:rsidP="008A4B6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4B66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14:paraId="62B41255" w14:textId="7486D737" w:rsidR="008A4B66" w:rsidRPr="008A4B66" w:rsidRDefault="008A4B66" w:rsidP="008A4B6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8A4B6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po naskladnění</w:t>
            </w:r>
          </w:p>
        </w:tc>
        <w:tc>
          <w:tcPr>
            <w:tcW w:w="1842" w:type="dxa"/>
          </w:tcPr>
          <w:p w14:paraId="31304057" w14:textId="59B82CCE" w:rsidR="008A4B66" w:rsidRPr="008A4B66" w:rsidRDefault="008A4B66" w:rsidP="008A4B66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bookmarkEnd w:id="0"/>
    <w:p w14:paraId="444A97D8" w14:textId="08D17207" w:rsidR="00AF0AC0" w:rsidRDefault="00BF38D4" w:rsidP="004B5713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BF38D4">
        <w:rPr>
          <w:rFonts w:ascii="Times New Roman" w:hAnsi="Times New Roman"/>
          <w:sz w:val="24"/>
          <w:szCs w:val="24"/>
          <w:lang w:eastAsia="cs-CZ"/>
        </w:rPr>
        <w:t xml:space="preserve">(–) – </w:t>
      </w:r>
      <w:r w:rsidR="00BE512E">
        <w:rPr>
          <w:rFonts w:ascii="Times New Roman" w:hAnsi="Times New Roman"/>
          <w:sz w:val="24"/>
          <w:szCs w:val="24"/>
          <w:lang w:eastAsia="cs-CZ"/>
        </w:rPr>
        <w:t>o</w:t>
      </w:r>
      <w:r w:rsidR="008A4B66" w:rsidRPr="008A4B66">
        <w:rPr>
          <w:rFonts w:ascii="Times New Roman" w:hAnsi="Times New Roman"/>
          <w:sz w:val="24"/>
          <w:szCs w:val="24"/>
          <w:lang w:eastAsia="cs-CZ"/>
        </w:rPr>
        <w:t>chrannou lhůtu není třeba stanovit. Je pokryta dobou nutnou na odvětrání kontejneru.</w:t>
      </w:r>
    </w:p>
    <w:p w14:paraId="14375E5B" w14:textId="77777777" w:rsidR="00BE512E" w:rsidRDefault="00BE512E" w:rsidP="004B5713">
      <w:pPr>
        <w:pStyle w:val="Bezmezer"/>
        <w:widowControl w:val="0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pPr w:leftFromText="141" w:rightFromText="141" w:vertAnchor="text" w:horzAnchor="margin" w:tblpY="92"/>
        <w:tblW w:w="9776" w:type="dxa"/>
        <w:tblLayout w:type="fixed"/>
        <w:tblLook w:val="01E0" w:firstRow="1" w:lastRow="1" w:firstColumn="1" w:lastColumn="1" w:noHBand="0" w:noVBand="0"/>
      </w:tblPr>
      <w:tblGrid>
        <w:gridCol w:w="2405"/>
        <w:gridCol w:w="2693"/>
        <w:gridCol w:w="2127"/>
        <w:gridCol w:w="2551"/>
      </w:tblGrid>
      <w:tr w:rsidR="008A4B66" w:rsidRPr="00B30A55" w14:paraId="11894169" w14:textId="77777777" w:rsidTr="008A4B66">
        <w:tc>
          <w:tcPr>
            <w:tcW w:w="2405" w:type="dxa"/>
          </w:tcPr>
          <w:p w14:paraId="2BED061A" w14:textId="77777777" w:rsidR="008A4B66" w:rsidRPr="00E37EAF" w:rsidRDefault="008A4B66" w:rsidP="001335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2693" w:type="dxa"/>
          </w:tcPr>
          <w:p w14:paraId="3F0FE737" w14:textId="77777777" w:rsidR="008A4B66" w:rsidRPr="00E37EAF" w:rsidRDefault="008A4B66" w:rsidP="00B30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2127" w:type="dxa"/>
          </w:tcPr>
          <w:p w14:paraId="602605AA" w14:textId="77777777" w:rsidR="008A4B66" w:rsidRPr="00E37EAF" w:rsidRDefault="008A4B66" w:rsidP="001335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2551" w:type="dxa"/>
          </w:tcPr>
          <w:p w14:paraId="2DB43F0C" w14:textId="77777777" w:rsidR="008A4B66" w:rsidRPr="00E37EAF" w:rsidRDefault="008A4B66" w:rsidP="00B30A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7EAF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</w:tr>
      <w:tr w:rsidR="008A4B66" w:rsidRPr="008A4B66" w14:paraId="144D4519" w14:textId="77777777" w:rsidTr="008A4B66">
        <w:tc>
          <w:tcPr>
            <w:tcW w:w="2405" w:type="dxa"/>
          </w:tcPr>
          <w:p w14:paraId="599F1250" w14:textId="538EABC8" w:rsidR="008A4B66" w:rsidRPr="00E37EAF" w:rsidRDefault="008A4B66" w:rsidP="008A4B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B66">
              <w:rPr>
                <w:rFonts w:ascii="Times New Roman" w:hAnsi="Times New Roman"/>
                <w:sz w:val="24"/>
                <w:szCs w:val="24"/>
              </w:rPr>
              <w:t>dřevo</w:t>
            </w:r>
          </w:p>
        </w:tc>
        <w:tc>
          <w:tcPr>
            <w:tcW w:w="2693" w:type="dxa"/>
          </w:tcPr>
          <w:p w14:paraId="468E779B" w14:textId="2360FD1C" w:rsidR="008A4B66" w:rsidRPr="00E37EAF" w:rsidRDefault="008A4B66" w:rsidP="008A4B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B66">
              <w:rPr>
                <w:rFonts w:ascii="Times New Roman" w:hAnsi="Times New Roman"/>
                <w:sz w:val="24"/>
                <w:szCs w:val="24"/>
              </w:rPr>
              <w:t xml:space="preserve"> ZÁSADNĚ NEVLHČIT</w:t>
            </w:r>
          </w:p>
        </w:tc>
        <w:tc>
          <w:tcPr>
            <w:tcW w:w="2127" w:type="dxa"/>
          </w:tcPr>
          <w:p w14:paraId="628F4867" w14:textId="5ADAF2C3" w:rsidR="008A4B66" w:rsidRPr="00E37EAF" w:rsidRDefault="008A4B66" w:rsidP="008A4B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B66">
              <w:rPr>
                <w:rFonts w:ascii="Times New Roman" w:hAnsi="Times New Roman"/>
                <w:sz w:val="24"/>
                <w:szCs w:val="24"/>
              </w:rPr>
              <w:t>fumigace</w:t>
            </w:r>
          </w:p>
        </w:tc>
        <w:tc>
          <w:tcPr>
            <w:tcW w:w="2551" w:type="dxa"/>
          </w:tcPr>
          <w:p w14:paraId="2DD9821E" w14:textId="1CA009A5" w:rsidR="008A4B66" w:rsidRPr="00E37EAF" w:rsidRDefault="008A4B66" w:rsidP="008A4B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A4B66">
              <w:rPr>
                <w:rFonts w:ascii="Times New Roman" w:hAnsi="Times New Roman"/>
                <w:sz w:val="24"/>
                <w:szCs w:val="24"/>
              </w:rPr>
              <w:t xml:space="preserve">  1x</w:t>
            </w:r>
          </w:p>
        </w:tc>
      </w:tr>
    </w:tbl>
    <w:p w14:paraId="5E6D3D02" w14:textId="25B915B1" w:rsidR="008A4B66" w:rsidRPr="006B5EB4" w:rsidRDefault="008A4B66" w:rsidP="008A4B66">
      <w:pPr>
        <w:keepNext/>
        <w:spacing w:after="0"/>
        <w:jc w:val="both"/>
        <w:rPr>
          <w:rFonts w:ascii="Times New Roman" w:hAnsi="Times New Roman"/>
          <w:sz w:val="24"/>
          <w:szCs w:val="24"/>
        </w:rPr>
      </w:pPr>
      <w:r w:rsidRPr="006B5EB4">
        <w:rPr>
          <w:rFonts w:ascii="Times New Roman" w:hAnsi="Times New Roman"/>
          <w:b/>
          <w:sz w:val="24"/>
          <w:szCs w:val="24"/>
        </w:rPr>
        <w:lastRenderedPageBreak/>
        <w:t>Doba expozice</w:t>
      </w:r>
      <w:r w:rsidRPr="006B5EB4">
        <w:rPr>
          <w:rFonts w:ascii="Times New Roman" w:hAnsi="Times New Roman"/>
          <w:sz w:val="24"/>
          <w:szCs w:val="24"/>
        </w:rPr>
        <w:t xml:space="preserve"> při fumigaci vzhledem k teplotě dřeva: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4"/>
        <w:gridCol w:w="6268"/>
      </w:tblGrid>
      <w:tr w:rsidR="008A4B66" w:rsidRPr="006B5EB4" w14:paraId="0F4A60A0" w14:textId="77777777" w:rsidTr="00337048">
        <w:trPr>
          <w:trHeight w:hRule="exact" w:val="255"/>
        </w:trPr>
        <w:tc>
          <w:tcPr>
            <w:tcW w:w="2804" w:type="dxa"/>
          </w:tcPr>
          <w:p w14:paraId="1FCA62D3" w14:textId="77777777" w:rsidR="008A4B66" w:rsidRPr="006B5EB4" w:rsidRDefault="008A4B66" w:rsidP="00337048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EB4">
              <w:rPr>
                <w:rFonts w:ascii="Times New Roman" w:hAnsi="Times New Roman"/>
                <w:b/>
                <w:sz w:val="24"/>
                <w:szCs w:val="24"/>
              </w:rPr>
              <w:t xml:space="preserve">teplota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dřeva</w:t>
            </w:r>
          </w:p>
        </w:tc>
        <w:tc>
          <w:tcPr>
            <w:tcW w:w="6268" w:type="dxa"/>
          </w:tcPr>
          <w:p w14:paraId="323DFE1D" w14:textId="77777777" w:rsidR="008A4B66" w:rsidRPr="006B5EB4" w:rsidRDefault="008A4B66" w:rsidP="00337048">
            <w:pPr>
              <w:keepNext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5EB4">
              <w:rPr>
                <w:rFonts w:ascii="Times New Roman" w:hAnsi="Times New Roman"/>
                <w:b/>
                <w:sz w:val="24"/>
                <w:szCs w:val="24"/>
              </w:rPr>
              <w:t xml:space="preserve">minimální doba expozice </w:t>
            </w:r>
          </w:p>
        </w:tc>
      </w:tr>
      <w:tr w:rsidR="008A4B66" w:rsidRPr="006B5EB4" w14:paraId="724D4532" w14:textId="77777777" w:rsidTr="00337048">
        <w:trPr>
          <w:trHeight w:hRule="exact" w:val="255"/>
        </w:trPr>
        <w:tc>
          <w:tcPr>
            <w:tcW w:w="2804" w:type="dxa"/>
          </w:tcPr>
          <w:p w14:paraId="3369958B" w14:textId="77777777" w:rsidR="008A4B66" w:rsidRPr="006B5EB4" w:rsidRDefault="008A4B66" w:rsidP="00337048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pod </w:t>
            </w:r>
            <w:r w:rsidRPr="006B5E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B5EB4">
              <w:rPr>
                <w:rFonts w:ascii="Times New Roman" w:hAnsi="Times New Roman"/>
                <w:sz w:val="24"/>
                <w:szCs w:val="24"/>
              </w:rPr>
              <w:t xml:space="preserve"> °C</w:t>
            </w:r>
          </w:p>
        </w:tc>
        <w:tc>
          <w:tcPr>
            <w:tcW w:w="6268" w:type="dxa"/>
          </w:tcPr>
          <w:p w14:paraId="749AD0E8" w14:textId="77777777" w:rsidR="008A4B66" w:rsidRPr="006B5EB4" w:rsidRDefault="008A4B66" w:rsidP="00337048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EB4">
              <w:rPr>
                <w:rFonts w:ascii="Times New Roman" w:hAnsi="Times New Roman"/>
                <w:sz w:val="24"/>
                <w:szCs w:val="24"/>
              </w:rPr>
              <w:t>fumigace se neprovádí</w:t>
            </w:r>
          </w:p>
        </w:tc>
      </w:tr>
      <w:tr w:rsidR="008A4B66" w:rsidRPr="006B5EB4" w14:paraId="3B5E226B" w14:textId="77777777" w:rsidTr="00337048">
        <w:trPr>
          <w:trHeight w:hRule="exact" w:val="255"/>
        </w:trPr>
        <w:tc>
          <w:tcPr>
            <w:tcW w:w="2804" w:type="dxa"/>
          </w:tcPr>
          <w:p w14:paraId="1964852E" w14:textId="77777777" w:rsidR="008A4B66" w:rsidRPr="006B5EB4" w:rsidRDefault="008A4B66" w:rsidP="00337048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E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 – 15</w:t>
            </w:r>
            <w:r w:rsidRPr="006B5EB4">
              <w:rPr>
                <w:rFonts w:ascii="Times New Roman" w:hAnsi="Times New Roman"/>
                <w:sz w:val="24"/>
                <w:szCs w:val="24"/>
              </w:rPr>
              <w:t xml:space="preserve"> °C</w:t>
            </w:r>
          </w:p>
        </w:tc>
        <w:tc>
          <w:tcPr>
            <w:tcW w:w="6268" w:type="dxa"/>
          </w:tcPr>
          <w:p w14:paraId="4055EC7C" w14:textId="77777777" w:rsidR="008A4B66" w:rsidRPr="006B5EB4" w:rsidRDefault="008A4B66" w:rsidP="00337048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6B5EB4">
              <w:rPr>
                <w:rFonts w:ascii="Times New Roman" w:hAnsi="Times New Roman"/>
                <w:sz w:val="24"/>
                <w:szCs w:val="24"/>
              </w:rPr>
              <w:t xml:space="preserve"> dnů (</w:t>
            </w:r>
            <w:r>
              <w:rPr>
                <w:rFonts w:ascii="Times New Roman" w:hAnsi="Times New Roman"/>
                <w:sz w:val="24"/>
                <w:szCs w:val="24"/>
              </w:rPr>
              <w:t>336</w:t>
            </w:r>
            <w:r w:rsidRPr="006B5EB4">
              <w:rPr>
                <w:rFonts w:ascii="Times New Roman" w:hAnsi="Times New Roman"/>
                <w:sz w:val="24"/>
                <w:szCs w:val="24"/>
              </w:rPr>
              <w:t xml:space="preserve"> hodin)</w:t>
            </w:r>
          </w:p>
        </w:tc>
      </w:tr>
      <w:tr w:rsidR="008A4B66" w:rsidRPr="006B5EB4" w14:paraId="18EF0320" w14:textId="77777777" w:rsidTr="00337048">
        <w:trPr>
          <w:trHeight w:hRule="exact" w:val="255"/>
        </w:trPr>
        <w:tc>
          <w:tcPr>
            <w:tcW w:w="2804" w:type="dxa"/>
          </w:tcPr>
          <w:p w14:paraId="255B46C1" w14:textId="77777777" w:rsidR="008A4B66" w:rsidRPr="006B5EB4" w:rsidRDefault="008A4B66" w:rsidP="00337048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– </w:t>
            </w:r>
            <w:r w:rsidRPr="006B5EB4">
              <w:rPr>
                <w:rFonts w:ascii="Times New Roman" w:hAnsi="Times New Roman"/>
                <w:sz w:val="24"/>
                <w:szCs w:val="24"/>
              </w:rPr>
              <w:t>25 °C</w:t>
            </w:r>
          </w:p>
        </w:tc>
        <w:tc>
          <w:tcPr>
            <w:tcW w:w="6268" w:type="dxa"/>
          </w:tcPr>
          <w:p w14:paraId="39B61276" w14:textId="77777777" w:rsidR="008A4B66" w:rsidRPr="006B5EB4" w:rsidRDefault="008A4B66" w:rsidP="00337048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B5EB4">
              <w:rPr>
                <w:rFonts w:ascii="Times New Roman" w:hAnsi="Times New Roman"/>
                <w:sz w:val="24"/>
                <w:szCs w:val="24"/>
              </w:rPr>
              <w:t xml:space="preserve"> dnů (1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Pr="006B5EB4">
              <w:rPr>
                <w:rFonts w:ascii="Times New Roman" w:hAnsi="Times New Roman"/>
                <w:sz w:val="24"/>
                <w:szCs w:val="24"/>
              </w:rPr>
              <w:t xml:space="preserve"> hodin)</w:t>
            </w:r>
          </w:p>
        </w:tc>
      </w:tr>
      <w:tr w:rsidR="008A4B66" w:rsidRPr="006B5EB4" w14:paraId="52A3D6F6" w14:textId="77777777" w:rsidTr="00337048">
        <w:trPr>
          <w:trHeight w:hRule="exact" w:val="255"/>
        </w:trPr>
        <w:tc>
          <w:tcPr>
            <w:tcW w:w="2804" w:type="dxa"/>
          </w:tcPr>
          <w:p w14:paraId="24579654" w14:textId="77777777" w:rsidR="008A4B66" w:rsidRPr="006B5EB4" w:rsidRDefault="008A4B66" w:rsidP="00337048">
            <w:pPr>
              <w:keepNext/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 – 3</w:t>
            </w:r>
            <w:r w:rsidRPr="006B5EB4">
              <w:rPr>
                <w:rFonts w:ascii="Times New Roman" w:hAnsi="Times New Roman"/>
                <w:sz w:val="24"/>
                <w:szCs w:val="24"/>
              </w:rPr>
              <w:t>5 °C</w:t>
            </w:r>
          </w:p>
        </w:tc>
        <w:tc>
          <w:tcPr>
            <w:tcW w:w="6268" w:type="dxa"/>
          </w:tcPr>
          <w:p w14:paraId="4F2ED4BB" w14:textId="77777777" w:rsidR="008A4B66" w:rsidRPr="006B5EB4" w:rsidRDefault="008A4B66" w:rsidP="00337048">
            <w:pPr>
              <w:keepNext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B5EB4">
              <w:rPr>
                <w:rFonts w:ascii="Times New Roman" w:hAnsi="Times New Roman"/>
                <w:sz w:val="24"/>
                <w:szCs w:val="24"/>
              </w:rPr>
              <w:t xml:space="preserve"> dnů (1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6B5EB4">
              <w:rPr>
                <w:rFonts w:ascii="Times New Roman" w:hAnsi="Times New Roman"/>
                <w:sz w:val="24"/>
                <w:szCs w:val="24"/>
              </w:rPr>
              <w:t xml:space="preserve"> hodin)</w:t>
            </w:r>
          </w:p>
        </w:tc>
      </w:tr>
    </w:tbl>
    <w:p w14:paraId="52EB43DD" w14:textId="77777777" w:rsidR="000605E4" w:rsidRDefault="000605E4" w:rsidP="008A4B6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5CD608" w14:textId="3C02CFD0" w:rsidR="008A4B66" w:rsidRDefault="008A4B66" w:rsidP="008A4B6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C3E45">
        <w:rPr>
          <w:rFonts w:ascii="Times New Roman" w:hAnsi="Times New Roman"/>
          <w:sz w:val="24"/>
          <w:szCs w:val="24"/>
        </w:rPr>
        <w:t xml:space="preserve">Výše uvedená doba je minimální, je vhodné ji o 1 – 2 dny prodloužit. Minimální doba expozice se počítá od ukončení aplikace přípravku. </w:t>
      </w:r>
    </w:p>
    <w:p w14:paraId="6FD0E9F1" w14:textId="77777777" w:rsidR="008A4B66" w:rsidRDefault="008A4B66" w:rsidP="008A4B66">
      <w:pPr>
        <w:keepNext/>
        <w:spacing w:after="0"/>
        <w:ind w:left="-426"/>
        <w:jc w:val="both"/>
        <w:rPr>
          <w:rFonts w:ascii="Times New Roman" w:hAnsi="Times New Roman"/>
          <w:b/>
        </w:rPr>
      </w:pPr>
    </w:p>
    <w:p w14:paraId="38DEFFDC" w14:textId="77777777" w:rsidR="00630987" w:rsidRPr="00B93390" w:rsidRDefault="00630987" w:rsidP="0063098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Aplikace se povoluje při splnění následujících podmínek. </w:t>
      </w:r>
    </w:p>
    <w:p w14:paraId="5E0A7D73" w14:textId="373815A6" w:rsidR="00630987" w:rsidRDefault="00630987" w:rsidP="0063098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C3E45">
        <w:rPr>
          <w:rFonts w:ascii="Times New Roman" w:hAnsi="Times New Roman"/>
          <w:sz w:val="24"/>
          <w:szCs w:val="24"/>
        </w:rPr>
        <w:t>Před ošetřením naskladněného dřeva je třeba provést důkladné utěsnění kontejneru (včetně větracích štěrbin). Utěsnění se doporučuje provést před naskladnění</w:t>
      </w:r>
      <w:r>
        <w:rPr>
          <w:rFonts w:ascii="Times New Roman" w:hAnsi="Times New Roman"/>
          <w:sz w:val="24"/>
          <w:szCs w:val="24"/>
        </w:rPr>
        <w:t>m</w:t>
      </w:r>
      <w:r w:rsidRPr="008C3E45">
        <w:rPr>
          <w:rFonts w:ascii="Times New Roman" w:hAnsi="Times New Roman"/>
          <w:sz w:val="24"/>
          <w:szCs w:val="24"/>
        </w:rPr>
        <w:t xml:space="preserve"> dřeva. Volná zůstanou jen vrata (resp. dveře) kontejneru.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3E45">
        <w:rPr>
          <w:rFonts w:ascii="Times New Roman" w:hAnsi="Times New Roman"/>
          <w:sz w:val="24"/>
          <w:szCs w:val="24"/>
        </w:rPr>
        <w:t>Následně se kontejner naskladní.</w:t>
      </w:r>
    </w:p>
    <w:p w14:paraId="537B9F82" w14:textId="77777777" w:rsidR="00630987" w:rsidRPr="001D3A9B" w:rsidRDefault="00630987" w:rsidP="0063098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D049F">
        <w:rPr>
          <w:rFonts w:ascii="Times New Roman" w:hAnsi="Times New Roman"/>
          <w:sz w:val="24"/>
          <w:szCs w:val="24"/>
        </w:rPr>
        <w:t xml:space="preserve">Prostor </w:t>
      </w:r>
      <w:r w:rsidRPr="001D3A9B">
        <w:rPr>
          <w:rFonts w:ascii="Times New Roman" w:hAnsi="Times New Roman"/>
          <w:sz w:val="24"/>
          <w:szCs w:val="24"/>
        </w:rPr>
        <w:t xml:space="preserve">kolem kontejneru zajistěte před vstupem nepovolaných osob (tj. osob neprovádějících vlastní aplikaci) – ochranná vzdálenost minimálně 10 metrů.  </w:t>
      </w:r>
    </w:p>
    <w:p w14:paraId="48A32C4C" w14:textId="64B7ED20" w:rsidR="00630987" w:rsidRPr="001D3A9B" w:rsidRDefault="00630987" w:rsidP="0063098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D3A9B">
        <w:rPr>
          <w:rFonts w:ascii="Times New Roman" w:hAnsi="Times New Roman"/>
          <w:sz w:val="24"/>
          <w:szCs w:val="24"/>
        </w:rPr>
        <w:t xml:space="preserve">Před aplikací vyzkoušejte uzavírání </w:t>
      </w:r>
      <w:r w:rsidR="000D7A1F" w:rsidRPr="001D3A9B">
        <w:rPr>
          <w:rFonts w:ascii="Times New Roman" w:hAnsi="Times New Roman"/>
          <w:sz w:val="24"/>
          <w:szCs w:val="24"/>
        </w:rPr>
        <w:t>vrat</w:t>
      </w:r>
      <w:r w:rsidRPr="001D3A9B">
        <w:rPr>
          <w:rFonts w:ascii="Times New Roman" w:hAnsi="Times New Roman"/>
          <w:sz w:val="24"/>
          <w:szCs w:val="24"/>
        </w:rPr>
        <w:t xml:space="preserve"> kontejneru. Odstraňte z prostoru </w:t>
      </w:r>
      <w:r w:rsidR="000D7A1F" w:rsidRPr="001D3A9B">
        <w:rPr>
          <w:rFonts w:ascii="Times New Roman" w:hAnsi="Times New Roman"/>
          <w:sz w:val="24"/>
          <w:szCs w:val="24"/>
        </w:rPr>
        <w:t>vrat</w:t>
      </w:r>
      <w:r w:rsidRPr="001D3A9B">
        <w:rPr>
          <w:rFonts w:ascii="Times New Roman" w:hAnsi="Times New Roman"/>
          <w:sz w:val="24"/>
          <w:szCs w:val="24"/>
        </w:rPr>
        <w:t xml:space="preserve"> případné zbytky kůry apod., aby neblokovaly dveře kontejneru. Následně uzavřete jedno křídlo </w:t>
      </w:r>
      <w:r w:rsidR="000D7A1F" w:rsidRPr="001D3A9B">
        <w:rPr>
          <w:rFonts w:ascii="Times New Roman" w:hAnsi="Times New Roman"/>
          <w:sz w:val="24"/>
          <w:szCs w:val="24"/>
        </w:rPr>
        <w:t>vrat</w:t>
      </w:r>
      <w:r w:rsidRPr="001D3A9B">
        <w:rPr>
          <w:rFonts w:ascii="Times New Roman" w:hAnsi="Times New Roman"/>
          <w:sz w:val="24"/>
          <w:szCs w:val="24"/>
        </w:rPr>
        <w:t xml:space="preserve"> kontejneru (má-li kontejner zavírání dvoukřídlými vraty). Aplikace se provádí před uzavřením druhého křídla </w:t>
      </w:r>
      <w:r w:rsidR="000D7A1F" w:rsidRPr="001D3A9B">
        <w:rPr>
          <w:rFonts w:ascii="Times New Roman" w:hAnsi="Times New Roman"/>
          <w:sz w:val="24"/>
          <w:szCs w:val="24"/>
        </w:rPr>
        <w:t>vrat</w:t>
      </w:r>
      <w:r w:rsidRPr="001D3A9B">
        <w:rPr>
          <w:rFonts w:ascii="Times New Roman" w:hAnsi="Times New Roman"/>
          <w:sz w:val="24"/>
          <w:szCs w:val="24"/>
        </w:rPr>
        <w:t xml:space="preserve"> naskladněného kontejneru položením </w:t>
      </w:r>
      <w:r w:rsidR="000D7A1F" w:rsidRPr="001D3A9B">
        <w:rPr>
          <w:rFonts w:ascii="Times New Roman" w:hAnsi="Times New Roman"/>
          <w:sz w:val="24"/>
          <w:szCs w:val="24"/>
        </w:rPr>
        <w:t>pelet</w:t>
      </w:r>
      <w:r w:rsidRPr="001D3A9B">
        <w:rPr>
          <w:rFonts w:ascii="Times New Roman" w:hAnsi="Times New Roman"/>
          <w:sz w:val="24"/>
          <w:szCs w:val="24"/>
        </w:rPr>
        <w:t xml:space="preserve"> na nehořlavou podložku umístěnou na podlaze u </w:t>
      </w:r>
      <w:r w:rsidR="000D7A1F" w:rsidRPr="001D3A9B">
        <w:rPr>
          <w:rFonts w:ascii="Times New Roman" w:hAnsi="Times New Roman"/>
          <w:sz w:val="24"/>
          <w:szCs w:val="24"/>
        </w:rPr>
        <w:t>vrat</w:t>
      </w:r>
      <w:r w:rsidRPr="001D3A9B">
        <w:rPr>
          <w:rFonts w:ascii="Times New Roman" w:hAnsi="Times New Roman"/>
          <w:sz w:val="24"/>
          <w:szCs w:val="24"/>
        </w:rPr>
        <w:t xml:space="preserve"> kontejneru (např. hliníkový tácek). </w:t>
      </w:r>
    </w:p>
    <w:p w14:paraId="36E732EE" w14:textId="77777777" w:rsidR="00630987" w:rsidRPr="001D3A9B" w:rsidRDefault="00630987" w:rsidP="0063098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D3A9B">
        <w:rPr>
          <w:rFonts w:ascii="Times New Roman" w:hAnsi="Times New Roman"/>
          <w:sz w:val="24"/>
          <w:szCs w:val="24"/>
        </w:rPr>
        <w:t xml:space="preserve">Neprovádějte aplikaci při teplotách komodity pod 10 °C. </w:t>
      </w:r>
    </w:p>
    <w:p w14:paraId="5E99ADB3" w14:textId="77777777" w:rsidR="00630987" w:rsidRPr="001D3A9B" w:rsidRDefault="00630987" w:rsidP="0063098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D3A9B">
        <w:rPr>
          <w:rFonts w:ascii="Times New Roman" w:hAnsi="Times New Roman"/>
          <w:sz w:val="24"/>
          <w:szCs w:val="24"/>
        </w:rPr>
        <w:t xml:space="preserve">Aplikaci musí provádět společně minimálně 2 pracovníci, kteří musí být zajištěni další osobou, která nenakládá s přípravkem. </w:t>
      </w:r>
    </w:p>
    <w:p w14:paraId="48A992AE" w14:textId="340C9E72" w:rsidR="00630987" w:rsidRPr="001D3A9B" w:rsidRDefault="00630987" w:rsidP="0063098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D3A9B">
        <w:rPr>
          <w:rFonts w:ascii="Times New Roman" w:hAnsi="Times New Roman"/>
          <w:sz w:val="24"/>
          <w:szCs w:val="24"/>
        </w:rPr>
        <w:t xml:space="preserve">Obaly s </w:t>
      </w:r>
      <w:r w:rsidR="000D7A1F" w:rsidRPr="001D3A9B">
        <w:rPr>
          <w:rFonts w:ascii="Times New Roman" w:hAnsi="Times New Roman"/>
          <w:sz w:val="24"/>
          <w:szCs w:val="24"/>
        </w:rPr>
        <w:t>peletami</w:t>
      </w:r>
      <w:r w:rsidRPr="001D3A9B">
        <w:rPr>
          <w:rFonts w:ascii="Times New Roman" w:hAnsi="Times New Roman"/>
          <w:sz w:val="24"/>
          <w:szCs w:val="24"/>
        </w:rPr>
        <w:t xml:space="preserve"> se otevírají zásadně vně kontejneru (na čerstvém vzduchu, v bezpečné vzdálenosti od nechráněných osob). Hliníková fólie se odstraní a vyfoukne se uvolněný plyn, který se nahromadil pod víčkem. Po vyfouknutí se lahev</w:t>
      </w:r>
      <w:r w:rsidR="000D7A1F" w:rsidRPr="001D3A9B">
        <w:rPr>
          <w:rFonts w:ascii="Times New Roman" w:hAnsi="Times New Roman"/>
          <w:sz w:val="24"/>
          <w:szCs w:val="24"/>
        </w:rPr>
        <w:t>/obal</w:t>
      </w:r>
      <w:r w:rsidRPr="001D3A9B">
        <w:rPr>
          <w:rFonts w:ascii="Times New Roman" w:hAnsi="Times New Roman"/>
          <w:sz w:val="24"/>
          <w:szCs w:val="24"/>
        </w:rPr>
        <w:t xml:space="preserve"> opět uzavře plastovou zátkou. Otevře se až při aplikaci. </w:t>
      </w:r>
    </w:p>
    <w:p w14:paraId="5C227B94" w14:textId="31EBBACD" w:rsidR="000D122B" w:rsidRPr="001D3A9B" w:rsidRDefault="000D122B" w:rsidP="000D122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D3A9B">
        <w:rPr>
          <w:rFonts w:ascii="Times New Roman" w:hAnsi="Times New Roman"/>
          <w:sz w:val="24"/>
          <w:szCs w:val="24"/>
        </w:rPr>
        <w:t xml:space="preserve">Doporučuje se nesahat na přípravek rukou. Obaly otvírejte opatrně, pod víčkem/uzávěrem může být opět nahromaděný fosfin. </w:t>
      </w:r>
    </w:p>
    <w:p w14:paraId="2C6CF135" w14:textId="0E793CE9" w:rsidR="00630987" w:rsidRPr="001D3A9B" w:rsidRDefault="00630987" w:rsidP="000D122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D3A9B">
        <w:rPr>
          <w:rFonts w:ascii="Times New Roman" w:hAnsi="Times New Roman"/>
          <w:sz w:val="24"/>
          <w:szCs w:val="24"/>
        </w:rPr>
        <w:t xml:space="preserve">Urychlování fumigace vlhčením přípravku je zakázáno. </w:t>
      </w:r>
    </w:p>
    <w:p w14:paraId="6A6E497B" w14:textId="318E49FD" w:rsidR="00630987" w:rsidRPr="001D3A9B" w:rsidRDefault="00630987" w:rsidP="0063098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D3A9B">
        <w:rPr>
          <w:rFonts w:ascii="Times New Roman" w:hAnsi="Times New Roman"/>
          <w:sz w:val="24"/>
          <w:szCs w:val="24"/>
        </w:rPr>
        <w:t xml:space="preserve">Po vložení požadovaného množství </w:t>
      </w:r>
      <w:r w:rsidR="000D122B" w:rsidRPr="001D3A9B">
        <w:rPr>
          <w:rFonts w:ascii="Times New Roman" w:hAnsi="Times New Roman"/>
          <w:sz w:val="24"/>
          <w:szCs w:val="24"/>
        </w:rPr>
        <w:t>pelet</w:t>
      </w:r>
      <w:r w:rsidRPr="001D3A9B">
        <w:rPr>
          <w:rFonts w:ascii="Times New Roman" w:hAnsi="Times New Roman"/>
          <w:sz w:val="24"/>
          <w:szCs w:val="24"/>
        </w:rPr>
        <w:t xml:space="preserve"> uzavřete a utěsněte </w:t>
      </w:r>
      <w:r w:rsidR="000D122B" w:rsidRPr="001D3A9B">
        <w:rPr>
          <w:rFonts w:ascii="Times New Roman" w:hAnsi="Times New Roman"/>
          <w:sz w:val="24"/>
          <w:szCs w:val="24"/>
        </w:rPr>
        <w:t>vrata</w:t>
      </w:r>
      <w:r w:rsidRPr="001D3A9B">
        <w:rPr>
          <w:rFonts w:ascii="Times New Roman" w:hAnsi="Times New Roman"/>
          <w:sz w:val="24"/>
          <w:szCs w:val="24"/>
        </w:rPr>
        <w:t xml:space="preserve"> kontejneru. </w:t>
      </w:r>
    </w:p>
    <w:p w14:paraId="2405DB9C" w14:textId="77777777" w:rsidR="00630987" w:rsidRPr="001D3A9B" w:rsidRDefault="00630987" w:rsidP="0063098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D3A9B">
        <w:rPr>
          <w:rFonts w:ascii="Times New Roman" w:hAnsi="Times New Roman"/>
          <w:sz w:val="24"/>
          <w:szCs w:val="24"/>
        </w:rPr>
        <w:t>Během celé doby expozice (tj. při fumigaci) musí zůstat kontejner na místě a není možné s ním manipulant ve smyslu přepravy.</w:t>
      </w:r>
    </w:p>
    <w:p w14:paraId="0FC6C70B" w14:textId="77777777" w:rsidR="00630987" w:rsidRPr="001D3A9B" w:rsidRDefault="00630987" w:rsidP="0063098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D3A9B">
        <w:rPr>
          <w:rFonts w:ascii="Times New Roman" w:hAnsi="Times New Roman"/>
          <w:sz w:val="24"/>
          <w:szCs w:val="24"/>
        </w:rPr>
        <w:t>Kontejnery se třeba zabezpečit před vstupem nepovolaných osob po celou dobu fumigace.</w:t>
      </w:r>
    </w:p>
    <w:p w14:paraId="57CE9C87" w14:textId="228954D7" w:rsidR="00630987" w:rsidRDefault="00630987" w:rsidP="0063098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D3A9B">
        <w:rPr>
          <w:rFonts w:ascii="Times New Roman" w:hAnsi="Times New Roman"/>
          <w:sz w:val="24"/>
          <w:szCs w:val="24"/>
        </w:rPr>
        <w:t xml:space="preserve">Po dobu fumigace je třeba kontejnery průběžně kontrolovat (především stav vstupních </w:t>
      </w:r>
      <w:r w:rsidR="000D122B" w:rsidRPr="001D3A9B">
        <w:rPr>
          <w:rFonts w:ascii="Times New Roman" w:hAnsi="Times New Roman"/>
          <w:sz w:val="24"/>
          <w:szCs w:val="24"/>
        </w:rPr>
        <w:t>vrat</w:t>
      </w:r>
      <w:r w:rsidR="001D3A9B" w:rsidRPr="001D3A9B">
        <w:rPr>
          <w:rFonts w:ascii="Times New Roman" w:hAnsi="Times New Roman"/>
          <w:sz w:val="24"/>
          <w:szCs w:val="24"/>
        </w:rPr>
        <w:t xml:space="preserve"> </w:t>
      </w:r>
      <w:r w:rsidRPr="001D3A9B">
        <w:rPr>
          <w:rFonts w:ascii="Times New Roman" w:hAnsi="Times New Roman"/>
          <w:sz w:val="24"/>
          <w:szCs w:val="24"/>
        </w:rPr>
        <w:t>a možné úniky plynu).</w:t>
      </w:r>
    </w:p>
    <w:p w14:paraId="2C57D557" w14:textId="77777777" w:rsidR="00630987" w:rsidRDefault="00630987" w:rsidP="0063098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A02C78" w14:textId="77777777" w:rsidR="00630987" w:rsidRPr="006757C3" w:rsidRDefault="00630987" w:rsidP="00630987">
      <w:pPr>
        <w:widowControl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757C3">
        <w:rPr>
          <w:rFonts w:ascii="Times New Roman" w:hAnsi="Times New Roman"/>
          <w:b/>
          <w:bCs/>
          <w:sz w:val="24"/>
          <w:szCs w:val="24"/>
        </w:rPr>
        <w:t>Obsluha současně musí zajistit opatření k ochraně následných pracovníků uvedená níže:</w:t>
      </w:r>
    </w:p>
    <w:p w14:paraId="5BD6C478" w14:textId="77777777" w:rsidR="00630987" w:rsidRPr="006757C3" w:rsidRDefault="00630987" w:rsidP="00630987">
      <w:pPr>
        <w:widowControl w:val="0"/>
        <w:numPr>
          <w:ilvl w:val="0"/>
          <w:numId w:val="1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757C3">
        <w:rPr>
          <w:rFonts w:ascii="Times New Roman" w:hAnsi="Times New Roman"/>
          <w:sz w:val="24"/>
          <w:szCs w:val="24"/>
        </w:rPr>
        <w:t xml:space="preserve">ošetřené kontejnery </w:t>
      </w:r>
      <w:r w:rsidRPr="00F30E11">
        <w:rPr>
          <w:rFonts w:ascii="Times New Roman" w:hAnsi="Times New Roman"/>
          <w:bCs/>
          <w:sz w:val="24"/>
          <w:szCs w:val="24"/>
        </w:rPr>
        <w:t>označit</w:t>
      </w:r>
      <w:r w:rsidRPr="006757C3">
        <w:rPr>
          <w:rFonts w:ascii="Times New Roman" w:hAnsi="Times New Roman"/>
          <w:sz w:val="24"/>
          <w:szCs w:val="24"/>
        </w:rPr>
        <w:t xml:space="preserve"> </w:t>
      </w:r>
    </w:p>
    <w:p w14:paraId="593C175E" w14:textId="77777777" w:rsidR="00630987" w:rsidRDefault="00630987" w:rsidP="00630987">
      <w:pPr>
        <w:widowControl w:val="0"/>
        <w:numPr>
          <w:ilvl w:val="0"/>
          <w:numId w:val="1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757C3">
        <w:rPr>
          <w:rFonts w:ascii="Times New Roman" w:hAnsi="Times New Roman"/>
          <w:sz w:val="24"/>
          <w:szCs w:val="24"/>
        </w:rPr>
        <w:t>kromě češtiny i v dalším jazyce, buď oficiálním v zemi odběratele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57C3">
        <w:rPr>
          <w:rFonts w:ascii="Times New Roman" w:hAnsi="Times New Roman"/>
          <w:sz w:val="24"/>
          <w:szCs w:val="24"/>
        </w:rPr>
        <w:t>nebo v jiném světově rozšířeném jazyce např. angličtině tak, aby odběratel nebo i celní orgán získal dostatečné informace</w:t>
      </w:r>
    </w:p>
    <w:p w14:paraId="0CE8D7B1" w14:textId="77777777" w:rsidR="00630987" w:rsidRPr="006757C3" w:rsidRDefault="00630987" w:rsidP="00630987">
      <w:pPr>
        <w:widowControl w:val="0"/>
        <w:numPr>
          <w:ilvl w:val="0"/>
          <w:numId w:val="1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označení se </w:t>
      </w:r>
      <w:r w:rsidRPr="006757C3">
        <w:rPr>
          <w:rFonts w:ascii="Times New Roman" w:hAnsi="Times New Roman"/>
          <w:sz w:val="24"/>
          <w:szCs w:val="24"/>
        </w:rPr>
        <w:t>především</w:t>
      </w:r>
      <w:r>
        <w:rPr>
          <w:rFonts w:ascii="Times New Roman" w:hAnsi="Times New Roman"/>
          <w:sz w:val="24"/>
          <w:szCs w:val="24"/>
        </w:rPr>
        <w:t xml:space="preserve"> uvede</w:t>
      </w:r>
      <w:r w:rsidRPr="006757C3">
        <w:rPr>
          <w:rFonts w:ascii="Times New Roman" w:hAnsi="Times New Roman"/>
          <w:sz w:val="24"/>
          <w:szCs w:val="24"/>
        </w:rPr>
        <w:t>:</w:t>
      </w:r>
    </w:p>
    <w:p w14:paraId="5BA7688E" w14:textId="77777777" w:rsidR="00630987" w:rsidRPr="006757C3" w:rsidRDefault="00630987" w:rsidP="00630987">
      <w:pPr>
        <w:widowControl w:val="0"/>
        <w:numPr>
          <w:ilvl w:val="1"/>
          <w:numId w:val="13"/>
        </w:numPr>
        <w:spacing w:after="0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6757C3">
        <w:rPr>
          <w:rFonts w:ascii="Times New Roman" w:hAnsi="Times New Roman"/>
          <w:sz w:val="24"/>
          <w:szCs w:val="24"/>
        </w:rPr>
        <w:t xml:space="preserve">signální slovo „Nebezpečí – </w:t>
      </w:r>
      <w:r w:rsidRPr="006757C3">
        <w:rPr>
          <w:rFonts w:ascii="Times New Roman" w:hAnsi="Times New Roman"/>
          <w:sz w:val="24"/>
          <w:szCs w:val="24"/>
          <w:lang w:val="en-GB"/>
        </w:rPr>
        <w:t>Danger</w:t>
      </w:r>
      <w:r w:rsidRPr="006757C3">
        <w:rPr>
          <w:rFonts w:ascii="Times New Roman" w:hAnsi="Times New Roman"/>
          <w:sz w:val="24"/>
          <w:szCs w:val="24"/>
        </w:rPr>
        <w:t>“</w:t>
      </w:r>
    </w:p>
    <w:p w14:paraId="406305D3" w14:textId="77777777" w:rsidR="00630987" w:rsidRDefault="00630987" w:rsidP="00630987">
      <w:pPr>
        <w:widowControl w:val="0"/>
        <w:numPr>
          <w:ilvl w:val="1"/>
          <w:numId w:val="13"/>
        </w:numPr>
        <w:spacing w:after="0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6757C3">
        <w:rPr>
          <w:rFonts w:ascii="Times New Roman" w:hAnsi="Times New Roman"/>
          <w:bCs/>
          <w:noProof/>
          <w:sz w:val="24"/>
          <w:szCs w:val="24"/>
          <w:lang w:eastAsia="cs-CZ"/>
        </w:rPr>
        <w:lastRenderedPageBreak/>
        <w:drawing>
          <wp:anchor distT="0" distB="0" distL="114300" distR="114300" simplePos="0" relativeHeight="251659264" behindDoc="0" locked="0" layoutInCell="1" allowOverlap="1" wp14:anchorId="2B55CBB2" wp14:editId="157447D4">
            <wp:simplePos x="0" y="0"/>
            <wp:positionH relativeFrom="column">
              <wp:posOffset>5441315</wp:posOffset>
            </wp:positionH>
            <wp:positionV relativeFrom="paragraph">
              <wp:posOffset>6985</wp:posOffset>
            </wp:positionV>
            <wp:extent cx="695325" cy="695325"/>
            <wp:effectExtent l="0" t="0" r="9525" b="9525"/>
            <wp:wrapSquare wrapText="bothSides"/>
            <wp:docPr id="9" name="obrázek 2" descr="GHS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HS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57C3">
        <w:rPr>
          <w:rFonts w:ascii="Times New Roman" w:hAnsi="Times New Roman"/>
          <w:sz w:val="24"/>
          <w:szCs w:val="24"/>
        </w:rPr>
        <w:t>výstražný symbol nebezpečnosti podle nařízení CLP (především GHS06 v grafické formě)</w:t>
      </w:r>
    </w:p>
    <w:p w14:paraId="31E33B42" w14:textId="77777777" w:rsidR="00630987" w:rsidRPr="006757C3" w:rsidRDefault="00630987" w:rsidP="00630987">
      <w:pPr>
        <w:widowControl w:val="0"/>
        <w:spacing w:after="0"/>
        <w:ind w:left="1418"/>
        <w:jc w:val="both"/>
        <w:rPr>
          <w:rFonts w:ascii="Times New Roman" w:hAnsi="Times New Roman"/>
          <w:sz w:val="24"/>
          <w:szCs w:val="24"/>
        </w:rPr>
      </w:pPr>
    </w:p>
    <w:p w14:paraId="75651104" w14:textId="77777777" w:rsidR="00630987" w:rsidRDefault="00630987" w:rsidP="00630987">
      <w:pPr>
        <w:widowControl w:val="0"/>
        <w:numPr>
          <w:ilvl w:val="1"/>
          <w:numId w:val="13"/>
        </w:numPr>
        <w:spacing w:after="0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6757C3">
        <w:rPr>
          <w:rFonts w:ascii="Times New Roman" w:hAnsi="Times New Roman"/>
          <w:sz w:val="24"/>
          <w:szCs w:val="24"/>
        </w:rPr>
        <w:t>nápisem „OŠETŘENO FUMIGACÍ“ – „UNDER FUMIGATION“</w:t>
      </w:r>
    </w:p>
    <w:p w14:paraId="693E949C" w14:textId="77777777" w:rsidR="00630987" w:rsidRPr="00C274EF" w:rsidRDefault="00630987" w:rsidP="00630987">
      <w:pPr>
        <w:widowControl w:val="0"/>
        <w:numPr>
          <w:ilvl w:val="1"/>
          <w:numId w:val="13"/>
        </w:numPr>
        <w:spacing w:after="0"/>
        <w:ind w:left="1418" w:hanging="284"/>
        <w:jc w:val="both"/>
        <w:rPr>
          <w:rFonts w:ascii="Times New Roman" w:hAnsi="Times New Roman"/>
          <w:iCs/>
          <w:sz w:val="24"/>
          <w:szCs w:val="24"/>
        </w:rPr>
      </w:pPr>
      <w:r w:rsidRPr="006757C3">
        <w:rPr>
          <w:rFonts w:ascii="Times New Roman" w:hAnsi="Times New Roman"/>
          <w:sz w:val="24"/>
          <w:szCs w:val="24"/>
        </w:rPr>
        <w:t xml:space="preserve">název přípravku použitého k ošetření, resp. látky (fosfin – </w:t>
      </w:r>
      <w:r w:rsidRPr="00AB08F7">
        <w:rPr>
          <w:rFonts w:ascii="Times New Roman" w:hAnsi="Times New Roman"/>
          <w:sz w:val="24"/>
          <w:szCs w:val="24"/>
        </w:rPr>
        <w:t xml:space="preserve">phosphine </w:t>
      </w:r>
      <w:r w:rsidRPr="006757C3">
        <w:rPr>
          <w:rFonts w:ascii="Times New Roman" w:hAnsi="Times New Roman"/>
          <w:sz w:val="24"/>
          <w:szCs w:val="24"/>
        </w:rPr>
        <w:t>– PH</w:t>
      </w:r>
      <w:r w:rsidRPr="006757C3">
        <w:rPr>
          <w:rFonts w:ascii="Times New Roman" w:hAnsi="Times New Roman"/>
          <w:sz w:val="24"/>
          <w:szCs w:val="24"/>
          <w:vertAlign w:val="subscript"/>
        </w:rPr>
        <w:t>3</w:t>
      </w:r>
      <w:r w:rsidRPr="006757C3">
        <w:rPr>
          <w:rFonts w:ascii="Times New Roman" w:hAnsi="Times New Roman"/>
          <w:sz w:val="24"/>
          <w:szCs w:val="24"/>
        </w:rPr>
        <w:t xml:space="preserve">), </w:t>
      </w:r>
      <w:r w:rsidRPr="00C274EF">
        <w:rPr>
          <w:rFonts w:ascii="Times New Roman" w:hAnsi="Times New Roman"/>
          <w:iCs/>
          <w:sz w:val="24"/>
          <w:szCs w:val="24"/>
        </w:rPr>
        <w:t>která se z něj uvolňuje a může přetrvávat po určitou dobu v ovzduší kontejneru</w:t>
      </w:r>
    </w:p>
    <w:p w14:paraId="20D80854" w14:textId="77777777" w:rsidR="00630987" w:rsidRPr="006757C3" w:rsidRDefault="00630987" w:rsidP="00630987">
      <w:pPr>
        <w:widowControl w:val="0"/>
        <w:numPr>
          <w:ilvl w:val="1"/>
          <w:numId w:val="13"/>
        </w:numPr>
        <w:spacing w:after="0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6757C3">
        <w:rPr>
          <w:rFonts w:ascii="Times New Roman" w:hAnsi="Times New Roman"/>
          <w:sz w:val="24"/>
          <w:szCs w:val="24"/>
        </w:rPr>
        <w:t>datum a čas fumigace</w:t>
      </w:r>
    </w:p>
    <w:p w14:paraId="1AC44853" w14:textId="77777777" w:rsidR="00630987" w:rsidRPr="006757C3" w:rsidRDefault="00630987" w:rsidP="00630987">
      <w:pPr>
        <w:widowControl w:val="0"/>
        <w:numPr>
          <w:ilvl w:val="1"/>
          <w:numId w:val="13"/>
        </w:numPr>
        <w:spacing w:after="0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6757C3">
        <w:rPr>
          <w:rFonts w:ascii="Times New Roman" w:hAnsi="Times New Roman"/>
          <w:sz w:val="24"/>
          <w:szCs w:val="24"/>
        </w:rPr>
        <w:t>název, adresu a telefon společnosti, která fumigaci provedla</w:t>
      </w:r>
    </w:p>
    <w:p w14:paraId="77174867" w14:textId="77777777" w:rsidR="00630987" w:rsidRPr="006757C3" w:rsidRDefault="00630987" w:rsidP="00630987">
      <w:pPr>
        <w:widowControl w:val="0"/>
        <w:numPr>
          <w:ilvl w:val="1"/>
          <w:numId w:val="13"/>
        </w:numPr>
        <w:spacing w:after="0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6757C3">
        <w:rPr>
          <w:rFonts w:ascii="Times New Roman" w:hAnsi="Times New Roman"/>
          <w:sz w:val="24"/>
          <w:szCs w:val="24"/>
        </w:rPr>
        <w:t xml:space="preserve">návod, jak bezpečně provést odvětrání kontejneru před vlastním otevřením </w:t>
      </w:r>
      <w:r>
        <w:rPr>
          <w:rFonts w:ascii="Times New Roman" w:hAnsi="Times New Roman"/>
          <w:sz w:val="24"/>
          <w:szCs w:val="24"/>
        </w:rPr>
        <w:br/>
      </w:r>
      <w:r w:rsidRPr="006757C3">
        <w:rPr>
          <w:rFonts w:ascii="Times New Roman" w:hAnsi="Times New Roman"/>
          <w:sz w:val="24"/>
          <w:szCs w:val="24"/>
        </w:rPr>
        <w:t xml:space="preserve">a následné vykládání </w:t>
      </w:r>
    </w:p>
    <w:p w14:paraId="534196B8" w14:textId="77777777" w:rsidR="00630987" w:rsidRPr="00C274EF" w:rsidRDefault="00630987" w:rsidP="00630987">
      <w:pPr>
        <w:widowControl w:val="0"/>
        <w:numPr>
          <w:ilvl w:val="0"/>
          <w:numId w:val="13"/>
        </w:numPr>
        <w:spacing w:after="0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6757C3">
        <w:rPr>
          <w:rFonts w:ascii="Times New Roman" w:hAnsi="Times New Roman"/>
          <w:sz w:val="24"/>
          <w:szCs w:val="24"/>
        </w:rPr>
        <w:t>doplnit</w:t>
      </w:r>
      <w:r w:rsidRPr="006757C3">
        <w:rPr>
          <w:rFonts w:ascii="Times New Roman" w:hAnsi="Times New Roman"/>
          <w:b/>
          <w:sz w:val="24"/>
          <w:szCs w:val="24"/>
        </w:rPr>
        <w:t xml:space="preserve"> </w:t>
      </w:r>
      <w:r w:rsidRPr="00C274EF">
        <w:rPr>
          <w:rFonts w:ascii="Times New Roman" w:hAnsi="Times New Roman"/>
          <w:bCs/>
          <w:sz w:val="24"/>
          <w:szCs w:val="24"/>
        </w:rPr>
        <w:t>telefonní číslo pro mimořádné události (včetně mezinárodní předvolby)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16400210" w14:textId="77777777" w:rsidR="00630987" w:rsidRPr="00C274EF" w:rsidRDefault="00630987" w:rsidP="00630987">
      <w:pPr>
        <w:widowControl w:val="0"/>
        <w:numPr>
          <w:ilvl w:val="0"/>
          <w:numId w:val="13"/>
        </w:numPr>
        <w:spacing w:after="0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6757C3">
        <w:rPr>
          <w:rFonts w:ascii="Times New Roman" w:hAnsi="Times New Roman"/>
          <w:sz w:val="24"/>
          <w:szCs w:val="24"/>
        </w:rPr>
        <w:t>popřípadě doplnit o informace pro</w:t>
      </w:r>
      <w:r w:rsidRPr="006757C3">
        <w:rPr>
          <w:rFonts w:ascii="Times New Roman" w:hAnsi="Times New Roman"/>
          <w:b/>
          <w:sz w:val="24"/>
          <w:szCs w:val="24"/>
        </w:rPr>
        <w:t xml:space="preserve"> </w:t>
      </w:r>
      <w:r w:rsidRPr="00C274EF">
        <w:rPr>
          <w:rFonts w:ascii="Times New Roman" w:hAnsi="Times New Roman"/>
          <w:bCs/>
          <w:sz w:val="24"/>
          <w:szCs w:val="24"/>
        </w:rPr>
        <w:t>první pomoc (především při možném vdechování fosfinu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C274EF">
        <w:rPr>
          <w:rFonts w:ascii="Times New Roman" w:hAnsi="Times New Roman"/>
          <w:bCs/>
          <w:sz w:val="24"/>
          <w:szCs w:val="24"/>
        </w:rPr>
        <w:t xml:space="preserve">včetně odkazů na toxikologická střediska v ČR a pokud možno i v zemi určení) </w:t>
      </w:r>
    </w:p>
    <w:p w14:paraId="309BE4E6" w14:textId="77777777" w:rsidR="00630987" w:rsidRPr="00C274EF" w:rsidRDefault="00630987" w:rsidP="00630987">
      <w:pPr>
        <w:widowControl w:val="0"/>
        <w:numPr>
          <w:ilvl w:val="0"/>
          <w:numId w:val="13"/>
        </w:numPr>
        <w:spacing w:after="0"/>
        <w:ind w:left="851" w:hanging="284"/>
        <w:jc w:val="both"/>
        <w:rPr>
          <w:rFonts w:ascii="Times New Roman" w:hAnsi="Times New Roman"/>
          <w:bCs/>
          <w:sz w:val="24"/>
          <w:szCs w:val="24"/>
        </w:rPr>
      </w:pPr>
      <w:r w:rsidRPr="00C274EF">
        <w:rPr>
          <w:rFonts w:ascii="Times New Roman" w:hAnsi="Times New Roman"/>
          <w:bCs/>
          <w:sz w:val="24"/>
          <w:szCs w:val="24"/>
        </w:rPr>
        <w:t>toto označení musí být snadno čitelné po celou dobu přepravy</w:t>
      </w:r>
    </w:p>
    <w:p w14:paraId="67A91129" w14:textId="77777777" w:rsidR="00630987" w:rsidRPr="00C274EF" w:rsidRDefault="00630987" w:rsidP="00630987">
      <w:pPr>
        <w:widowControl w:val="0"/>
        <w:numPr>
          <w:ilvl w:val="0"/>
          <w:numId w:val="13"/>
        </w:numPr>
        <w:spacing w:after="0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C274EF">
        <w:rPr>
          <w:rFonts w:ascii="Times New Roman" w:hAnsi="Times New Roman"/>
          <w:bCs/>
          <w:sz w:val="24"/>
          <w:szCs w:val="24"/>
        </w:rPr>
        <w:t xml:space="preserve">dále ošetřené kontejnery je třeba označit i podle příslušných předpisů na dopravu (např. RID nebo ADR, popř. námořní dopravu) </w:t>
      </w:r>
    </w:p>
    <w:p w14:paraId="5C044848" w14:textId="77777777" w:rsidR="00630987" w:rsidRPr="00C274EF" w:rsidRDefault="00630987" w:rsidP="00630987">
      <w:pPr>
        <w:widowControl w:val="0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</w:p>
    <w:p w14:paraId="489296A3" w14:textId="40FEAE93" w:rsidR="00861476" w:rsidRDefault="00861476" w:rsidP="00F6623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F6623D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7D6D9717" w:rsidR="00D87FBB" w:rsidRDefault="00187A02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50D1B907" w14:textId="77777777" w:rsidR="008F797D" w:rsidRDefault="008F797D" w:rsidP="00F6623D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A0BB86B" w14:textId="77777777" w:rsidR="008F797D" w:rsidRDefault="008F797D" w:rsidP="008F797D">
      <w:pPr>
        <w:keepNext/>
        <w:keepLines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bookmarkStart w:id="1" w:name="_Hlk126660643"/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 xml:space="preserve"> </w:t>
      </w:r>
      <w:r w:rsidRPr="00E52E1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zvířat nebo životního prostředí, uvedené v příloze III nařízení Komise (EU) č. 547</w:t>
      </w:r>
      <w:r w:rsidRPr="002A4065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/2011:</w:t>
      </w:r>
    </w:p>
    <w:bookmarkEnd w:id="1"/>
    <w:p w14:paraId="08D2636E" w14:textId="72E31EBB" w:rsidR="00630987" w:rsidRPr="00630987" w:rsidRDefault="00630987" w:rsidP="00630987">
      <w:pPr>
        <w:widowControl w:val="0"/>
        <w:numPr>
          <w:ilvl w:val="0"/>
          <w:numId w:val="14"/>
        </w:numPr>
        <w:tabs>
          <w:tab w:val="left" w:pos="851"/>
        </w:tabs>
        <w:spacing w:after="0"/>
        <w:ind w:left="851" w:hanging="142"/>
        <w:rPr>
          <w:rFonts w:ascii="Times New Roman" w:hAnsi="Times New Roman"/>
          <w:i/>
          <w:iCs/>
          <w:sz w:val="24"/>
          <w:szCs w:val="24"/>
        </w:rPr>
      </w:pPr>
      <w:r w:rsidRPr="00630987">
        <w:rPr>
          <w:rFonts w:ascii="Times New Roman" w:hAnsi="Times New Roman"/>
          <w:i/>
          <w:iCs/>
          <w:sz w:val="24"/>
          <w:szCs w:val="24"/>
        </w:rPr>
        <w:t>Obecná ustanovení</w:t>
      </w:r>
    </w:p>
    <w:p w14:paraId="0A3D2D09" w14:textId="77777777" w:rsidR="00630987" w:rsidRDefault="00630987" w:rsidP="00630987">
      <w:pPr>
        <w:widowControl w:val="0"/>
        <w:spacing w:after="0"/>
        <w:ind w:left="851"/>
        <w:jc w:val="both"/>
        <w:rPr>
          <w:rFonts w:ascii="Times New Roman" w:hAnsi="Times New Roman"/>
          <w:iCs/>
          <w:sz w:val="24"/>
          <w:szCs w:val="24"/>
        </w:rPr>
      </w:pPr>
      <w:r w:rsidRPr="0082060F">
        <w:rPr>
          <w:rFonts w:ascii="Times New Roman" w:hAnsi="Times New Roman"/>
          <w:iCs/>
          <w:sz w:val="24"/>
          <w:szCs w:val="24"/>
        </w:rPr>
        <w:t xml:space="preserve">SP1 Neznečišťujte vody přípravkem nebo jeho obalem. </w:t>
      </w:r>
    </w:p>
    <w:p w14:paraId="57A9B3F5" w14:textId="77777777" w:rsidR="00630987" w:rsidRDefault="00630987" w:rsidP="00630987">
      <w:pPr>
        <w:widowControl w:val="0"/>
        <w:spacing w:after="0"/>
        <w:ind w:left="851"/>
        <w:jc w:val="both"/>
        <w:rPr>
          <w:rFonts w:ascii="Times New Roman" w:hAnsi="Times New Roman"/>
          <w:iCs/>
          <w:sz w:val="24"/>
          <w:szCs w:val="24"/>
        </w:rPr>
      </w:pPr>
    </w:p>
    <w:p w14:paraId="33D5ACC6" w14:textId="77777777" w:rsidR="00630987" w:rsidRPr="00BE4711" w:rsidRDefault="00630987" w:rsidP="00630987">
      <w:pPr>
        <w:widowControl w:val="0"/>
        <w:numPr>
          <w:ilvl w:val="0"/>
          <w:numId w:val="14"/>
        </w:numPr>
        <w:tabs>
          <w:tab w:val="left" w:pos="851"/>
        </w:tabs>
        <w:spacing w:after="0"/>
        <w:ind w:left="851" w:hanging="142"/>
        <w:rPr>
          <w:rFonts w:ascii="Times New Roman" w:hAnsi="Times New Roman"/>
          <w:i/>
          <w:iCs/>
          <w:sz w:val="24"/>
          <w:szCs w:val="24"/>
        </w:rPr>
      </w:pPr>
      <w:r w:rsidRPr="00BE4711">
        <w:rPr>
          <w:rFonts w:ascii="Times New Roman" w:hAnsi="Times New Roman"/>
          <w:i/>
          <w:iCs/>
          <w:sz w:val="24"/>
          <w:szCs w:val="24"/>
        </w:rPr>
        <w:t>Bezpečnostní opatření pro obsluhu</w:t>
      </w:r>
    </w:p>
    <w:p w14:paraId="2751EA8B" w14:textId="77777777" w:rsidR="00630987" w:rsidRDefault="00630987" w:rsidP="00630987">
      <w:pPr>
        <w:widowControl w:val="0"/>
        <w:spacing w:after="0"/>
        <w:ind w:left="851"/>
        <w:jc w:val="both"/>
        <w:rPr>
          <w:rFonts w:ascii="Times New Roman" w:hAnsi="Times New Roman"/>
          <w:iCs/>
          <w:sz w:val="24"/>
          <w:szCs w:val="24"/>
        </w:rPr>
      </w:pPr>
      <w:r w:rsidRPr="00BE4711">
        <w:rPr>
          <w:rFonts w:ascii="Times New Roman" w:hAnsi="Times New Roman"/>
          <w:iCs/>
          <w:sz w:val="24"/>
          <w:szCs w:val="24"/>
        </w:rPr>
        <w:t>SPo1 Po zasažení kůže přípravek nejdříve odstraňte pomocí suché látky a poté kůži opláchněte velkým množstvím vody.</w:t>
      </w:r>
    </w:p>
    <w:p w14:paraId="0C9F9C55" w14:textId="77777777" w:rsidR="00630987" w:rsidRPr="00BE4711" w:rsidRDefault="00630987" w:rsidP="00630987">
      <w:pPr>
        <w:widowControl w:val="0"/>
        <w:spacing w:after="0"/>
        <w:ind w:left="851"/>
        <w:jc w:val="both"/>
        <w:rPr>
          <w:rFonts w:ascii="Times New Roman" w:hAnsi="Times New Roman"/>
          <w:iCs/>
          <w:sz w:val="24"/>
          <w:szCs w:val="24"/>
        </w:rPr>
      </w:pPr>
      <w:r w:rsidRPr="00BE4711">
        <w:rPr>
          <w:rFonts w:ascii="Times New Roman" w:hAnsi="Times New Roman"/>
          <w:iCs/>
          <w:sz w:val="24"/>
          <w:szCs w:val="24"/>
        </w:rPr>
        <w:t>SPo</w:t>
      </w:r>
      <w:r>
        <w:rPr>
          <w:rFonts w:ascii="Times New Roman" w:hAnsi="Times New Roman"/>
          <w:iCs/>
          <w:sz w:val="24"/>
          <w:szCs w:val="24"/>
        </w:rPr>
        <w:t>4</w:t>
      </w:r>
      <w:r w:rsidRPr="00BE4711">
        <w:rPr>
          <w:rFonts w:ascii="Times New Roman" w:hAnsi="Times New Roman"/>
          <w:iCs/>
          <w:sz w:val="24"/>
          <w:szCs w:val="24"/>
        </w:rPr>
        <w:t xml:space="preserve"> </w:t>
      </w:r>
      <w:r w:rsidRPr="008C3E45">
        <w:rPr>
          <w:rFonts w:ascii="Times New Roman" w:hAnsi="Times New Roman"/>
          <w:iCs/>
          <w:sz w:val="24"/>
          <w:szCs w:val="24"/>
        </w:rPr>
        <w:t>Obal s přípravkem musí být otevírán ve venkovním prostředí a za sucha</w:t>
      </w:r>
      <w:r w:rsidRPr="00BE4711">
        <w:rPr>
          <w:rFonts w:ascii="Times New Roman" w:hAnsi="Times New Roman"/>
          <w:iCs/>
          <w:sz w:val="24"/>
          <w:szCs w:val="24"/>
        </w:rPr>
        <w:t>.</w:t>
      </w:r>
    </w:p>
    <w:p w14:paraId="38109EFB" w14:textId="77777777" w:rsidR="00630987" w:rsidRDefault="00630987" w:rsidP="00630987">
      <w:pPr>
        <w:widowControl w:val="0"/>
        <w:spacing w:after="0"/>
        <w:ind w:left="851"/>
        <w:jc w:val="both"/>
        <w:rPr>
          <w:rFonts w:ascii="Times New Roman" w:hAnsi="Times New Roman"/>
          <w:iCs/>
          <w:sz w:val="24"/>
          <w:szCs w:val="24"/>
        </w:rPr>
      </w:pPr>
    </w:p>
    <w:p w14:paraId="43BA7656" w14:textId="77777777" w:rsidR="007C3C7A" w:rsidRPr="001D3A9B" w:rsidRDefault="007C3C7A" w:rsidP="00F6623D">
      <w:pPr>
        <w:keepNext/>
        <w:keepLines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</w:pPr>
      <w:r w:rsidRPr="001D3A9B">
        <w:rPr>
          <w:rFonts w:ascii="Times New Roman" w:eastAsia="Times New Roman" w:hAnsi="Times New Roman"/>
          <w:i/>
          <w:snapToGrid w:val="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20E62FB7" w14:textId="10315793" w:rsidR="007C3C7A" w:rsidRPr="001D3A9B" w:rsidRDefault="00D02EFD" w:rsidP="00AE77C1">
      <w:pPr>
        <w:pStyle w:val="Odstavecseseznamem"/>
        <w:numPr>
          <w:ilvl w:val="0"/>
          <w:numId w:val="15"/>
        </w:numPr>
        <w:tabs>
          <w:tab w:val="left" w:pos="567"/>
        </w:tabs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D3A9B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</w:t>
      </w:r>
      <w:r w:rsidR="00AE77C1" w:rsidRPr="001D3A9B">
        <w:rPr>
          <w:rFonts w:ascii="Times New Roman" w:hAnsi="Times New Roman"/>
          <w:b/>
          <w:bCs/>
          <w:color w:val="000000"/>
          <w:sz w:val="24"/>
          <w:szCs w:val="24"/>
        </w:rPr>
        <w:t>při otvírání obalů a aplikaci</w:t>
      </w:r>
    </w:p>
    <w:p w14:paraId="74EE3347" w14:textId="2D1ACC3F" w:rsidR="00E2003C" w:rsidRPr="001D3A9B" w:rsidRDefault="00E2003C" w:rsidP="00AE77C1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3A9B">
        <w:rPr>
          <w:rFonts w:ascii="Times New Roman" w:eastAsia="Times New Roman" w:hAnsi="Times New Roman"/>
          <w:bCs/>
          <w:sz w:val="24"/>
          <w:szCs w:val="24"/>
          <w:lang w:eastAsia="ar-SA"/>
        </w:rPr>
        <w:t>Ochrana dýchacích orgánů</w:t>
      </w:r>
      <w:r w:rsidRPr="001D3A9B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AE77C1" w:rsidRPr="001D3A9B">
        <w:rPr>
          <w:rFonts w:ascii="Times New Roman" w:eastAsia="Times New Roman" w:hAnsi="Times New Roman"/>
          <w:bCs/>
          <w:sz w:val="24"/>
          <w:szCs w:val="24"/>
          <w:lang w:eastAsia="ar-SA"/>
        </w:rPr>
        <w:t>obličejová maska (ČSN EN 136) nebo polomaska (ČSN EN 140) s filtry typu B (proti anorganickým plynům a parám) třídy min. 2 nebo kombinovaným filtrem typu B a současně P (proti částicím) třídy 3</w:t>
      </w:r>
    </w:p>
    <w:p w14:paraId="71322586" w14:textId="3D94908D" w:rsidR="00E2003C" w:rsidRPr="001D3A9B" w:rsidRDefault="00E2003C" w:rsidP="00AE77C1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3A9B">
        <w:rPr>
          <w:rFonts w:ascii="Times New Roman" w:eastAsia="Times New Roman" w:hAnsi="Times New Roman"/>
          <w:bCs/>
          <w:sz w:val="24"/>
          <w:szCs w:val="24"/>
          <w:lang w:eastAsia="ar-SA"/>
        </w:rPr>
        <w:t>Ochrana rukou</w:t>
      </w:r>
      <w:r w:rsidRPr="001D3A9B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AE77C1" w:rsidRPr="001D3A9B">
        <w:rPr>
          <w:rFonts w:ascii="Times New Roman" w:eastAsia="Times New Roman" w:hAnsi="Times New Roman"/>
          <w:bCs/>
          <w:sz w:val="24"/>
          <w:szCs w:val="24"/>
          <w:lang w:eastAsia="ar-SA"/>
        </w:rPr>
        <w:t>vhodné ochranné rukavice např. s piktogramem ochrana proti chemikáliím (ČSN EN ISO 374-1)</w:t>
      </w:r>
    </w:p>
    <w:p w14:paraId="2BD673E7" w14:textId="15CBEB18" w:rsidR="00E2003C" w:rsidRPr="001D3A9B" w:rsidRDefault="00E2003C" w:rsidP="00AE77C1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3A9B">
        <w:rPr>
          <w:rFonts w:ascii="Times New Roman" w:eastAsia="Times New Roman" w:hAnsi="Times New Roman"/>
          <w:bCs/>
          <w:sz w:val="24"/>
          <w:szCs w:val="24"/>
          <w:lang w:eastAsia="ar-SA"/>
        </w:rPr>
        <w:t>Ochrana očí a obličeje</w:t>
      </w:r>
      <w:r w:rsidRPr="001D3A9B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AE77C1" w:rsidRPr="001D3A9B">
        <w:rPr>
          <w:rFonts w:ascii="Times New Roman" w:eastAsia="Times New Roman" w:hAnsi="Times New Roman"/>
          <w:bCs/>
          <w:sz w:val="24"/>
          <w:szCs w:val="24"/>
          <w:lang w:eastAsia="ar-SA"/>
        </w:rPr>
        <w:t>není-li již použita obličejová maska, pak ochranné brýle (ČSN EN ISO 16321-1 nebo ČSN EN 166)</w:t>
      </w:r>
    </w:p>
    <w:p w14:paraId="17BFB5EB" w14:textId="77777777" w:rsidR="00AE77C1" w:rsidRPr="001D3A9B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3A9B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>Ochrana těla</w:t>
      </w:r>
      <w:r w:rsidRPr="001D3A9B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AE77C1" w:rsidRPr="001D3A9B">
        <w:rPr>
          <w:rFonts w:ascii="Times New Roman" w:eastAsia="Times New Roman" w:hAnsi="Times New Roman"/>
          <w:bCs/>
          <w:sz w:val="24"/>
          <w:szCs w:val="24"/>
          <w:lang w:eastAsia="ar-SA"/>
        </w:rPr>
        <w:t>ochranný oděv pro práci s pesticidy – typu C2 nebo 3 (ČSN EN ISO 27065), popřípadě jiný vhodný ochranný oděv (oděv musí mít dlouhé rukávy a nohavice)</w:t>
      </w:r>
    </w:p>
    <w:p w14:paraId="11F7A23E" w14:textId="02F54E0B" w:rsidR="00E2003C" w:rsidRPr="001D3A9B" w:rsidRDefault="00E2003C" w:rsidP="00F6623D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3A9B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hlavy</w:t>
      </w:r>
      <w:r w:rsidRPr="001D3A9B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D02EFD" w:rsidRPr="001D3A9B">
        <w:rPr>
          <w:rFonts w:ascii="Times New Roman" w:eastAsia="Times New Roman" w:hAnsi="Times New Roman"/>
          <w:bCs/>
          <w:sz w:val="24"/>
          <w:szCs w:val="24"/>
          <w:lang w:eastAsia="ar-SA"/>
        </w:rPr>
        <w:t>není nutná</w:t>
      </w:r>
    </w:p>
    <w:p w14:paraId="6417F1D9" w14:textId="3C7CEB09" w:rsidR="00E2003C" w:rsidRPr="001D3A9B" w:rsidRDefault="00E2003C" w:rsidP="00BF38D4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3A9B">
        <w:rPr>
          <w:rFonts w:ascii="Times New Roman" w:eastAsia="Times New Roman" w:hAnsi="Times New Roman"/>
          <w:bCs/>
          <w:sz w:val="24"/>
          <w:szCs w:val="24"/>
          <w:lang w:eastAsia="ar-SA"/>
        </w:rPr>
        <w:t>Dodatečná ochrana nohou</w:t>
      </w:r>
      <w:r w:rsidRPr="001D3A9B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</w:r>
      <w:r w:rsidR="00AE77C1" w:rsidRPr="001D3A9B">
        <w:rPr>
          <w:rFonts w:ascii="Times New Roman" w:eastAsia="Times New Roman" w:hAnsi="Times New Roman"/>
          <w:bCs/>
          <w:sz w:val="24"/>
          <w:szCs w:val="24"/>
          <w:lang w:eastAsia="ar-SA"/>
        </w:rPr>
        <w:t>uzavřená pracovní obuv (s ohledem na vykonávanou práci)</w:t>
      </w:r>
    </w:p>
    <w:p w14:paraId="1864A214" w14:textId="7427D964" w:rsidR="00AE77C1" w:rsidRDefault="00AE77C1" w:rsidP="00BF38D4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3A9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Společný údaj k OOPP </w:t>
      </w:r>
      <w:r w:rsidRPr="001D3A9B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poškozené OOPP (např. nefunkční filtry) je třeba okamžitě vyměnit</w:t>
      </w:r>
    </w:p>
    <w:p w14:paraId="1C35BE12" w14:textId="77777777" w:rsidR="00287502" w:rsidRPr="001D3A9B" w:rsidRDefault="00287502" w:rsidP="00BF38D4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DB5C590" w14:textId="4022DD02" w:rsidR="00D02EFD" w:rsidRPr="001D3A9B" w:rsidRDefault="00D02EFD" w:rsidP="000A4FE8">
      <w:pPr>
        <w:pStyle w:val="Odstavecseseznamem"/>
        <w:numPr>
          <w:ilvl w:val="0"/>
          <w:numId w:val="15"/>
        </w:numPr>
        <w:tabs>
          <w:tab w:val="left" w:pos="567"/>
        </w:tabs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D3A9B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</w:t>
      </w:r>
      <w:r w:rsidR="00AE77C1" w:rsidRPr="001D3A9B">
        <w:rPr>
          <w:rFonts w:ascii="Times New Roman" w:hAnsi="Times New Roman"/>
          <w:b/>
          <w:bCs/>
          <w:color w:val="000000"/>
          <w:sz w:val="24"/>
          <w:szCs w:val="24"/>
        </w:rPr>
        <w:t>pro případ havárie v uzavřených prostorách nebo práci při vyšších koncentracích, než je uvedeno na filtru</w:t>
      </w:r>
    </w:p>
    <w:p w14:paraId="08055979" w14:textId="77777777" w:rsidR="00AE77C1" w:rsidRPr="001D3A9B" w:rsidRDefault="00AE77C1" w:rsidP="00AE77C1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3A9B">
        <w:rPr>
          <w:rFonts w:ascii="Times New Roman" w:eastAsia="Times New Roman" w:hAnsi="Times New Roman"/>
          <w:bCs/>
          <w:sz w:val="24"/>
          <w:szCs w:val="24"/>
          <w:lang w:eastAsia="ar-SA"/>
        </w:rPr>
        <w:t>Kromě výše uvedených OOPP</w:t>
      </w:r>
    </w:p>
    <w:p w14:paraId="2E5DFB6E" w14:textId="0CDB4E66" w:rsidR="00AE77C1" w:rsidRPr="001D3A9B" w:rsidRDefault="00AE77C1" w:rsidP="00AE77C1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3A9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dýchacích orgánů </w:t>
      </w:r>
      <w:r w:rsidRPr="001D3A9B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autonomní dýchací přístroj dostupný na pracovišti (například podle ČSN EN 145)</w:t>
      </w:r>
    </w:p>
    <w:p w14:paraId="6683719E" w14:textId="545B4F28" w:rsidR="00AE77C1" w:rsidRPr="001D3A9B" w:rsidRDefault="00AE77C1" w:rsidP="00AE77C1">
      <w:pPr>
        <w:suppressAutoHyphens/>
        <w:spacing w:after="0"/>
        <w:ind w:left="3402" w:hanging="2722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3A9B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Ochrana těla </w:t>
      </w:r>
      <w:r w:rsidRPr="001D3A9B">
        <w:rPr>
          <w:rFonts w:ascii="Times New Roman" w:eastAsia="Times New Roman" w:hAnsi="Times New Roman"/>
          <w:bCs/>
          <w:sz w:val="24"/>
          <w:szCs w:val="24"/>
          <w:lang w:eastAsia="ar-SA"/>
        </w:rPr>
        <w:tab/>
        <w:t>plynotěsný oděv typ 1 (ČSN EN 943-1+A1)</w:t>
      </w:r>
    </w:p>
    <w:p w14:paraId="5D104B1D" w14:textId="1D5D3450" w:rsidR="00AE77C1" w:rsidRPr="00AE77C1" w:rsidRDefault="00AE77C1" w:rsidP="00AE77C1">
      <w:pPr>
        <w:suppressAutoHyphens/>
        <w:spacing w:after="0"/>
        <w:ind w:left="709" w:hanging="2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1D3A9B">
        <w:rPr>
          <w:rFonts w:ascii="Times New Roman" w:eastAsia="Times New Roman" w:hAnsi="Times New Roman"/>
          <w:bCs/>
          <w:sz w:val="24"/>
          <w:szCs w:val="24"/>
          <w:lang w:eastAsia="ar-SA"/>
        </w:rPr>
        <w:t>O použití OOPP při konkrétní práci rozhoduje zaměstnavatel, především podle charakteru vykonávané práce a technického zabezpečení ochrany pracovníka a také po vyzkoušení některých OOPP pro konkrétní práci.</w:t>
      </w:r>
    </w:p>
    <w:p w14:paraId="7405C8BE" w14:textId="77777777" w:rsidR="00D02EFD" w:rsidRPr="00D02EFD" w:rsidRDefault="00D02EFD" w:rsidP="00BF38D4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</w:p>
    <w:p w14:paraId="72FBCF1A" w14:textId="77777777" w:rsidR="00D87FBB" w:rsidRPr="00CD5191" w:rsidRDefault="00D87FBB" w:rsidP="00BF38D4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0CBF04EA" w14:textId="21DB1CA8" w:rsidR="00630987" w:rsidRDefault="00630987" w:rsidP="0063098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BE4711">
        <w:rPr>
          <w:rFonts w:ascii="Times New Roman" w:hAnsi="Times New Roman"/>
          <w:sz w:val="24"/>
          <w:szCs w:val="24"/>
        </w:rPr>
        <w:t xml:space="preserve">soby provádějící aplikaci </w:t>
      </w:r>
      <w:r>
        <w:rPr>
          <w:rFonts w:ascii="Times New Roman" w:hAnsi="Times New Roman"/>
          <w:sz w:val="24"/>
          <w:szCs w:val="24"/>
        </w:rPr>
        <w:t>musí mít</w:t>
      </w:r>
      <w:r w:rsidRPr="00BE4711">
        <w:rPr>
          <w:rFonts w:ascii="Times New Roman" w:hAnsi="Times New Roman"/>
          <w:sz w:val="24"/>
          <w:szCs w:val="24"/>
        </w:rPr>
        <w:t xml:space="preserve"> odbornou způsobilost pro nakládání </w:t>
      </w:r>
      <w:r>
        <w:rPr>
          <w:rFonts w:ascii="Times New Roman" w:hAnsi="Times New Roman"/>
          <w:sz w:val="24"/>
          <w:szCs w:val="24"/>
        </w:rPr>
        <w:t>s</w:t>
      </w:r>
      <w:r w:rsidRPr="00BE4711">
        <w:rPr>
          <w:rFonts w:ascii="Times New Roman" w:hAnsi="Times New Roman"/>
          <w:sz w:val="24"/>
          <w:szCs w:val="24"/>
        </w:rPr>
        <w:t xml:space="preserve"> přípravky </w:t>
      </w:r>
      <w:r>
        <w:rPr>
          <w:rFonts w:ascii="Times New Roman" w:hAnsi="Times New Roman"/>
          <w:sz w:val="24"/>
          <w:szCs w:val="24"/>
        </w:rPr>
        <w:br/>
      </w:r>
      <w:r w:rsidRPr="00BE4711">
        <w:rPr>
          <w:rFonts w:ascii="Times New Roman" w:hAnsi="Times New Roman"/>
          <w:sz w:val="24"/>
          <w:szCs w:val="24"/>
        </w:rPr>
        <w:t xml:space="preserve">na ochranu rostlin </w:t>
      </w:r>
      <w:r>
        <w:rPr>
          <w:rFonts w:ascii="Times New Roman" w:hAnsi="Times New Roman"/>
          <w:sz w:val="24"/>
          <w:szCs w:val="24"/>
        </w:rPr>
        <w:t xml:space="preserve">dle </w:t>
      </w:r>
      <w:r w:rsidRPr="00BE4711">
        <w:rPr>
          <w:rFonts w:ascii="Times New Roman" w:hAnsi="Times New Roman"/>
          <w:sz w:val="24"/>
          <w:szCs w:val="24"/>
        </w:rPr>
        <w:t>zákon</w:t>
      </w:r>
      <w:r>
        <w:rPr>
          <w:rFonts w:ascii="Times New Roman" w:hAnsi="Times New Roman"/>
          <w:sz w:val="24"/>
          <w:szCs w:val="24"/>
        </w:rPr>
        <w:t>a</w:t>
      </w:r>
      <w:r w:rsidRPr="00BE4711">
        <w:rPr>
          <w:rFonts w:ascii="Times New Roman" w:hAnsi="Times New Roman"/>
          <w:sz w:val="24"/>
          <w:szCs w:val="24"/>
        </w:rPr>
        <w:t xml:space="preserve"> č. 326/2004 Sb., ve znění pozdějších předpisů</w:t>
      </w:r>
      <w:r>
        <w:rPr>
          <w:rFonts w:ascii="Times New Roman" w:hAnsi="Times New Roman"/>
          <w:sz w:val="24"/>
          <w:szCs w:val="24"/>
        </w:rPr>
        <w:t>.</w:t>
      </w:r>
    </w:p>
    <w:p w14:paraId="14F8D04F" w14:textId="77777777" w:rsidR="00630987" w:rsidRPr="00770F00" w:rsidRDefault="00630987" w:rsidP="0063098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70F00">
        <w:rPr>
          <w:rFonts w:ascii="Times New Roman" w:hAnsi="Times New Roman"/>
          <w:sz w:val="24"/>
          <w:szCs w:val="24"/>
        </w:rPr>
        <w:t>Práce s přípravkem je zakázaná pro těhotné a kojící ženy a pro mladistvé.</w:t>
      </w:r>
    </w:p>
    <w:p w14:paraId="285C311B" w14:textId="77777777" w:rsidR="00630987" w:rsidRPr="00770F00" w:rsidRDefault="00630987" w:rsidP="0063098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70F00">
        <w:rPr>
          <w:rFonts w:ascii="Times New Roman" w:hAnsi="Times New Roman"/>
          <w:sz w:val="24"/>
          <w:szCs w:val="24"/>
        </w:rPr>
        <w:t>Osoby provádějící aplikaci musí být zdravotně způsobilé a absolvovat nejen vstupní</w:t>
      </w:r>
      <w:r>
        <w:rPr>
          <w:rFonts w:ascii="Times New Roman" w:hAnsi="Times New Roman"/>
          <w:sz w:val="24"/>
          <w:szCs w:val="24"/>
        </w:rPr>
        <w:t>,</w:t>
      </w:r>
      <w:r w:rsidRPr="00770F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770F00">
        <w:rPr>
          <w:rFonts w:ascii="Times New Roman" w:hAnsi="Times New Roman"/>
          <w:sz w:val="24"/>
          <w:szCs w:val="24"/>
        </w:rPr>
        <w:t>ale i pravidelné periodické prohlídky.</w:t>
      </w:r>
    </w:p>
    <w:p w14:paraId="73D49A71" w14:textId="77777777" w:rsidR="00630987" w:rsidRPr="00770F00" w:rsidRDefault="00630987" w:rsidP="0063098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70F00">
        <w:rPr>
          <w:rFonts w:ascii="Times New Roman" w:hAnsi="Times New Roman"/>
          <w:sz w:val="24"/>
          <w:szCs w:val="24"/>
        </w:rPr>
        <w:t>Fumigace s přípravkem smí být prováděna pouze tam, kde nehrozí nebezpečí ohrožení lidí, zvířat a okolí.</w:t>
      </w:r>
    </w:p>
    <w:p w14:paraId="3E35E5C0" w14:textId="77777777" w:rsidR="00630987" w:rsidRPr="00770F00" w:rsidRDefault="00630987" w:rsidP="0063098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70F00">
        <w:rPr>
          <w:rFonts w:ascii="Times New Roman" w:hAnsi="Times New Roman"/>
          <w:sz w:val="24"/>
          <w:szCs w:val="24"/>
        </w:rPr>
        <w:t xml:space="preserve">Při manipulaci s přípravkem je nutno zabránit kontaktu s vodou, vzdušnou vlhkostí </w:t>
      </w:r>
      <w:r>
        <w:rPr>
          <w:rFonts w:ascii="Times New Roman" w:hAnsi="Times New Roman"/>
          <w:sz w:val="24"/>
          <w:szCs w:val="24"/>
        </w:rPr>
        <w:br/>
      </w:r>
      <w:r w:rsidRPr="00770F00">
        <w:rPr>
          <w:rFonts w:ascii="Times New Roman" w:hAnsi="Times New Roman"/>
          <w:sz w:val="24"/>
          <w:szCs w:val="24"/>
        </w:rPr>
        <w:t>a kyselinami.</w:t>
      </w:r>
    </w:p>
    <w:p w14:paraId="34BBC49A" w14:textId="77777777" w:rsidR="00630987" w:rsidRPr="00770F00" w:rsidRDefault="00630987" w:rsidP="0063098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70F00">
        <w:rPr>
          <w:rFonts w:ascii="Times New Roman" w:hAnsi="Times New Roman"/>
          <w:sz w:val="24"/>
          <w:szCs w:val="24"/>
        </w:rPr>
        <w:t>Fosfin (fosforovodík) je hořlavý, ve směsi se vzduchem nad 1,8 % je výbušný.</w:t>
      </w:r>
    </w:p>
    <w:p w14:paraId="22721739" w14:textId="77777777" w:rsidR="00630987" w:rsidRPr="00BE4711" w:rsidRDefault="00630987" w:rsidP="0063098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70F00">
        <w:rPr>
          <w:rFonts w:ascii="Times New Roman" w:hAnsi="Times New Roman"/>
          <w:sz w:val="24"/>
          <w:szCs w:val="24"/>
        </w:rPr>
        <w:t>Po celou dobu práce s přípravkem je zakázána manipulace s otevřeným ohněm. Po dobu expozice vypněte zdroje vyvolávající jiskření.</w:t>
      </w:r>
      <w:r w:rsidRPr="00BE4711">
        <w:rPr>
          <w:rFonts w:ascii="Times New Roman" w:hAnsi="Times New Roman"/>
          <w:sz w:val="24"/>
          <w:szCs w:val="24"/>
        </w:rPr>
        <w:t xml:space="preserve"> </w:t>
      </w:r>
    </w:p>
    <w:p w14:paraId="0DF19FEE" w14:textId="77777777" w:rsidR="00630987" w:rsidRPr="00BE4711" w:rsidRDefault="00630987" w:rsidP="0063098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8448D">
        <w:rPr>
          <w:rFonts w:ascii="Times New Roman" w:hAnsi="Times New Roman"/>
          <w:sz w:val="24"/>
          <w:szCs w:val="24"/>
        </w:rPr>
        <w:t>Nejezte</w:t>
      </w:r>
      <w:r w:rsidRPr="00BE4711">
        <w:rPr>
          <w:rFonts w:ascii="Times New Roman" w:hAnsi="Times New Roman"/>
          <w:sz w:val="24"/>
          <w:szCs w:val="24"/>
        </w:rPr>
        <w:t xml:space="preserve">, nepijte a nekuřte při používání a rovněž po skončení práce, až do odložení ochranného / pracovního oděvu a dalších osobních ochranných pracovních prostředků (OOPP) a do důkladného umytí. </w:t>
      </w:r>
    </w:p>
    <w:p w14:paraId="0991261C" w14:textId="77777777" w:rsidR="00630987" w:rsidRDefault="00630987" w:rsidP="0063098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E4711">
        <w:rPr>
          <w:rFonts w:ascii="Times New Roman" w:hAnsi="Times New Roman"/>
          <w:sz w:val="24"/>
          <w:szCs w:val="24"/>
        </w:rPr>
        <w:t xml:space="preserve">Při práci důsledně používejte doporučené OOPP. </w:t>
      </w:r>
    </w:p>
    <w:p w14:paraId="206FBFF0" w14:textId="77777777" w:rsidR="00630987" w:rsidRPr="00BE4711" w:rsidRDefault="00630987" w:rsidP="0063098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70F00">
        <w:rPr>
          <w:rFonts w:ascii="Times New Roman" w:hAnsi="Times New Roman"/>
          <w:sz w:val="24"/>
          <w:szCs w:val="24"/>
        </w:rPr>
        <w:t>Nevdechujte prach a ani uvolněný plyn (tj. fosfin).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A2323C4" w14:textId="77777777" w:rsidR="00630987" w:rsidRDefault="00630987" w:rsidP="0063098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42D42">
        <w:rPr>
          <w:rFonts w:ascii="Times New Roman" w:hAnsi="Times New Roman"/>
          <w:sz w:val="24"/>
          <w:szCs w:val="24"/>
        </w:rPr>
        <w:t>Po</w:t>
      </w:r>
      <w:r w:rsidRPr="00BE4711">
        <w:rPr>
          <w:rFonts w:ascii="Times New Roman" w:hAnsi="Times New Roman"/>
          <w:sz w:val="24"/>
          <w:szCs w:val="24"/>
        </w:rPr>
        <w:t xml:space="preserve"> skončení práce ochranný oděv a OOPP svlékněte a nechte vyvětrat (ve vyhrazeném dobře větraném prostoru) a až poté očistěte. Vyprání/vyčištění znečištěného pracovního oděvu musí zajistit zaměstnavatel.</w:t>
      </w:r>
    </w:p>
    <w:p w14:paraId="311FFE48" w14:textId="77777777" w:rsidR="00630987" w:rsidRPr="00770F00" w:rsidRDefault="00630987" w:rsidP="0063098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70F00">
        <w:rPr>
          <w:rFonts w:ascii="Times New Roman" w:hAnsi="Times New Roman"/>
          <w:sz w:val="24"/>
          <w:szCs w:val="24"/>
        </w:rPr>
        <w:t>Možným varováním před fosfinem je jeho typický zápach po česneku, ale až při vyšších koncentracích.</w:t>
      </w:r>
    </w:p>
    <w:p w14:paraId="336ACF2C" w14:textId="77777777" w:rsidR="00630987" w:rsidRPr="00BE4711" w:rsidRDefault="00630987" w:rsidP="0063098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70F00">
        <w:rPr>
          <w:rFonts w:ascii="Times New Roman" w:hAnsi="Times New Roman"/>
          <w:sz w:val="24"/>
          <w:szCs w:val="24"/>
        </w:rPr>
        <w:t>Před započetím práce a po skončení je třeba spočítat obaly od přípravku a ověřit, zda žádný nechybí.</w:t>
      </w:r>
    </w:p>
    <w:p w14:paraId="239A9B9C" w14:textId="77777777" w:rsidR="00630987" w:rsidRPr="006B5EB4" w:rsidRDefault="00630987" w:rsidP="0063098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  <w:r w:rsidRPr="006B5EB4">
        <w:rPr>
          <w:rFonts w:ascii="Times New Roman" w:hAnsi="Times New Roman"/>
          <w:sz w:val="24"/>
          <w:szCs w:val="24"/>
          <w:u w:val="single"/>
        </w:rPr>
        <w:t>Další bezpečnostní opatření k ochraně následných pracovníků (především osob otvírajících ošetřený kontejner)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D50743A" w14:textId="77777777" w:rsidR="00630987" w:rsidRPr="00E21F7F" w:rsidRDefault="00630987" w:rsidP="00630987">
      <w:pPr>
        <w:suppressAutoHyphens/>
        <w:spacing w:after="0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21F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lastRenderedPageBreak/>
        <w:t>Je třeba zejména:</w:t>
      </w:r>
    </w:p>
    <w:p w14:paraId="1287DCFE" w14:textId="77777777" w:rsidR="00630987" w:rsidRDefault="00630987" w:rsidP="00630987">
      <w:pPr>
        <w:numPr>
          <w:ilvl w:val="0"/>
          <w:numId w:val="13"/>
        </w:numPr>
        <w:suppressAutoHyphens/>
        <w:spacing w:after="0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21F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před otevřením kontejneru posoudit </w:t>
      </w:r>
      <w:r w:rsidRPr="00E42D4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rizika (tj. získat informaci, čím byl obsah kontejneru ošetřen a změřit koncentraci plynu v ovzduší kontejneru)</w:t>
      </w:r>
    </w:p>
    <w:p w14:paraId="0135C2EF" w14:textId="77777777" w:rsidR="00630987" w:rsidRPr="00770F00" w:rsidRDefault="00630987" w:rsidP="00630987">
      <w:pPr>
        <w:pStyle w:val="Odstavecseseznamem"/>
        <w:numPr>
          <w:ilvl w:val="0"/>
          <w:numId w:val="13"/>
        </w:numPr>
        <w:spacing w:after="0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770F00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zajistit, aby se během odvětrávání ke kontejneru ani k jeho bezprostřednímu okolí nepřibližovaly žádné nepovolené osoby.  Doporučuje se zavést bezpečnostní pásmo cca 10 metrů</w:t>
      </w:r>
    </w:p>
    <w:p w14:paraId="06840951" w14:textId="77777777" w:rsidR="00630987" w:rsidRPr="00E21F7F" w:rsidRDefault="00630987" w:rsidP="00630987">
      <w:pPr>
        <w:numPr>
          <w:ilvl w:val="0"/>
          <w:numId w:val="13"/>
        </w:numPr>
        <w:suppressAutoHyphens/>
        <w:spacing w:after="0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21F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jsou-li větrací štěrbiny kontejneru uzavřené, přelepené apod., je pravděpodobné,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br/>
      </w:r>
      <w:r w:rsidRPr="00E21F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že kontejner byl fumigován</w:t>
      </w:r>
    </w:p>
    <w:p w14:paraId="12662EA3" w14:textId="77777777" w:rsidR="00630987" w:rsidRPr="00E21F7F" w:rsidRDefault="00630987" w:rsidP="00630987">
      <w:pPr>
        <w:numPr>
          <w:ilvl w:val="0"/>
          <w:numId w:val="13"/>
        </w:numPr>
        <w:suppressAutoHyphens/>
        <w:spacing w:after="0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21F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změřit koncentraci fosfinu (PH</w:t>
      </w:r>
      <w:r w:rsidRPr="00E21F7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ar-SA"/>
        </w:rPr>
        <w:t>3</w:t>
      </w:r>
      <w:r w:rsidRPr="00E21F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) v ovzduší kontejneru zavedením měřicí sondy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br/>
      </w:r>
      <w:r w:rsidRPr="00E21F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do ještě neotevřené přepravní jednotky přes dveřní těsnění nebo větrací štěrbiny</w:t>
      </w:r>
    </w:p>
    <w:p w14:paraId="7517E9C1" w14:textId="77777777" w:rsidR="00630987" w:rsidRPr="00E21F7F" w:rsidRDefault="00630987" w:rsidP="00630987">
      <w:pPr>
        <w:numPr>
          <w:ilvl w:val="0"/>
          <w:numId w:val="13"/>
        </w:numPr>
        <w:suppressAutoHyphens/>
        <w:spacing w:after="0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21F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limit pro fosfin (PH</w:t>
      </w:r>
      <w:r w:rsidRPr="00E21F7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ar-SA"/>
        </w:rPr>
        <w:t>3</w:t>
      </w:r>
      <w:r w:rsidRPr="00E21F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) v ovzduší kontejneru může být v různých zemích odlišný, například: </w:t>
      </w:r>
    </w:p>
    <w:p w14:paraId="61A0FABF" w14:textId="54D6EC3C" w:rsidR="000D122B" w:rsidRPr="001D3A9B" w:rsidRDefault="000D122B" w:rsidP="00630987">
      <w:pPr>
        <w:numPr>
          <w:ilvl w:val="1"/>
          <w:numId w:val="13"/>
        </w:numPr>
        <w:suppressAutoHyphens/>
        <w:spacing w:after="0"/>
        <w:ind w:left="1134" w:hanging="283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1D3A9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v České republice platí PEL 0,1 mg/m</w:t>
      </w:r>
      <w:r w:rsidRPr="001D3A9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ar-SA"/>
        </w:rPr>
        <w:t>3</w:t>
      </w:r>
      <w:r w:rsidRPr="001D3A9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(0,07 ppm), NPK-P 0,2 mg/m</w:t>
      </w:r>
      <w:r w:rsidRPr="001D3A9B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ar-SA"/>
        </w:rPr>
        <w:t>3</w:t>
      </w:r>
      <w:r w:rsidRPr="001D3A9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(0,14 ppm)</w:t>
      </w:r>
    </w:p>
    <w:p w14:paraId="316F7713" w14:textId="58EEF104" w:rsidR="00630987" w:rsidRPr="00E21F7F" w:rsidRDefault="00630987" w:rsidP="00630987">
      <w:pPr>
        <w:numPr>
          <w:ilvl w:val="1"/>
          <w:numId w:val="13"/>
        </w:numPr>
        <w:suppressAutoHyphens/>
        <w:spacing w:after="0"/>
        <w:ind w:left="1134" w:hanging="283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21F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v Německu platí OEL 0,1 ppm resp. 0,14 mg/m</w:t>
      </w:r>
      <w:r w:rsidRPr="00E21F7F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ar-SA"/>
        </w:rPr>
        <w:t>3</w:t>
      </w:r>
      <w:r w:rsidRPr="00E21F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pro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8 </w:t>
      </w:r>
      <w:r w:rsidRPr="00E21F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hodinovou směnu </w:t>
      </w:r>
    </w:p>
    <w:p w14:paraId="1C37D76A" w14:textId="653CC667" w:rsidR="00630987" w:rsidRPr="00E21F7F" w:rsidRDefault="00630987" w:rsidP="00630987">
      <w:pPr>
        <w:suppressAutoHyphens/>
        <w:spacing w:after="0"/>
        <w:ind w:left="851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21F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Informace o limitech v některých zemích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E21F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lze najít například na: </w:t>
      </w:r>
      <w:hyperlink r:id="rId9" w:history="1">
        <w:r w:rsidRPr="00E21F7F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ar-SA"/>
          </w:rPr>
          <w:t>https://limitvalue.ifa.dguv.de/</w:t>
        </w:r>
      </w:hyperlink>
      <w:r w:rsidR="00AE77C1" w:rsidRPr="00E21F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</w:p>
    <w:p w14:paraId="254FCA3D" w14:textId="77777777" w:rsidR="00630987" w:rsidRDefault="00630987" w:rsidP="00630987">
      <w:pPr>
        <w:numPr>
          <w:ilvl w:val="0"/>
          <w:numId w:val="13"/>
        </w:numPr>
        <w:suppressAutoHyphens/>
        <w:spacing w:after="0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21F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doporučení na detektory/měřící zařízení, které jsou použity pro tuto kontrolu fosfinu (PH</w:t>
      </w:r>
      <w:r w:rsidRPr="00E21F7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ar-SA"/>
        </w:rPr>
        <w:t>3</w:t>
      </w:r>
      <w:r w:rsidRPr="00E21F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), musí mít dostatečnou citlivost, aby bylo možné určit úroveň alespoň 10 % limitní hodnoty expozice na pracovišti </w:t>
      </w:r>
    </w:p>
    <w:p w14:paraId="010E39A4" w14:textId="77777777" w:rsidR="00630987" w:rsidRPr="00620D12" w:rsidRDefault="00630987" w:rsidP="00630987">
      <w:pPr>
        <w:pStyle w:val="Odstavecseseznamem"/>
        <w:numPr>
          <w:ilvl w:val="0"/>
          <w:numId w:val="13"/>
        </w:numPr>
        <w:spacing w:after="0"/>
        <w:ind w:left="851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620D1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není-li jasné, zda koncentrace fosfinu (PH3) je pod limity, doporučuje se zavést bezpečnostní pásmo cca 10 metrů kolem dveří kontejneru, které budou otvírány</w:t>
      </w:r>
    </w:p>
    <w:p w14:paraId="19C5F3E4" w14:textId="77777777" w:rsidR="00630987" w:rsidRDefault="00630987" w:rsidP="00630987">
      <w:pPr>
        <w:numPr>
          <w:ilvl w:val="0"/>
          <w:numId w:val="13"/>
        </w:numPr>
        <w:suppressAutoHyphens/>
        <w:spacing w:after="0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21F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odvětrávání provádět postupně, nejprve uvolnit větrací otvory</w:t>
      </w:r>
    </w:p>
    <w:p w14:paraId="5A2A24DB" w14:textId="77777777" w:rsidR="00630987" w:rsidRDefault="00630987" w:rsidP="00630987">
      <w:pPr>
        <w:numPr>
          <w:ilvl w:val="0"/>
          <w:numId w:val="13"/>
        </w:numPr>
        <w:suppressAutoHyphens/>
        <w:spacing w:after="0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21F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až poté, co je zřejmé, že koncentrace fosfinu (PH</w:t>
      </w:r>
      <w:r w:rsidRPr="00E21F7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ar-SA"/>
        </w:rPr>
        <w:t>3</w:t>
      </w:r>
      <w:r w:rsidRPr="00E21F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) klesla pod limit, otevřít </w:t>
      </w:r>
      <w:r w:rsidRPr="00BE585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dveře </w:t>
      </w:r>
      <w:r w:rsidRPr="00E21F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kontejneru </w:t>
      </w:r>
    </w:p>
    <w:p w14:paraId="78DC132F" w14:textId="77777777" w:rsidR="00630987" w:rsidRPr="00E42D42" w:rsidRDefault="00630987" w:rsidP="00630987">
      <w:pPr>
        <w:numPr>
          <w:ilvl w:val="0"/>
          <w:numId w:val="13"/>
        </w:numPr>
        <w:suppressAutoHyphens/>
        <w:spacing w:after="0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21F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v případě, že koncentrace fosfinu (PH</w:t>
      </w:r>
      <w:r w:rsidRPr="00E21F7F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ar-SA"/>
        </w:rPr>
        <w:t>3</w:t>
      </w:r>
      <w:r w:rsidRPr="00E21F7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) bude stále nad limit nebo v případě potřeby otevření celním orgánem, je třeba použít ochranu </w:t>
      </w:r>
      <w:r w:rsidRPr="00E42D4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dýchacích cest (tj. </w:t>
      </w:r>
      <w:r w:rsidRPr="00E42D42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obličejová maska s vyměnitelnými filtry na ochranu proti plynům a parám podle ČSN EN 136 resp. EN 136/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 </w:t>
      </w:r>
      <w:r w:rsidRPr="00E42D42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označení normy v zemích mimo ČR/, s filtrem typu B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–</w:t>
      </w:r>
      <w:r w:rsidRPr="00E42D42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 xml:space="preserve"> proti anorganickým plynům a parám – barva šedá)</w:t>
      </w:r>
    </w:p>
    <w:p w14:paraId="2DD8FB58" w14:textId="77777777" w:rsidR="00630987" w:rsidRPr="00E42D42" w:rsidRDefault="00630987" w:rsidP="00630987">
      <w:pPr>
        <w:numPr>
          <w:ilvl w:val="0"/>
          <w:numId w:val="13"/>
        </w:numPr>
        <w:suppressAutoHyphens/>
        <w:spacing w:after="0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42D4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další možností je připojení nucené extrakční ventilace (kdy ventilátor odsává vzduch přes hadici zcela zasunutou do kontejneru a čerstvý vzduch je nasáván dveřmi)</w:t>
      </w:r>
    </w:p>
    <w:p w14:paraId="782F2FD0" w14:textId="77777777" w:rsidR="00630987" w:rsidRDefault="00630987" w:rsidP="00630987">
      <w:pPr>
        <w:numPr>
          <w:ilvl w:val="0"/>
          <w:numId w:val="13"/>
        </w:numPr>
        <w:suppressAutoHyphens/>
        <w:spacing w:after="0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42D4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doba případného větrání/odsávání závisí na řadě faktorů (době od aplikace, teplotě, povaze a množství zboží, popř. přepravní další obal, je-li použit…); stanovení doby ventilace musí určit osoba s odbornými znalostmi</w:t>
      </w:r>
    </w:p>
    <w:p w14:paraId="454A3E64" w14:textId="77777777" w:rsidR="00630987" w:rsidRPr="00E42D42" w:rsidRDefault="00630987" w:rsidP="00630987">
      <w:pPr>
        <w:numPr>
          <w:ilvl w:val="0"/>
          <w:numId w:val="13"/>
        </w:numPr>
        <w:suppressAutoHyphens/>
        <w:spacing w:after="0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nedoporučuje se </w:t>
      </w:r>
      <w:r w:rsidRPr="00BE585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odvětrávat při mlze, dešti či špatných rozptylových podmínkách</w:t>
      </w:r>
    </w:p>
    <w:p w14:paraId="4C4857AC" w14:textId="77777777" w:rsidR="00630987" w:rsidRPr="00E42D42" w:rsidRDefault="00630987" w:rsidP="00630987">
      <w:pPr>
        <w:numPr>
          <w:ilvl w:val="0"/>
          <w:numId w:val="13"/>
        </w:numPr>
        <w:suppressAutoHyphens/>
        <w:spacing w:after="0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42D4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do kontejneru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, </w:t>
      </w:r>
      <w:r w:rsidRPr="00BE585D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je-li to nutné, vstupujte </w:t>
      </w:r>
      <w:r w:rsidRPr="00E42D4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opatrně</w:t>
      </w:r>
    </w:p>
    <w:p w14:paraId="0E58370E" w14:textId="77777777" w:rsidR="00630987" w:rsidRPr="00E42D42" w:rsidRDefault="00630987" w:rsidP="00630987">
      <w:pPr>
        <w:numPr>
          <w:ilvl w:val="0"/>
          <w:numId w:val="13"/>
        </w:numPr>
        <w:suppressAutoHyphens/>
        <w:spacing w:after="0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0516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je</w:t>
      </w:r>
      <w:r w:rsidRPr="00E42D4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vhodné, aby vždy alespoň jedna osoba zůstala vně kontejneru, není-li zcela zjevné, že kontejner, včetně jeho obsahu, je dostatečně odvětrán</w:t>
      </w:r>
    </w:p>
    <w:p w14:paraId="6944D832" w14:textId="77777777" w:rsidR="00630987" w:rsidRPr="00E42D42" w:rsidRDefault="00630987" w:rsidP="00630987">
      <w:pPr>
        <w:numPr>
          <w:ilvl w:val="0"/>
          <w:numId w:val="13"/>
        </w:numPr>
        <w:suppressAutoHyphens/>
        <w:spacing w:after="0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42D4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ucítíte-li zápach po česneku (typický pro fosfin, ale až při vyšších koncentracích), okamžitě opusťte kontejner, použijte ochranu dýchacích cest a pokračujte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br/>
      </w:r>
      <w:r w:rsidRPr="00E42D4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v odvětrávání</w:t>
      </w:r>
    </w:p>
    <w:p w14:paraId="1126D447" w14:textId="77777777" w:rsidR="00630987" w:rsidRPr="00E42D42" w:rsidRDefault="00630987" w:rsidP="00630987">
      <w:pPr>
        <w:numPr>
          <w:ilvl w:val="0"/>
          <w:numId w:val="13"/>
        </w:numPr>
        <w:suppressAutoHyphens/>
        <w:spacing w:after="0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42D4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před zahájením vykládání provést vizuální kontrolu obsahu kontejneru a sebrat všechny případné zbytky fumigantu (včetně případných hliníkových tub či plechovek)</w:t>
      </w:r>
    </w:p>
    <w:p w14:paraId="19AA60AB" w14:textId="34D8E088" w:rsidR="00630987" w:rsidRPr="00E42D42" w:rsidRDefault="00630987" w:rsidP="00630987">
      <w:pPr>
        <w:numPr>
          <w:ilvl w:val="0"/>
          <w:numId w:val="13"/>
        </w:numPr>
        <w:suppressAutoHyphens/>
        <w:spacing w:after="0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42D4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lastRenderedPageBreak/>
        <w:t>pokud jsou během vizuální kontroly otevřeného kontejneru nalezeny zbytky přípravku, kolem kontejneru musí být ihned stanoven</w:t>
      </w:r>
      <w:r w:rsidR="00AE77C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</w:t>
      </w:r>
      <w:r w:rsidRPr="00E42D4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Pr="001D3A9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bezpečnostní </w:t>
      </w:r>
      <w:r w:rsidR="00AE77C1" w:rsidRPr="001D3A9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pásmo / ochranná </w:t>
      </w:r>
      <w:r w:rsidRPr="001D3A9B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vzdálenost</w:t>
      </w:r>
    </w:p>
    <w:p w14:paraId="384B2E6D" w14:textId="77777777" w:rsidR="00630987" w:rsidRPr="00E42D42" w:rsidRDefault="00630987" w:rsidP="00630987">
      <w:pPr>
        <w:numPr>
          <w:ilvl w:val="0"/>
          <w:numId w:val="13"/>
        </w:numPr>
        <w:suppressAutoHyphens/>
        <w:spacing w:after="0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42D4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ve větrání je vhodné pokračovat i při vykládání kontejneru</w:t>
      </w:r>
    </w:p>
    <w:p w14:paraId="3740EF2E" w14:textId="77777777" w:rsidR="00630987" w:rsidRPr="00E42D42" w:rsidRDefault="00630987" w:rsidP="00630987">
      <w:pPr>
        <w:numPr>
          <w:ilvl w:val="0"/>
          <w:numId w:val="13"/>
        </w:numPr>
        <w:suppressAutoHyphens/>
        <w:spacing w:after="0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42D4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vyvětraný kontejner, který se uzavře, aby byl vyložen až druhý den, se musí na začátku vykládky opět vyvětrat</w:t>
      </w:r>
    </w:p>
    <w:p w14:paraId="51247A8C" w14:textId="77777777" w:rsidR="00630987" w:rsidRPr="00E42D42" w:rsidRDefault="00630987" w:rsidP="00630987">
      <w:pPr>
        <w:numPr>
          <w:ilvl w:val="0"/>
          <w:numId w:val="13"/>
        </w:numPr>
        <w:suppressAutoHyphens/>
        <w:spacing w:after="0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42D4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je doporučeno i během otevírání a odvětrávání (např. při celní kontrole) použít vhodné OOPP a zařízení na detekci fosfinu</w:t>
      </w:r>
    </w:p>
    <w:p w14:paraId="7F7E2798" w14:textId="77777777" w:rsidR="00630987" w:rsidRPr="00E42D42" w:rsidRDefault="00630987" w:rsidP="00630987">
      <w:pPr>
        <w:numPr>
          <w:ilvl w:val="0"/>
          <w:numId w:val="13"/>
        </w:numPr>
        <w:suppressAutoHyphens/>
        <w:spacing w:after="0"/>
        <w:ind w:left="851" w:hanging="284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42D4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pokud kontejner s ošetřeným dřevem byl otevřen (např. celním orgánem), ale nebyl vykládán:</w:t>
      </w:r>
    </w:p>
    <w:p w14:paraId="25C1F126" w14:textId="77777777" w:rsidR="00630987" w:rsidRPr="00E42D42" w:rsidRDefault="00630987" w:rsidP="00630987">
      <w:pPr>
        <w:numPr>
          <w:ilvl w:val="1"/>
          <w:numId w:val="13"/>
        </w:numPr>
        <w:suppressAutoHyphens/>
        <w:spacing w:after="0"/>
        <w:ind w:left="1134" w:hanging="283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647E18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bude</w:t>
      </w:r>
      <w:r w:rsidRPr="00E42D4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kontejner opět zapečetěn a může být přepravován</w:t>
      </w:r>
    </w:p>
    <w:p w14:paraId="1C4D0D42" w14:textId="77777777" w:rsidR="00630987" w:rsidRPr="00E42D42" w:rsidRDefault="00630987" w:rsidP="00630987">
      <w:pPr>
        <w:numPr>
          <w:ilvl w:val="1"/>
          <w:numId w:val="13"/>
        </w:numPr>
        <w:suppressAutoHyphens/>
        <w:spacing w:after="0"/>
        <w:ind w:left="1134" w:hanging="283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42D4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další větrání musí být provedeno znovu v místě určení před vlastní vykládkou dřeva</w:t>
      </w:r>
    </w:p>
    <w:p w14:paraId="53025745" w14:textId="77777777" w:rsidR="00630987" w:rsidRPr="00E42D42" w:rsidRDefault="00630987" w:rsidP="00630987">
      <w:pPr>
        <w:numPr>
          <w:ilvl w:val="1"/>
          <w:numId w:val="13"/>
        </w:numPr>
        <w:suppressAutoHyphens/>
        <w:spacing w:after="0"/>
        <w:ind w:left="1134" w:hanging="283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E42D42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současně je třeba přiložit dokument s informací o datu a době odvětrání, resp. provedeném otevření, včetně výsledků měření fosfinu v ovzduší kontejneru</w:t>
      </w:r>
    </w:p>
    <w:p w14:paraId="1BDAD80C" w14:textId="77777777" w:rsidR="00630987" w:rsidRPr="00E21F7F" w:rsidRDefault="00630987" w:rsidP="00630987">
      <w:pPr>
        <w:suppressAutoHyphens/>
        <w:spacing w:after="0"/>
        <w:ind w:left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</w:pPr>
      <w:r w:rsidRPr="00E42D42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Při práci je třeba dodržovat i další obecně platná doporučení na práci s kontejnery</w:t>
      </w:r>
      <w:r w:rsidRPr="00E21F7F">
        <w:rPr>
          <w:rFonts w:ascii="Times New Roman" w:eastAsia="Times New Roman" w:hAnsi="Times New Roman"/>
          <w:bCs/>
          <w:color w:val="000000"/>
          <w:sz w:val="24"/>
          <w:szCs w:val="24"/>
          <w:lang w:eastAsia="ar-SA"/>
        </w:rPr>
        <w:t>.</w:t>
      </w:r>
    </w:p>
    <w:p w14:paraId="28304B54" w14:textId="77777777" w:rsidR="00630987" w:rsidRDefault="00630987" w:rsidP="00BF38D4">
      <w:pPr>
        <w:pStyle w:val="Textvbloku"/>
        <w:spacing w:line="276" w:lineRule="auto"/>
        <w:ind w:left="425" w:right="-2"/>
        <w:jc w:val="both"/>
        <w:rPr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1218D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Default="00861476" w:rsidP="001218D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17B599F2" w14:textId="77777777" w:rsidR="001218DB" w:rsidRPr="00455210" w:rsidRDefault="001218DB" w:rsidP="001218D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6EA91C0" w14:textId="294A32DD" w:rsidR="00861476" w:rsidRDefault="00861476" w:rsidP="001218DB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r w:rsidR="00630987" w:rsidRPr="00630987">
        <w:rPr>
          <w:rFonts w:ascii="Times New Roman" w:hAnsi="Times New Roman"/>
          <w:sz w:val="24"/>
          <w:szCs w:val="24"/>
        </w:rPr>
        <w:t xml:space="preserve">Quickphos </w:t>
      </w:r>
      <w:r w:rsidR="00630987">
        <w:rPr>
          <w:rFonts w:ascii="Times New Roman" w:hAnsi="Times New Roman"/>
          <w:sz w:val="24"/>
          <w:szCs w:val="24"/>
        </w:rPr>
        <w:t>Pellets</w:t>
      </w:r>
      <w:r w:rsidR="00630987" w:rsidRPr="00630987">
        <w:rPr>
          <w:rFonts w:ascii="Times New Roman" w:hAnsi="Times New Roman"/>
          <w:sz w:val="24"/>
          <w:szCs w:val="24"/>
        </w:rPr>
        <w:t xml:space="preserve"> 56 GE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r w:rsidR="009A521B" w:rsidRPr="009A521B">
        <w:rPr>
          <w:rFonts w:ascii="Times New Roman" w:hAnsi="Times New Roman"/>
          <w:sz w:val="24"/>
          <w:szCs w:val="24"/>
        </w:rPr>
        <w:t>evid.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E5D6D">
        <w:rPr>
          <w:rFonts w:ascii="Times New Roman" w:hAnsi="Times New Roman"/>
          <w:sz w:val="24"/>
          <w:szCs w:val="24"/>
        </w:rPr>
        <w:t>5</w:t>
      </w:r>
      <w:r w:rsidR="00630987">
        <w:rPr>
          <w:rFonts w:ascii="Times New Roman" w:hAnsi="Times New Roman"/>
          <w:sz w:val="24"/>
          <w:szCs w:val="24"/>
        </w:rPr>
        <w:t>185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002F1B06" w14:textId="77777777" w:rsidR="00CE344E" w:rsidRPr="00455210" w:rsidRDefault="00CE344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0562C037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630987" w:rsidRPr="00630987">
        <w:rPr>
          <w:rFonts w:ascii="Times New Roman" w:hAnsi="Times New Roman"/>
          <w:sz w:val="24"/>
          <w:szCs w:val="24"/>
        </w:rPr>
        <w:t xml:space="preserve">Quickphos Pellets 56 GE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762CDBD8" w14:textId="77777777" w:rsidR="00AF0AC0" w:rsidRDefault="00AF0AC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2E77E" w14:textId="77777777" w:rsidR="001D1D41" w:rsidRDefault="001D1D41" w:rsidP="00CE12AE">
      <w:pPr>
        <w:spacing w:after="0" w:line="240" w:lineRule="auto"/>
      </w:pPr>
      <w:r>
        <w:separator/>
      </w:r>
    </w:p>
  </w:endnote>
  <w:endnote w:type="continuationSeparator" w:id="0">
    <w:p w14:paraId="15FEDF9D" w14:textId="77777777" w:rsidR="001D1D41" w:rsidRDefault="001D1D41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5D485" w14:textId="77777777" w:rsidR="001D1D41" w:rsidRDefault="001D1D41" w:rsidP="00CE12AE">
      <w:pPr>
        <w:spacing w:after="0" w:line="240" w:lineRule="auto"/>
      </w:pPr>
      <w:r>
        <w:separator/>
      </w:r>
    </w:p>
  </w:footnote>
  <w:footnote w:type="continuationSeparator" w:id="0">
    <w:p w14:paraId="1B5A000D" w14:textId="77777777" w:rsidR="001D1D41" w:rsidRDefault="001D1D41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9791B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C0F55"/>
    <w:multiLevelType w:val="hybridMultilevel"/>
    <w:tmpl w:val="D89C7AA2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6A220B3"/>
    <w:multiLevelType w:val="hybridMultilevel"/>
    <w:tmpl w:val="6448B14E"/>
    <w:lvl w:ilvl="0" w:tplc="BAC2443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6" w15:restartNumberingAfterBreak="0">
    <w:nsid w:val="3BBD0442"/>
    <w:multiLevelType w:val="hybridMultilevel"/>
    <w:tmpl w:val="F1782886"/>
    <w:lvl w:ilvl="0" w:tplc="04050011">
      <w:start w:val="1"/>
      <w:numFmt w:val="decimal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431D765F"/>
    <w:multiLevelType w:val="hybridMultilevel"/>
    <w:tmpl w:val="09345C8A"/>
    <w:lvl w:ilvl="0" w:tplc="D67261BC">
      <w:start w:val="7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4A137484"/>
    <w:multiLevelType w:val="hybridMultilevel"/>
    <w:tmpl w:val="83F4C8EC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7">
      <w:start w:val="1"/>
      <w:numFmt w:val="lowerLetter"/>
      <w:lvlText w:val="%2)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9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008F2"/>
    <w:multiLevelType w:val="hybridMultilevel"/>
    <w:tmpl w:val="919A34B2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CE359F1"/>
    <w:multiLevelType w:val="hybridMultilevel"/>
    <w:tmpl w:val="2BC0ECA4"/>
    <w:lvl w:ilvl="0" w:tplc="EE90CEBA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13"/>
  </w:num>
  <w:num w:numId="2" w16cid:durableId="355739146">
    <w:abstractNumId w:val="9"/>
  </w:num>
  <w:num w:numId="3" w16cid:durableId="2107193058">
    <w:abstractNumId w:val="1"/>
  </w:num>
  <w:num w:numId="4" w16cid:durableId="385108815">
    <w:abstractNumId w:val="12"/>
  </w:num>
  <w:num w:numId="5" w16cid:durableId="105781553">
    <w:abstractNumId w:val="5"/>
  </w:num>
  <w:num w:numId="6" w16cid:durableId="1872718983">
    <w:abstractNumId w:val="3"/>
  </w:num>
  <w:num w:numId="7" w16cid:durableId="1901211247">
    <w:abstractNumId w:val="10"/>
  </w:num>
  <w:num w:numId="8" w16cid:durableId="1012032463">
    <w:abstractNumId w:val="8"/>
  </w:num>
  <w:num w:numId="9" w16cid:durableId="1321545605">
    <w:abstractNumId w:val="0"/>
  </w:num>
  <w:num w:numId="10" w16cid:durableId="1374843455">
    <w:abstractNumId w:val="6"/>
  </w:num>
  <w:num w:numId="11" w16cid:durableId="2089844656">
    <w:abstractNumId w:val="4"/>
  </w:num>
  <w:num w:numId="12" w16cid:durableId="822310168">
    <w:abstractNumId w:val="7"/>
  </w:num>
  <w:num w:numId="13" w16cid:durableId="407919740">
    <w:abstractNumId w:val="2"/>
  </w:num>
  <w:num w:numId="14" w16cid:durableId="1534077786">
    <w:abstractNumId w:val="11"/>
  </w:num>
  <w:num w:numId="15" w16cid:durableId="5674255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45A11"/>
    <w:rsid w:val="00053AA8"/>
    <w:rsid w:val="00054D00"/>
    <w:rsid w:val="00057E8D"/>
    <w:rsid w:val="000605E4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122B"/>
    <w:rsid w:val="000D268B"/>
    <w:rsid w:val="000D51A6"/>
    <w:rsid w:val="000D5365"/>
    <w:rsid w:val="000D7A1F"/>
    <w:rsid w:val="000E0E5E"/>
    <w:rsid w:val="000E1B65"/>
    <w:rsid w:val="000E41A9"/>
    <w:rsid w:val="000F18E2"/>
    <w:rsid w:val="001045A9"/>
    <w:rsid w:val="00105FB7"/>
    <w:rsid w:val="0010681E"/>
    <w:rsid w:val="00107A84"/>
    <w:rsid w:val="00107EC4"/>
    <w:rsid w:val="001122C3"/>
    <w:rsid w:val="00115823"/>
    <w:rsid w:val="0012074E"/>
    <w:rsid w:val="001218DB"/>
    <w:rsid w:val="00122131"/>
    <w:rsid w:val="00130932"/>
    <w:rsid w:val="0013357A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1D41"/>
    <w:rsid w:val="001D3A9B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37EC"/>
    <w:rsid w:val="0022672E"/>
    <w:rsid w:val="002267A6"/>
    <w:rsid w:val="00226AAC"/>
    <w:rsid w:val="002272CD"/>
    <w:rsid w:val="002275CF"/>
    <w:rsid w:val="002331AF"/>
    <w:rsid w:val="00247769"/>
    <w:rsid w:val="00251812"/>
    <w:rsid w:val="002534A6"/>
    <w:rsid w:val="00254C9F"/>
    <w:rsid w:val="002558A9"/>
    <w:rsid w:val="002564E0"/>
    <w:rsid w:val="00260FFC"/>
    <w:rsid w:val="00261814"/>
    <w:rsid w:val="0026683C"/>
    <w:rsid w:val="00271024"/>
    <w:rsid w:val="00281645"/>
    <w:rsid w:val="002826F6"/>
    <w:rsid w:val="00284BFB"/>
    <w:rsid w:val="00286C5D"/>
    <w:rsid w:val="00287502"/>
    <w:rsid w:val="002900BA"/>
    <w:rsid w:val="002A011E"/>
    <w:rsid w:val="002A1E12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17BC"/>
    <w:rsid w:val="002E27F2"/>
    <w:rsid w:val="002E3B34"/>
    <w:rsid w:val="002E4DB3"/>
    <w:rsid w:val="002E6E07"/>
    <w:rsid w:val="002F360E"/>
    <w:rsid w:val="002F6A86"/>
    <w:rsid w:val="002F6F0F"/>
    <w:rsid w:val="00303480"/>
    <w:rsid w:val="003107E6"/>
    <w:rsid w:val="00321597"/>
    <w:rsid w:val="00353D1E"/>
    <w:rsid w:val="003552E5"/>
    <w:rsid w:val="00355DD5"/>
    <w:rsid w:val="00356B13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1297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599B"/>
    <w:rsid w:val="003C661F"/>
    <w:rsid w:val="003C736E"/>
    <w:rsid w:val="003D13F8"/>
    <w:rsid w:val="003E1A63"/>
    <w:rsid w:val="003E3D89"/>
    <w:rsid w:val="003E40C2"/>
    <w:rsid w:val="003E4CEC"/>
    <w:rsid w:val="003E50E3"/>
    <w:rsid w:val="003E6295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2747"/>
    <w:rsid w:val="00475359"/>
    <w:rsid w:val="0048376B"/>
    <w:rsid w:val="00484F5F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5713"/>
    <w:rsid w:val="004C005C"/>
    <w:rsid w:val="004C219E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1CEC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1C2"/>
    <w:rsid w:val="00564B2A"/>
    <w:rsid w:val="00564FF8"/>
    <w:rsid w:val="005656ED"/>
    <w:rsid w:val="00570876"/>
    <w:rsid w:val="0057259D"/>
    <w:rsid w:val="00574613"/>
    <w:rsid w:val="0058391A"/>
    <w:rsid w:val="00584B4C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0987"/>
    <w:rsid w:val="00633AA9"/>
    <w:rsid w:val="00646029"/>
    <w:rsid w:val="006475EA"/>
    <w:rsid w:val="00660EF5"/>
    <w:rsid w:val="006649A6"/>
    <w:rsid w:val="00664C5E"/>
    <w:rsid w:val="00666271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85DC4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C3C7A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4B66"/>
    <w:rsid w:val="008A5C9C"/>
    <w:rsid w:val="008A7B1C"/>
    <w:rsid w:val="008B161E"/>
    <w:rsid w:val="008B169B"/>
    <w:rsid w:val="008B41AD"/>
    <w:rsid w:val="008B57FB"/>
    <w:rsid w:val="008B62CC"/>
    <w:rsid w:val="008B6AC9"/>
    <w:rsid w:val="008C1C0D"/>
    <w:rsid w:val="008C4855"/>
    <w:rsid w:val="008C693D"/>
    <w:rsid w:val="008D49A3"/>
    <w:rsid w:val="008D78C8"/>
    <w:rsid w:val="008E21AC"/>
    <w:rsid w:val="008E290C"/>
    <w:rsid w:val="008E62F5"/>
    <w:rsid w:val="008E7495"/>
    <w:rsid w:val="008E74D6"/>
    <w:rsid w:val="008E759D"/>
    <w:rsid w:val="008E7EE7"/>
    <w:rsid w:val="008F052C"/>
    <w:rsid w:val="008F334E"/>
    <w:rsid w:val="008F3868"/>
    <w:rsid w:val="008F61B5"/>
    <w:rsid w:val="008F797D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0D75"/>
    <w:rsid w:val="009615A4"/>
    <w:rsid w:val="00966908"/>
    <w:rsid w:val="0097678F"/>
    <w:rsid w:val="009772CA"/>
    <w:rsid w:val="009778CC"/>
    <w:rsid w:val="0098086D"/>
    <w:rsid w:val="009856A2"/>
    <w:rsid w:val="009868CA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2E3D"/>
    <w:rsid w:val="009C76D1"/>
    <w:rsid w:val="009D6F6B"/>
    <w:rsid w:val="009E5D6D"/>
    <w:rsid w:val="009F3EB7"/>
    <w:rsid w:val="009F49D9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55C"/>
    <w:rsid w:val="00AB4199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E77C1"/>
    <w:rsid w:val="00AF0053"/>
    <w:rsid w:val="00AF0AC0"/>
    <w:rsid w:val="00AF420C"/>
    <w:rsid w:val="00AF4FB6"/>
    <w:rsid w:val="00B048A0"/>
    <w:rsid w:val="00B168E2"/>
    <w:rsid w:val="00B30A55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080D"/>
    <w:rsid w:val="00BD2B89"/>
    <w:rsid w:val="00BD3FCF"/>
    <w:rsid w:val="00BD52FA"/>
    <w:rsid w:val="00BD76B9"/>
    <w:rsid w:val="00BE2612"/>
    <w:rsid w:val="00BE3CC0"/>
    <w:rsid w:val="00BE512E"/>
    <w:rsid w:val="00BE5CDF"/>
    <w:rsid w:val="00BE7F6B"/>
    <w:rsid w:val="00BF22C8"/>
    <w:rsid w:val="00BF27FF"/>
    <w:rsid w:val="00BF2A40"/>
    <w:rsid w:val="00BF38D4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7C18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28DE"/>
    <w:rsid w:val="00C80147"/>
    <w:rsid w:val="00C815E8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6BDE"/>
    <w:rsid w:val="00CC7B65"/>
    <w:rsid w:val="00CD316E"/>
    <w:rsid w:val="00CD5540"/>
    <w:rsid w:val="00CE0A71"/>
    <w:rsid w:val="00CE12AE"/>
    <w:rsid w:val="00CE344E"/>
    <w:rsid w:val="00CE7AB5"/>
    <w:rsid w:val="00CF3503"/>
    <w:rsid w:val="00CF7EF3"/>
    <w:rsid w:val="00D02E45"/>
    <w:rsid w:val="00D02EFD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2A7E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03C"/>
    <w:rsid w:val="00E20B8D"/>
    <w:rsid w:val="00E24CE4"/>
    <w:rsid w:val="00E26A84"/>
    <w:rsid w:val="00E310A0"/>
    <w:rsid w:val="00E34609"/>
    <w:rsid w:val="00E35664"/>
    <w:rsid w:val="00E37EAF"/>
    <w:rsid w:val="00E4026D"/>
    <w:rsid w:val="00E415D1"/>
    <w:rsid w:val="00E419C0"/>
    <w:rsid w:val="00E426F4"/>
    <w:rsid w:val="00E463F9"/>
    <w:rsid w:val="00E47568"/>
    <w:rsid w:val="00E47C68"/>
    <w:rsid w:val="00E506EC"/>
    <w:rsid w:val="00E525BC"/>
    <w:rsid w:val="00E54146"/>
    <w:rsid w:val="00E60364"/>
    <w:rsid w:val="00E61336"/>
    <w:rsid w:val="00E6168E"/>
    <w:rsid w:val="00E658A4"/>
    <w:rsid w:val="00E74369"/>
    <w:rsid w:val="00E75E58"/>
    <w:rsid w:val="00E77999"/>
    <w:rsid w:val="00E77CF9"/>
    <w:rsid w:val="00E8205C"/>
    <w:rsid w:val="00E827D7"/>
    <w:rsid w:val="00E8281E"/>
    <w:rsid w:val="00E92B90"/>
    <w:rsid w:val="00E95CA6"/>
    <w:rsid w:val="00E9788D"/>
    <w:rsid w:val="00EB2D36"/>
    <w:rsid w:val="00EB5CE3"/>
    <w:rsid w:val="00EC33E9"/>
    <w:rsid w:val="00EC72C5"/>
    <w:rsid w:val="00ED0478"/>
    <w:rsid w:val="00ED07AB"/>
    <w:rsid w:val="00ED4ECA"/>
    <w:rsid w:val="00ED5D5A"/>
    <w:rsid w:val="00ED5F00"/>
    <w:rsid w:val="00ED755C"/>
    <w:rsid w:val="00EE4346"/>
    <w:rsid w:val="00EE4481"/>
    <w:rsid w:val="00EE6074"/>
    <w:rsid w:val="00EF1F57"/>
    <w:rsid w:val="00EF227D"/>
    <w:rsid w:val="00EF29FF"/>
    <w:rsid w:val="00EF4285"/>
    <w:rsid w:val="00EF645D"/>
    <w:rsid w:val="00EF728E"/>
    <w:rsid w:val="00EF74B5"/>
    <w:rsid w:val="00F10C48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6623D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92FDD"/>
    <w:rsid w:val="00F9343B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3D27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7C3C7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imitvalue.ifa.dguv.de/WebForm_ueliste2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1996</Words>
  <Characters>11779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9</cp:revision>
  <cp:lastPrinted>2023-11-28T10:19:00Z</cp:lastPrinted>
  <dcterms:created xsi:type="dcterms:W3CDTF">2024-02-16T08:10:00Z</dcterms:created>
  <dcterms:modified xsi:type="dcterms:W3CDTF">2024-04-23T05:36:00Z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