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OTMAROV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 Otmarov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  <w:color w:val="000000"/>
        </w:rPr>
      </w:pPr>
      <w:r>
        <w:rPr>
          <w:rFonts w:cs="Arial" w:ascii="Arial" w:hAnsi="Arial"/>
          <w:b/>
        </w:rPr>
        <w:t>Obecně závazná vyhláška obce Otmarov</w:t>
      </w:r>
    </w:p>
    <w:p>
      <w:pPr>
        <w:pStyle w:val="NormlnIMP"/>
        <w:spacing w:lineRule="auto" w:line="240"/>
        <w:jc w:val="center"/>
        <w:rPr/>
      </w:pPr>
      <w:r>
        <w:rPr>
          <w:rFonts w:cs="Arial" w:ascii="Arial" w:hAnsi="Arial"/>
          <w:b/>
          <w:color w:val="000000"/>
          <w:szCs w:val="24"/>
        </w:rPr>
        <w:t xml:space="preserve">o stanovení obecního systému odpadového hospodářství </w:t>
      </w:r>
    </w:p>
    <w:p>
      <w:pPr>
        <w:pStyle w:val="Normal"/>
        <w:jc w:val="both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Zkladntextodsazen2"/>
        <w:ind w:star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Otmarov se na svém zasedání dne 11. prosince 2023 usnesením </w:t>
      </w:r>
    </w:p>
    <w:p>
      <w:pPr>
        <w:pStyle w:val="Zkladntextodsazen2"/>
        <w:ind w:star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č. 4/1/8 usneslo vydat na základě § 59 odst. 4 zákona č. 541/2020 Sb., o odpadech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Heading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0" w:leader="none"/>
        </w:tabs>
        <w:ind w:star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Tato vyhláška stanovuje obecní systém odpadového hospodářství na území obce Otmarov. </w:t>
      </w:r>
    </w:p>
    <w:p>
      <w:pPr>
        <w:pStyle w:val="Normal"/>
        <w:tabs>
          <w:tab w:val="clear" w:pos="708"/>
          <w:tab w:val="left" w:pos="0" w:leader="none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-142" w:leader="none"/>
        </w:tabs>
        <w:autoSpaceDE w:val="false"/>
        <w:ind w:start="0" w:hanging="426"/>
        <w:jc w:val="both"/>
        <w:rPr/>
      </w:pPr>
      <w:r>
        <w:rPr>
          <w:rFonts w:eastAsia="Arial" w:cs="Arial" w:ascii="Arial" w:hAnsi="Arial"/>
          <w:color w:val="FF0000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FootnoteCharacters"/>
          <w:rStyle w:val="FootnoteAnchor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tabs>
          <w:tab w:val="clear" w:pos="708"/>
          <w:tab w:val="left" w:pos="567" w:leader="none"/>
        </w:tabs>
        <w:autoSpaceDE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-142" w:leader="none"/>
        </w:tabs>
        <w:autoSpaceDE w:val="false"/>
        <w:ind w:start="0" w:hanging="426"/>
        <w:jc w:val="both"/>
        <w:rPr>
          <w:rFonts w:ascii="Arial" w:hAnsi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FootnoteCharacters"/>
          <w:rStyle w:val="FootnoteAnchor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tabs>
          <w:tab w:val="clear" w:pos="708"/>
          <w:tab w:val="left" w:pos="-142" w:leader="none"/>
        </w:tabs>
        <w:autoSpaceDE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-142" w:leader="none"/>
        </w:tabs>
        <w:autoSpaceDE w:val="false"/>
        <w:ind w:start="0" w:hanging="426"/>
        <w:jc w:val="both"/>
        <w:rPr/>
      </w:pPr>
      <w:r>
        <w:rPr>
          <w:rFonts w:eastAsia="Arial"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tabs>
          <w:tab w:val="clear" w:pos="708"/>
          <w:tab w:val="left" w:pos="-142" w:leader="none"/>
        </w:tabs>
        <w:autoSpaceDE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3"/>
        </w:numPr>
        <w:jc w:val="both"/>
        <w:rPr/>
      </w:pPr>
      <w:r>
        <w:rPr>
          <w:rFonts w:cs="Arial" w:ascii="Arial" w:hAnsi="Arial"/>
          <w:sz w:val="22"/>
          <w:szCs w:val="22"/>
        </w:rPr>
        <w:t>Osoby předávající komunální odpad na místa určená obcí jsou povinny odděleně soustřeďovat následující složky:</w:t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Odstavecseseznamem"/>
        <w:numPr>
          <w:ilvl w:val="0"/>
          <w:numId w:val="8"/>
        </w:numPr>
        <w:autoSpaceDE w:val="false"/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Biologické odpady</w:t>
      </w:r>
      <w:r>
        <w:rPr>
          <w:rFonts w:cs="Arial" w:ascii="Arial" w:hAnsi="Arial"/>
          <w:bCs/>
          <w:i/>
        </w:rPr>
        <w:t>,</w:t>
      </w:r>
    </w:p>
    <w:p>
      <w:pPr>
        <w:pStyle w:val="Odstavecseseznamem"/>
        <w:numPr>
          <w:ilvl w:val="0"/>
          <w:numId w:val="8"/>
        </w:numPr>
        <w:tabs>
          <w:tab w:val="clear" w:pos="708"/>
          <w:tab w:val="left" w:pos="567" w:leader="none"/>
        </w:tabs>
        <w:autoSpaceDE w:val="false"/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</w:t>
      </w:r>
    </w:p>
    <w:p>
      <w:pPr>
        <w:pStyle w:val="Odstavecseseznamem"/>
        <w:numPr>
          <w:ilvl w:val="0"/>
          <w:numId w:val="8"/>
        </w:numPr>
        <w:tabs>
          <w:tab w:val="clear" w:pos="708"/>
          <w:tab w:val="left" w:pos="567" w:leader="none"/>
        </w:tabs>
        <w:autoSpaceDE w:val="false"/>
        <w:spacing w:lineRule="auto" w:line="240" w:before="0" w:after="0"/>
        <w:contextualSpacing/>
        <w:rPr/>
      </w:pPr>
      <w:r>
        <w:rPr>
          <w:rFonts w:cs="Arial" w:ascii="Arial" w:hAnsi="Arial"/>
          <w:bCs/>
          <w:i/>
          <w:color w:val="000000"/>
        </w:rPr>
        <w:t>Plasty včetně PET lahví,</w:t>
      </w:r>
    </w:p>
    <w:p>
      <w:pPr>
        <w:pStyle w:val="Odstavecseseznamem"/>
        <w:numPr>
          <w:ilvl w:val="0"/>
          <w:numId w:val="8"/>
        </w:numPr>
        <w:autoSpaceDE w:val="false"/>
        <w:spacing w:lineRule="auto" w:line="240" w:before="0" w:after="0"/>
        <w:contextualSpacing/>
        <w:rPr/>
      </w:pPr>
      <w:r>
        <w:rPr>
          <w:rFonts w:cs="Arial" w:ascii="Arial" w:hAnsi="Arial"/>
          <w:bCs/>
          <w:i/>
          <w:color w:val="000000"/>
        </w:rPr>
        <w:t>Sklo,</w:t>
      </w:r>
    </w:p>
    <w:p>
      <w:pPr>
        <w:pStyle w:val="Odstavecseseznamem"/>
        <w:numPr>
          <w:ilvl w:val="0"/>
          <w:numId w:val="8"/>
        </w:numPr>
        <w:autoSpaceDE w:val="false"/>
        <w:spacing w:lineRule="auto" w:line="240" w:before="0" w:after="0"/>
        <w:contextualSpacing/>
        <w:rPr/>
      </w:pPr>
      <w:r>
        <w:rPr>
          <w:rFonts w:cs="Arial" w:ascii="Arial" w:hAnsi="Arial"/>
          <w:bCs/>
          <w:i/>
          <w:color w:val="000000"/>
        </w:rPr>
        <w:t>Kovy,</w:t>
      </w:r>
    </w:p>
    <w:p>
      <w:pPr>
        <w:pStyle w:val="Normal"/>
        <w:numPr>
          <w:ilvl w:val="0"/>
          <w:numId w:val="8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Nebezpečné odpady,</w:t>
      </w:r>
    </w:p>
    <w:p>
      <w:pPr>
        <w:pStyle w:val="Normal"/>
        <w:numPr>
          <w:ilvl w:val="0"/>
          <w:numId w:val="8"/>
        </w:numPr>
        <w:rPr>
          <w:rFonts w:ascii="Arial" w:hAnsi="Arial" w:cs="Arial"/>
          <w:bCs/>
          <w:i/>
          <w:i/>
          <w:color w:val="000000"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Objemný odpad,</w:t>
      </w:r>
    </w:p>
    <w:p>
      <w:pPr>
        <w:pStyle w:val="Normal"/>
        <w:numPr>
          <w:ilvl w:val="0"/>
          <w:numId w:val="8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</w:t>
      </w:r>
    </w:p>
    <w:p>
      <w:pPr>
        <w:pStyle w:val="Normal"/>
        <w:numPr>
          <w:ilvl w:val="0"/>
          <w:numId w:val="8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Směsný komunální odpad</w:t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TextBodyIndent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Směsným komunálním odpadem se rozumí zbylý komunální odpad po stanoveném vytřídění podle odstavce 1 písm. a), b), c), d), e), f), g), a h).</w:t>
      </w:r>
    </w:p>
    <w:p>
      <w:pPr>
        <w:pStyle w:val="TextBodyIndent"/>
        <w:ind w:star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Indent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Objemný odpad je takový odpad, který vzhledem ke svým rozměrům nemůže být umístěn do sběrných nádob (</w:t>
      </w:r>
      <w:r>
        <w:rPr>
          <w:rFonts w:cs="Arial" w:ascii="Arial" w:hAnsi="Arial"/>
          <w:i/>
          <w:iCs/>
          <w:sz w:val="22"/>
          <w:szCs w:val="22"/>
        </w:rPr>
        <w:t>např. koberce, matrace, nábytek ,…</w:t>
      </w:r>
      <w:r>
        <w:rPr>
          <w:rFonts w:cs="Arial" w:ascii="Arial" w:hAnsi="Arial"/>
          <w:sz w:val="22"/>
          <w:szCs w:val="22"/>
        </w:rPr>
        <w:t xml:space="preserve"> ).</w:t>
      </w:r>
    </w:p>
    <w:p>
      <w:pPr>
        <w:pStyle w:val="TextBodyIndent"/>
        <w:ind w:star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Indent"/>
        <w:ind w:start="720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Heading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sz w:val="22"/>
          <w:szCs w:val="22"/>
          <w:u w:val="none"/>
        </w:rPr>
        <w:t>Určení míst pro oddělené soustřeďování určených složek komunálního odpadu</w:t>
      </w:r>
    </w:p>
    <w:p>
      <w:pPr>
        <w:pStyle w:val="Normal"/>
        <w:tabs>
          <w:tab w:val="clear" w:pos="708"/>
          <w:tab w:val="left" w:pos="927" w:leader="none"/>
        </w:tabs>
        <w:jc w:val="both"/>
        <w:rPr>
          <w:rFonts w:ascii="Arial" w:hAnsi="Arial" w:cs="Arial"/>
          <w:b/>
          <w:b/>
          <w:bCs/>
          <w:sz w:val="22"/>
          <w:szCs w:val="22"/>
          <w:u w:val="single"/>
        </w:rPr>
      </w:pPr>
      <w:r>
        <w:rPr>
          <w:rFonts w:cs="Arial" w:ascii="Arial" w:hAnsi="Arial"/>
          <w:b/>
          <w:bCs/>
          <w:sz w:val="22"/>
          <w:szCs w:val="22"/>
          <w:u w:val="single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Papír, plasty, sklo, kovy, biologické odpady, jedlé oleje a tuky, se soustřeďují do </w:t>
      </w:r>
      <w:r>
        <w:rPr>
          <w:rFonts w:cs="Arial" w:ascii="Arial" w:hAnsi="Arial"/>
          <w:bCs/>
          <w:sz w:val="22"/>
          <w:szCs w:val="22"/>
        </w:rPr>
        <w:t>zvláštních</w:t>
        <w:tab/>
        <w:t>sběrných nádob</w:t>
      </w:r>
      <w:r>
        <w:rPr>
          <w:rFonts w:cs="Arial" w:ascii="Arial" w:hAnsi="Arial"/>
          <w:sz w:val="22"/>
          <w:szCs w:val="22"/>
        </w:rPr>
        <w:t xml:space="preserve">, kterými jsou </w:t>
      </w:r>
      <w:r>
        <w:rPr>
          <w:rFonts w:cs="Arial" w:ascii="Arial" w:hAnsi="Arial"/>
          <w:iCs/>
          <w:sz w:val="22"/>
          <w:szCs w:val="22"/>
        </w:rPr>
        <w:t>sběrné nádoby, pytle, a velkoobjemové kontejnery.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9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autoSpaceDE w:val="true"/>
        <w:spacing w:lineRule="auto" w:line="240"/>
        <w:ind w:star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jsou umístěny na těchto stanovištích: 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start="360" w:hanging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Sběrné nádoby na papír a plast jsou umístěny za budovou č. p. 24.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start="360" w:hanging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Sběrné nádoby na sklo jsou umístěny za budovou č. p. 24 a v blízkosti vjezdu do areálu firmy Stappert, Otmarov 57.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start="360" w:hanging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Nádoba a pytle na kov jsou umístěny za budovou č. p. 24.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start="360" w:hanging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Nádoba na jedlé oleje a tuky je umístěna za budovou č. p. 24.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start="360" w:hanging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Velkoobjemový kontejner na biologický odpad je umístěna v prostoru za budovou č. p. 24.</w:t>
      </w:r>
    </w:p>
    <w:p>
      <w:pPr>
        <w:pStyle w:val="Normal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</w:r>
    </w:p>
    <w:p>
      <w:pPr>
        <w:pStyle w:val="NormlnIMP"/>
        <w:numPr>
          <w:ilvl w:val="0"/>
          <w:numId w:val="9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autoSpaceDE w:val="true"/>
        <w:spacing w:lineRule="auto" w:line="240"/>
        <w:ind w:start="0" w:hanging="0"/>
        <w:textAlignment w:val="auto"/>
        <w:rPr/>
      </w:pPr>
      <w:r>
        <w:rPr>
          <w:rFonts w:cs="Arial" w:ascii="Arial" w:hAnsi="Arial"/>
          <w:sz w:val="22"/>
          <w:szCs w:val="22"/>
        </w:rPr>
        <w:t>Zvláštní sběrné nádoby jsou barevně odlišeny a označeny příslušnými nápisy: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tavecseseznamem"/>
        <w:numPr>
          <w:ilvl w:val="0"/>
          <w:numId w:val="2"/>
        </w:numPr>
        <w:autoSpaceDE w:val="false"/>
        <w:spacing w:lineRule="auto" w:line="240" w:before="0" w:after="0"/>
        <w:contextualSpacing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 xml:space="preserve">Biologické odpady, šedá barva - velkoobjemový kontejner </w:t>
      </w:r>
    </w:p>
    <w:p>
      <w:pPr>
        <w:pStyle w:val="Odstavecseseznamem"/>
        <w:numPr>
          <w:ilvl w:val="0"/>
          <w:numId w:val="2"/>
        </w:numPr>
        <w:autoSpaceDE w:val="false"/>
        <w:spacing w:lineRule="auto" w:line="240" w:before="0" w:after="0"/>
        <w:contextualSpacing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>Papír, barva modrá, velkoobjemový kontejner s nápisem Papír</w:t>
      </w:r>
    </w:p>
    <w:p>
      <w:pPr>
        <w:pStyle w:val="Odstavecseseznamem"/>
        <w:numPr>
          <w:ilvl w:val="0"/>
          <w:numId w:val="2"/>
        </w:numPr>
        <w:autoSpaceDE w:val="false"/>
        <w:spacing w:lineRule="auto" w:line="240" w:before="0" w:after="0"/>
        <w:contextualSpacing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>Plasty, PET lahve, barva žlutá, velkoobjemový kontejner s nápisem Plasty</w:t>
      </w:r>
    </w:p>
    <w:p>
      <w:pPr>
        <w:pStyle w:val="Odstavecseseznamem"/>
        <w:numPr>
          <w:ilvl w:val="0"/>
          <w:numId w:val="2"/>
        </w:numPr>
        <w:autoSpaceDE w:val="false"/>
        <w:spacing w:lineRule="auto" w:line="240" w:before="0" w:after="0"/>
        <w:contextualSpacing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>Sklo, barva bílá a zelená, velkoobjemové kontejnery s nápisy Sklo směs, Sklo bílé a Sklo barevné</w:t>
      </w:r>
    </w:p>
    <w:p>
      <w:pPr>
        <w:pStyle w:val="Odstavecseseznamem"/>
        <w:numPr>
          <w:ilvl w:val="0"/>
          <w:numId w:val="2"/>
        </w:numPr>
        <w:autoSpaceDE w:val="false"/>
        <w:spacing w:lineRule="auto" w:line="240" w:before="0" w:after="0"/>
        <w:contextualSpacing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>Kovy, barva černá, nádoba 240 l a černé pytle</w:t>
      </w:r>
    </w:p>
    <w:p>
      <w:pPr>
        <w:pStyle w:val="Normal"/>
        <w:numPr>
          <w:ilvl w:val="0"/>
          <w:numId w:val="2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Jedlé oleje a tuky, barva černá, nádoba 120 l s nápisem Likvidace použitého kuchyňského oleje a tuku</w:t>
      </w:r>
      <w:r>
        <w:rPr>
          <w:rFonts w:cs="Arial" w:ascii="Arial" w:hAnsi="Arial"/>
          <w:i/>
          <w:iCs/>
          <w:sz w:val="22"/>
          <w:szCs w:val="22"/>
        </w:rPr>
        <w:t>.</w:t>
      </w:r>
    </w:p>
    <w:p>
      <w:pPr>
        <w:pStyle w:val="Normal"/>
        <w:ind w:start="360" w:hanging="0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 zvláštních sběrných nádob je zakázáno ukládat jiné složky komunálních odpadů, než pro které jsou určeny.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>
      <w:pPr>
        <w:pStyle w:val="Odstavecseseznamem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Papír, plasty a biologické odpady lze také odevzdávat do nádob na separovaný odpad (papír – modrá, plast – žlutá, biologické odpady – hnědá) o objemu 240 l, které na základě Smlouvě o výpůjčce nemovité věci byly dodány do každé nemovitosti s číslem popisným v obci Otmarov.</w:t>
      </w:r>
    </w:p>
    <w:p>
      <w:pPr>
        <w:pStyle w:val="Default"/>
        <w:ind w:start="360" w:hanging="0"/>
        <w:rPr>
          <w:rFonts w:ascii="Arial" w:hAnsi="Arial"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Default"/>
        <w:ind w:start="360" w:hanging="0"/>
        <w:rPr/>
      </w:pPr>
      <w:r>
        <w:rPr/>
      </w:r>
    </w:p>
    <w:p>
      <w:pPr>
        <w:pStyle w:val="Heading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Čl. 4</w:t>
      </w:r>
    </w:p>
    <w:p>
      <w:pPr>
        <w:pStyle w:val="Heading2"/>
        <w:jc w:val="center"/>
        <w:rPr/>
      </w:pPr>
      <w:r>
        <w:rPr>
          <w:rFonts w:eastAsia="Arial" w:cs="Arial" w:ascii="Arial" w:hAnsi="Arial"/>
          <w:b/>
          <w:bCs/>
          <w:sz w:val="22"/>
          <w:szCs w:val="22"/>
          <w:u w:val="none"/>
        </w:rPr>
        <w:t xml:space="preserve"> </w:t>
      </w:r>
      <w:r>
        <w:rPr>
          <w:rFonts w:cs="Arial" w:ascii="Arial" w:hAnsi="Arial"/>
          <w:b/>
          <w:bCs/>
          <w:sz w:val="22"/>
          <w:szCs w:val="22"/>
          <w:u w:val="none"/>
        </w:rPr>
        <w:t>Svoz nebezpečných složek komunálního odpadu</w:t>
      </w:r>
    </w:p>
    <w:p>
      <w:pPr>
        <w:pStyle w:val="Normal"/>
        <w:ind w:start="360" w:hanging="0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</w:r>
    </w:p>
    <w:p>
      <w:pPr>
        <w:pStyle w:val="Normal"/>
        <w:numPr>
          <w:ilvl w:val="0"/>
          <w:numId w:val="6"/>
        </w:numPr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Svoz nebezpečných složek komunálního odpadu je zajišťován </w:t>
      </w:r>
      <w:r>
        <w:rPr>
          <w:rFonts w:cs="Arial" w:ascii="Arial" w:hAnsi="Arial"/>
          <w:iCs/>
          <w:sz w:val="22"/>
          <w:szCs w:val="22"/>
        </w:rPr>
        <w:t>minimálně dvakrát ročně</w:t>
      </w:r>
      <w:r>
        <w:rPr>
          <w:rFonts w:cs="Arial" w:ascii="Arial" w:hAnsi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v místním rozhlase, na výlepových plochách a na stránkách obce.</w:t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ind w:star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Soustřeďování nebezpečných složek komunálního odpadu podléhá požadavkům stanoveným v čl. 3 odst. 4 a 5.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5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Svoz objemného odpadu</w:t>
      </w:r>
    </w:p>
    <w:p>
      <w:pPr>
        <w:pStyle w:val="Normal"/>
        <w:ind w:start="36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Svoz objemného odpadu je zajišťován dvakrát ročně jeho odebíráním na předem vyhlášených přechodných stanovištích přímo do zvláštních sběrných nádob k tomuto účelu určených. Informace o svozu jsou zveřejňovány v místním rozhlase, na výlepových plochách a na stránkách obce </w:t>
      </w:r>
    </w:p>
    <w:p>
      <w:pPr>
        <w:pStyle w:val="Normal"/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lnIMP"/>
        <w:suppressAutoHyphens w:val="false"/>
        <w:overflowPunct w:val="true"/>
        <w:autoSpaceDE w:val="true"/>
        <w:spacing w:lineRule="auto" w:line="240"/>
        <w:textAlignment w:val="auto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ind w:star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objemného odpadu podléhá požadavkům stanoveným v čl. 3 odst. 4 a 5. 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6</w:t>
      </w:r>
    </w:p>
    <w:p>
      <w:pPr>
        <w:pStyle w:val="Normal"/>
        <w:jc w:val="center"/>
        <w:rPr/>
      </w:pPr>
      <w:r>
        <w:rPr>
          <w:rFonts w:cs="Arial" w:ascii="Arial" w:hAnsi="Arial"/>
          <w:b/>
          <w:sz w:val="22"/>
          <w:szCs w:val="22"/>
        </w:rPr>
        <w:t xml:space="preserve">Soustřeďování směsného komunálního odpadu 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widowControl w:val="false"/>
        <w:numPr>
          <w:ilvl w:val="0"/>
          <w:numId w:val="7"/>
        </w:numPr>
        <w:ind w:start="426" w:hanging="426"/>
        <w:jc w:val="both"/>
        <w:rPr>
          <w:rFonts w:ascii="Arial" w:hAnsi="Arial" w:cs="Arial"/>
          <w:strike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Směsný komunální odpad se odkládá do sběrných nádob. Pro účely této vyhlášky se sběrnými nádobami rozumějí popelnice: </w:t>
      </w:r>
    </w:p>
    <w:p>
      <w:pPr>
        <w:pStyle w:val="Normal"/>
        <w:numPr>
          <w:ilvl w:val="0"/>
          <w:numId w:val="10"/>
        </w:numPr>
        <w:ind w:start="360" w:firstLine="6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popelnice</w:t>
      </w:r>
    </w:p>
    <w:p>
      <w:pPr>
        <w:pStyle w:val="Normal"/>
        <w:numPr>
          <w:ilvl w:val="0"/>
          <w:numId w:val="10"/>
        </w:numPr>
        <w:ind w:start="360" w:firstLine="6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>
      <w:pPr>
        <w:pStyle w:val="Normal"/>
        <w:numPr>
          <w:ilvl w:val="0"/>
          <w:numId w:val="7"/>
        </w:numPr>
        <w:ind w:start="426" w:hanging="426"/>
        <w:jc w:val="both"/>
        <w:rPr/>
      </w:pPr>
      <w:r>
        <w:rPr>
          <w:rFonts w:cs="Arial" w:ascii="Arial" w:hAnsi="Arial"/>
          <w:sz w:val="22"/>
          <w:szCs w:val="22"/>
        </w:rPr>
        <w:t xml:space="preserve">Soustřeďování směsného komunálního odpadu podléhá požadavkům stanoveným </w:t>
        <w:br/>
        <w:t xml:space="preserve">v čl. 3 odst. 4 a 5. 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7</w:t>
      </w:r>
    </w:p>
    <w:p>
      <w:pPr>
        <w:pStyle w:val="Normal"/>
        <w:jc w:val="center"/>
        <w:rPr/>
      </w:pPr>
      <w:r>
        <w:rPr>
          <w:rFonts w:cs="Arial" w:ascii="Arial" w:hAnsi="Arial"/>
          <w:b/>
          <w:sz w:val="22"/>
          <w:szCs w:val="22"/>
        </w:rPr>
        <w:t>Zrušovací ustanovení</w:t>
      </w:r>
    </w:p>
    <w:p>
      <w:pPr>
        <w:pStyle w:val="Normal"/>
        <w:ind w:start="36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</w:rPr>
      </w:pPr>
      <w:bookmarkStart w:id="0" w:name="_Hlk54595723"/>
      <w:r>
        <w:rPr>
          <w:rFonts w:cs="Arial" w:ascii="Arial" w:hAnsi="Arial"/>
          <w:sz w:val="22"/>
          <w:szCs w:val="22"/>
        </w:rPr>
        <w:t xml:space="preserve">Zrušuje se obecně závazná vyhláška </w:t>
      </w:r>
      <w:bookmarkEnd w:id="0"/>
      <w:r>
        <w:rPr>
          <w:rFonts w:cs="Arial" w:ascii="Arial" w:hAnsi="Arial"/>
          <w:sz w:val="22"/>
          <w:szCs w:val="22"/>
        </w:rPr>
        <w:t>č. 2/2021, o stanovení obecního systému odpadového hospodářství, ze dne 18.11.2021.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8</w:t>
      </w:r>
    </w:p>
    <w:p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Účinnost</w:t>
      </w:r>
    </w:p>
    <w:p>
      <w:pPr>
        <w:pStyle w:val="Nzvylnk"/>
        <w:spacing w:before="0" w:after="0"/>
        <w:jc w:val="start"/>
        <w:rPr>
          <w:rFonts w:ascii="Arial" w:hAnsi="Arial" w:cs="Arial"/>
          <w:color w:val="0070C0"/>
          <w:sz w:val="22"/>
          <w:szCs w:val="22"/>
        </w:rPr>
      </w:pPr>
      <w:r>
        <w:rPr>
          <w:rFonts w:cs="Arial" w:ascii="Arial" w:hAnsi="Arial"/>
          <w:color w:val="0070C0"/>
          <w:sz w:val="22"/>
          <w:szCs w:val="22"/>
        </w:rPr>
      </w:r>
    </w:p>
    <w:p>
      <w:pPr>
        <w:pStyle w:val="Normal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Tato vyhláška nabývá účinnosti dnem 1.1.2024. </w:t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/>
      </w:pPr>
      <w:r>
        <w:rPr>
          <w:rFonts w:eastAsia="Arial" w:cs="Arial" w:ascii="Arial" w:hAnsi="Arial"/>
          <w:bCs/>
          <w:sz w:val="22"/>
          <w:szCs w:val="22"/>
        </w:rPr>
        <w:t xml:space="preserve">     </w:t>
      </w:r>
      <w:r>
        <w:rPr>
          <w:rFonts w:cs="Arial" w:ascii="Arial" w:hAnsi="Arial"/>
          <w:bCs/>
          <w:sz w:val="22"/>
          <w:szCs w:val="22"/>
        </w:rPr>
        <w:t>………………</w:t>
      </w:r>
      <w:r>
        <w:rPr>
          <w:rFonts w:cs="Arial" w:ascii="Arial" w:hAnsi="Arial"/>
          <w:bCs/>
          <w:sz w:val="22"/>
          <w:szCs w:val="22"/>
        </w:rPr>
        <w:t>...……………….</w:t>
        <w:tab/>
        <w:tab/>
        <w:tab/>
        <w:tab/>
        <w:t xml:space="preserve">          ..………..………………..</w:t>
      </w:r>
    </w:p>
    <w:p>
      <w:pPr>
        <w:pStyle w:val="Normal"/>
        <w:ind w:firstLine="708"/>
        <w:rPr/>
      </w:pPr>
      <w:r>
        <w:rPr>
          <w:rFonts w:cs="Arial" w:ascii="Arial" w:hAnsi="Arial"/>
          <w:bCs/>
          <w:sz w:val="22"/>
          <w:szCs w:val="22"/>
        </w:rPr>
        <w:t>Petra Brabcová, v. r.</w:t>
        <w:tab/>
        <w:tab/>
        <w:tab/>
        <w:tab/>
        <w:tab/>
        <w:tab/>
        <w:t>Václav Gregorovič, v. r.</w:t>
      </w:r>
    </w:p>
    <w:p>
      <w:pPr>
        <w:pStyle w:val="Normal"/>
        <w:ind w:start="708" w:hanging="0"/>
        <w:rPr/>
      </w:pPr>
      <w:r>
        <w:rPr>
          <w:rFonts w:cs="Arial" w:ascii="Arial" w:hAnsi="Arial"/>
          <w:bCs/>
          <w:sz w:val="22"/>
          <w:szCs w:val="22"/>
        </w:rPr>
        <w:t>místostarostka</w:t>
        <w:tab/>
        <w:tab/>
        <w:tab/>
        <w:tab/>
        <w:tab/>
        <w:tab/>
        <w:tab/>
        <w:t>starosta</w:t>
      </w:r>
    </w:p>
    <w:p>
      <w:pPr>
        <w:pStyle w:val="Normal"/>
        <w:ind w:start="360" w:hanging="0"/>
        <w:jc w:val="center"/>
        <w:rPr>
          <w:rFonts w:ascii="Arial" w:hAnsi="Arial" w:cs="Arial"/>
          <w:b/>
          <w:b/>
          <w:bCs/>
          <w:sz w:val="22"/>
          <w:szCs w:val="22"/>
          <w:u w:val="single"/>
        </w:rPr>
      </w:pPr>
      <w:r>
        <w:rPr>
          <w:rFonts w:cs="Arial" w:ascii="Arial" w:hAnsi="Arial"/>
          <w:b/>
          <w:bCs/>
          <w:sz w:val="22"/>
          <w:szCs w:val="22"/>
          <w:u w:val="single"/>
        </w:rPr>
      </w:r>
    </w:p>
    <w:sectPr>
      <w:footerReference w:type="default" r:id="rId2"/>
      <w:footnotePr>
        <w:numFmt w:val="decimal"/>
      </w:footnotePr>
      <w:type w:val="nextPage"/>
      <w:pgSz w:w="11906" w:h="16838"/>
      <w:pgMar w:left="1418" w:right="1418" w:gutter="0" w:header="0" w:top="1418" w:footer="709" w:bottom="198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Tahoma">
    <w:charset w:val="ee" w:characterSet="windows-1250"/>
    <w:family w:val="swiss"/>
    <w:pitch w:val="variable"/>
  </w:font>
  <w:font w:name="Calibri">
    <w:charset w:val="ee" w:characterSet="windows-125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"/>
        <w:rPr/>
      </w:pPr>
      <w:r>
        <w:rPr>
          <w:rStyle w:val="FootnoteCharacters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61 zákona o odpadech</w:t>
      </w:r>
    </w:p>
  </w:footnote>
  <w:footnote w:id="3">
    <w:p>
      <w:pPr>
        <w:pStyle w:val="Footnote"/>
        <w:rPr/>
      </w:pPr>
      <w:r>
        <w:rPr>
          <w:rStyle w:val="FootnoteCharacters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60 zákona o</w:t>
      </w:r>
      <w:r>
        <w:rPr>
          <w:rFonts w:cs="Arial" w:ascii="Arial" w:hAnsi="Arial"/>
        </w:rPr>
        <w:t xml:space="preserve"> odpadech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lowerLetter"/>
      <w:lvlText w:val="%1)"/>
      <w:lvlJc w:val="start"/>
      <w:pPr>
        <w:tabs>
          <w:tab w:val="num" w:pos="0"/>
        </w:tabs>
        <w:ind w:start="720" w:hanging="360"/>
      </w:pPr>
      <w:rPr>
        <w:i w:val="false"/>
        <w:rFonts w:cs="Arial"/>
        <w:color w:val="000000"/>
      </w:rPr>
    </w:lvl>
  </w:abstractNum>
  <w:abstractNum w:abstractNumId="3">
    <w:lvl w:ilvl="0">
      <w:start w:val="1"/>
      <w:numFmt w:val="decimal"/>
      <w:lvlText w:val="%1)"/>
      <w:lvlJc w:val="start"/>
      <w:pPr>
        <w:tabs>
          <w:tab w:val="num" w:pos="0"/>
        </w:tabs>
        <w:ind w:start="360" w:hanging="360"/>
      </w:pPr>
      <w:rPr>
        <w:sz w:val="22"/>
        <w:szCs w:val="22"/>
        <w:rFonts w:ascii="Arial" w:hAnsi="Arial" w:cs="Arial"/>
      </w:rPr>
    </w:lvl>
  </w:abstractNum>
  <w:abstractNum w:abstractNumId="4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sz w:val="22"/>
        <w:szCs w:val="22"/>
        <w:rFonts w:ascii="Arial" w:hAnsi="Arial" w:cs="Arial"/>
        <w:color w:val="000000"/>
      </w:rPr>
    </w:lvl>
  </w:abstractNum>
  <w:abstractNum w:abstractNumId="5">
    <w:lvl w:ilvl="0">
      <w:start w:val="1"/>
      <w:numFmt w:val="decimal"/>
      <w:lvlText w:val="%1)"/>
      <w:lvlJc w:val="start"/>
      <w:pPr>
        <w:tabs>
          <w:tab w:val="num" w:pos="360"/>
        </w:tabs>
        <w:ind w:start="360" w:hanging="360"/>
      </w:pPr>
      <w:rPr>
        <w:rFonts w:cs="Arial"/>
        <w:color w:val="000000"/>
      </w:rPr>
    </w:lvl>
  </w:abstractNum>
  <w:abstractNum w:abstractNumId="6">
    <w:lvl w:ilvl="0">
      <w:start w:val="1"/>
      <w:numFmt w:val="decimal"/>
      <w:lvlText w:val="%1)"/>
      <w:lvlJc w:val="start"/>
      <w:pPr>
        <w:tabs>
          <w:tab w:val="num" w:pos="0"/>
        </w:tabs>
        <w:ind w:start="360" w:hanging="360"/>
      </w:pPr>
      <w:rPr>
        <w:i w:val="false"/>
        <w:rFonts w:cs="Arial"/>
      </w:rPr>
    </w:lvl>
  </w:abstractNum>
  <w:abstractNum w:abstractNumId="7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dstrike w:val="false"/>
        <w:strike w:val="false"/>
        <w:sz w:val="22"/>
        <w:szCs w:val="22"/>
        <w:rFonts w:ascii="Arial" w:hAnsi="Arial" w:cs="Arial"/>
        <w:color w:val="000000"/>
      </w:rPr>
    </w:lvl>
  </w:abstractNum>
  <w:abstractNum w:abstractNumId="8">
    <w:lvl w:ilvl="0">
      <w:start w:val="1"/>
      <w:numFmt w:val="lowerLetter"/>
      <w:lvlText w:val="%1)"/>
      <w:lvlJc w:val="start"/>
      <w:pPr>
        <w:tabs>
          <w:tab w:val="num" w:pos="0"/>
        </w:tabs>
        <w:ind w:start="786" w:hanging="360"/>
      </w:pPr>
      <w:rPr>
        <w:i/>
        <w:bCs/>
        <w:rFonts w:ascii="Arial" w:hAnsi="Arial" w:eastAsia="Times New Roman" w:cs="Times New Roman"/>
        <w:color w:val="000000"/>
      </w:rPr>
    </w:lvl>
  </w:abstractNum>
  <w:abstractNum w:abstractNumId="9">
    <w:lvl w:ilvl="0">
      <w:start w:val="1"/>
      <w:numFmt w:val="decimal"/>
      <w:lvlText w:val="%1)"/>
      <w:lvlJc w:val="start"/>
      <w:pPr>
        <w:tabs>
          <w:tab w:val="num" w:pos="360"/>
        </w:tabs>
        <w:ind w:start="360" w:hanging="360"/>
      </w:pPr>
      <w:rPr>
        <w:sz w:val="22"/>
        <w:u w:val="none"/>
        <w:b w:val="false"/>
        <w:szCs w:val="22"/>
        <w:rFonts w:ascii="Arial" w:hAnsi="Arial" w:cs="Arial"/>
      </w:rPr>
    </w:lvl>
  </w:abstractNum>
  <w:abstractNum w:abstractNumId="10">
    <w:lvl w:ilvl="0">
      <w:start w:val="1"/>
      <w:numFmt w:val="lowerLetter"/>
      <w:lvlText w:val="%1)"/>
      <w:lvlJc w:val="start"/>
      <w:pPr>
        <w:tabs>
          <w:tab w:val="num" w:pos="708"/>
        </w:tabs>
        <w:ind w:start="360" w:hanging="360"/>
      </w:pPr>
      <w:rPr>
        <w:rFonts w:ascii="Arial" w:hAnsi="Arial" w:eastAsia="Times New Roman" w:cs="Arial"/>
        <w:color w:val="00000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Lohit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cs-CZ" w:bidi="ar-SA" w:eastAsia="zh-CN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styleId="WW8Num1z0">
    <w:name w:val="WW8Num1z0"/>
    <w:qFormat/>
    <w:rPr>
      <w:rFonts w:cs="Arial"/>
      <w:i w:val="false"/>
      <w:color w:val="000000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color w:val="00000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rFonts w:ascii="Arial" w:hAnsi="Arial" w:cs="Arial"/>
      <w:sz w:val="22"/>
      <w:szCs w:val="22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ascii="Arial" w:hAnsi="Arial" w:cs="Arial"/>
      <w:color w:val="000000"/>
      <w:sz w:val="22"/>
      <w:szCs w:val="22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cs="Arial"/>
      <w:color w:val="000000"/>
    </w:rPr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rFonts w:cs="Times New Roman"/>
    </w:rPr>
  </w:style>
  <w:style w:type="character" w:styleId="WW8Num11z1">
    <w:name w:val="WW8Num11z1"/>
    <w:qFormat/>
    <w:rPr>
      <w:rFonts w:cs="Times New Roman"/>
    </w:rPr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>
      <w:rFonts w:cs="Arial"/>
      <w:i w:val="false"/>
    </w:rPr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>
      <w:rFonts w:ascii="Arial" w:hAnsi="Arial" w:cs="Arial"/>
      <w:strike w:val="false"/>
      <w:dstrike w:val="false"/>
      <w:color w:val="000000"/>
      <w:sz w:val="22"/>
      <w:szCs w:val="22"/>
    </w:rPr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>
      <w:color w:val="000000"/>
    </w:rPr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>
      <w:i w:val="false"/>
    </w:rPr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/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0">
    <w:name w:val="WW8Num20z0"/>
    <w:qFormat/>
    <w:rPr>
      <w:rFonts w:ascii="Arial" w:hAnsi="Arial" w:eastAsia="Times New Roman" w:cs="Arial"/>
    </w:rPr>
  </w:style>
  <w:style w:type="character" w:styleId="WW8Num20z1">
    <w:name w:val="WW8Num20z1"/>
    <w:qFormat/>
    <w:rPr/>
  </w:style>
  <w:style w:type="character" w:styleId="WW8Num20z2">
    <w:name w:val="WW8Num20z2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21z0">
    <w:name w:val="WW8Num21z0"/>
    <w:qFormat/>
    <w:rPr>
      <w:rFonts w:cs="Times New Roman"/>
    </w:rPr>
  </w:style>
  <w:style w:type="character" w:styleId="WW8Num21z1">
    <w:name w:val="WW8Num21z1"/>
    <w:qFormat/>
    <w:rPr>
      <w:rFonts w:cs="Times New Roman"/>
    </w:rPr>
  </w:style>
  <w:style w:type="character" w:styleId="WW8Num22z0">
    <w:name w:val="WW8Num22z0"/>
    <w:qFormat/>
    <w:rPr>
      <w:rFonts w:ascii="Arial" w:hAnsi="Arial" w:eastAsia="Times New Roman" w:cs="Times New Roman"/>
      <w:bCs/>
      <w:i/>
      <w:color w:val="000000"/>
    </w:rPr>
  </w:style>
  <w:style w:type="character" w:styleId="WW8Num22z1">
    <w:name w:val="WW8Num22z1"/>
    <w:qFormat/>
    <w:rPr>
      <w:rFonts w:cs="Times New Roman"/>
    </w:rPr>
  </w:style>
  <w:style w:type="character" w:styleId="WW8Num23z0">
    <w:name w:val="WW8Num23z0"/>
    <w:qFormat/>
    <w:rPr>
      <w:rFonts w:ascii="Arial" w:hAnsi="Arial" w:cs="Arial"/>
      <w:b w:val="false"/>
      <w:sz w:val="22"/>
      <w:szCs w:val="22"/>
      <w:u w:val="none"/>
    </w:rPr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/>
  </w:style>
  <w:style w:type="character" w:styleId="WW8Num24z1">
    <w:name w:val="WW8Num24z1"/>
    <w:qFormat/>
    <w:rPr/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WW8Num25z0">
    <w:name w:val="WW8Num25z0"/>
    <w:qFormat/>
    <w:rPr/>
  </w:style>
  <w:style w:type="character" w:styleId="WW8Num25z1">
    <w:name w:val="WW8Num25z1"/>
    <w:qFormat/>
    <w:rPr/>
  </w:style>
  <w:style w:type="character" w:styleId="WW8Num25z2">
    <w:name w:val="WW8Num25z2"/>
    <w:qFormat/>
    <w:rPr/>
  </w:style>
  <w:style w:type="character" w:styleId="WW8Num25z3">
    <w:name w:val="WW8Num25z3"/>
    <w:qFormat/>
    <w:rPr/>
  </w:style>
  <w:style w:type="character" w:styleId="WW8Num25z4">
    <w:name w:val="WW8Num25z4"/>
    <w:qFormat/>
    <w:rPr/>
  </w:style>
  <w:style w:type="character" w:styleId="WW8Num25z5">
    <w:name w:val="WW8Num25z5"/>
    <w:qFormat/>
    <w:rPr/>
  </w:style>
  <w:style w:type="character" w:styleId="WW8Num25z6">
    <w:name w:val="WW8Num25z6"/>
    <w:qFormat/>
    <w:rPr/>
  </w:style>
  <w:style w:type="character" w:styleId="WW8Num25z7">
    <w:name w:val="WW8Num25z7"/>
    <w:qFormat/>
    <w:rPr/>
  </w:style>
  <w:style w:type="character" w:styleId="WW8Num25z8">
    <w:name w:val="WW8Num25z8"/>
    <w:qFormat/>
    <w:rPr/>
  </w:style>
  <w:style w:type="character" w:styleId="WW8Num26z0">
    <w:name w:val="WW8Num26z0"/>
    <w:qFormat/>
    <w:rPr/>
  </w:style>
  <w:style w:type="character" w:styleId="WW8Num26z1">
    <w:name w:val="WW8Num26z1"/>
    <w:qFormat/>
    <w:rPr/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27z0">
    <w:name w:val="WW8Num27z0"/>
    <w:qFormat/>
    <w:rPr/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28z0">
    <w:name w:val="WW8Num28z0"/>
    <w:qFormat/>
    <w:rPr/>
  </w:style>
  <w:style w:type="character" w:styleId="WW8Num28z1">
    <w:name w:val="WW8Num28z1"/>
    <w:qFormat/>
    <w:rPr/>
  </w:style>
  <w:style w:type="character" w:styleId="WW8Num28z2">
    <w:name w:val="WW8Num28z2"/>
    <w:qFormat/>
    <w:rPr/>
  </w:style>
  <w:style w:type="character" w:styleId="WW8Num28z3">
    <w:name w:val="WW8Num28z3"/>
    <w:qFormat/>
    <w:rPr/>
  </w:style>
  <w:style w:type="character" w:styleId="WW8Num28z4">
    <w:name w:val="WW8Num28z4"/>
    <w:qFormat/>
    <w:rPr/>
  </w:style>
  <w:style w:type="character" w:styleId="WW8Num28z5">
    <w:name w:val="WW8Num28z5"/>
    <w:qFormat/>
    <w:rPr/>
  </w:style>
  <w:style w:type="character" w:styleId="WW8Num28z6">
    <w:name w:val="WW8Num28z6"/>
    <w:qFormat/>
    <w:rPr/>
  </w:style>
  <w:style w:type="character" w:styleId="WW8Num28z7">
    <w:name w:val="WW8Num28z7"/>
    <w:qFormat/>
    <w:rPr/>
  </w:style>
  <w:style w:type="character" w:styleId="WW8Num28z8">
    <w:name w:val="WW8Num28z8"/>
    <w:qFormat/>
    <w:rPr/>
  </w:style>
  <w:style w:type="character" w:styleId="WW8Num29z0">
    <w:name w:val="WW8Num29z0"/>
    <w:qFormat/>
    <w:rPr>
      <w:strike w:val="false"/>
      <w:dstrike w:val="false"/>
      <w:color w:val="000000"/>
    </w:rPr>
  </w:style>
  <w:style w:type="character" w:styleId="WW8Num29z1">
    <w:name w:val="WW8Num29z1"/>
    <w:qFormat/>
    <w:rPr/>
  </w:style>
  <w:style w:type="character" w:styleId="WW8Num29z2">
    <w:name w:val="WW8Num29z2"/>
    <w:qFormat/>
    <w:rPr/>
  </w:style>
  <w:style w:type="character" w:styleId="WW8Num29z3">
    <w:name w:val="WW8Num29z3"/>
    <w:qFormat/>
    <w:rPr/>
  </w:style>
  <w:style w:type="character" w:styleId="WW8Num29z4">
    <w:name w:val="WW8Num29z4"/>
    <w:qFormat/>
    <w:rPr/>
  </w:style>
  <w:style w:type="character" w:styleId="WW8Num29z5">
    <w:name w:val="WW8Num29z5"/>
    <w:qFormat/>
    <w:rPr/>
  </w:style>
  <w:style w:type="character" w:styleId="WW8Num29z6">
    <w:name w:val="WW8Num29z6"/>
    <w:qFormat/>
    <w:rPr/>
  </w:style>
  <w:style w:type="character" w:styleId="WW8Num29z7">
    <w:name w:val="WW8Num29z7"/>
    <w:qFormat/>
    <w:rPr/>
  </w:style>
  <w:style w:type="character" w:styleId="WW8Num29z8">
    <w:name w:val="WW8Num29z8"/>
    <w:qFormat/>
    <w:rPr/>
  </w:style>
  <w:style w:type="character" w:styleId="WW8Num30z0">
    <w:name w:val="WW8Num30z0"/>
    <w:qFormat/>
    <w:rPr/>
  </w:style>
  <w:style w:type="character" w:styleId="WW8Num30z1">
    <w:name w:val="WW8Num30z1"/>
    <w:qFormat/>
    <w:rPr/>
  </w:style>
  <w:style w:type="character" w:styleId="WW8Num30z2">
    <w:name w:val="WW8Num30z2"/>
    <w:qFormat/>
    <w:rPr/>
  </w:style>
  <w:style w:type="character" w:styleId="WW8Num30z3">
    <w:name w:val="WW8Num30z3"/>
    <w:qFormat/>
    <w:rPr/>
  </w:style>
  <w:style w:type="character" w:styleId="WW8Num30z4">
    <w:name w:val="WW8Num30z4"/>
    <w:qFormat/>
    <w:rPr/>
  </w:style>
  <w:style w:type="character" w:styleId="WW8Num30z5">
    <w:name w:val="WW8Num30z5"/>
    <w:qFormat/>
    <w:rPr/>
  </w:style>
  <w:style w:type="character" w:styleId="WW8Num30z6">
    <w:name w:val="WW8Num30z6"/>
    <w:qFormat/>
    <w:rPr/>
  </w:style>
  <w:style w:type="character" w:styleId="WW8Num30z7">
    <w:name w:val="WW8Num30z7"/>
    <w:qFormat/>
    <w:rPr/>
  </w:style>
  <w:style w:type="character" w:styleId="WW8Num30z8">
    <w:name w:val="WW8Num30z8"/>
    <w:qFormat/>
    <w:rPr/>
  </w:style>
  <w:style w:type="character" w:styleId="WW8Num31z0">
    <w:name w:val="WW8Num31z0"/>
    <w:qFormat/>
    <w:rPr>
      <w:rFonts w:ascii="Arial" w:hAnsi="Arial" w:eastAsia="Times New Roman" w:cs="Arial"/>
      <w:color w:val="000000"/>
    </w:rPr>
  </w:style>
  <w:style w:type="character" w:styleId="WW8Num31z1">
    <w:name w:val="WW8Num31z1"/>
    <w:qFormat/>
    <w:rPr/>
  </w:style>
  <w:style w:type="character" w:styleId="WW8Num31z2">
    <w:name w:val="WW8Num31z2"/>
    <w:qFormat/>
    <w:rPr/>
  </w:style>
  <w:style w:type="character" w:styleId="WW8Num31z3">
    <w:name w:val="WW8Num31z3"/>
    <w:qFormat/>
    <w:rPr/>
  </w:style>
  <w:style w:type="character" w:styleId="WW8Num31z4">
    <w:name w:val="WW8Num31z4"/>
    <w:qFormat/>
    <w:rPr/>
  </w:style>
  <w:style w:type="character" w:styleId="WW8Num31z5">
    <w:name w:val="WW8Num31z5"/>
    <w:qFormat/>
    <w:rPr/>
  </w:style>
  <w:style w:type="character" w:styleId="WW8Num31z6">
    <w:name w:val="WW8Num31z6"/>
    <w:qFormat/>
    <w:rPr/>
  </w:style>
  <w:style w:type="character" w:styleId="WW8Num31z7">
    <w:name w:val="WW8Num31z7"/>
    <w:qFormat/>
    <w:rPr/>
  </w:style>
  <w:style w:type="character" w:styleId="WW8Num31z8">
    <w:name w:val="WW8Num31z8"/>
    <w:qFormat/>
    <w:rPr/>
  </w:style>
  <w:style w:type="character" w:styleId="Standardnpsmoodstavce">
    <w:name w:val="Standardní písmo odstavce"/>
    <w:qFormat/>
    <w:rPr/>
  </w:style>
  <w:style w:type="character" w:styleId="FootnoteCharacters">
    <w:name w:val="Footnote Characters"/>
    <w:qFormat/>
    <w:rPr>
      <w:vertAlign w:val="superscript"/>
    </w:rPr>
  </w:style>
  <w:style w:type="character" w:styleId="Odkaznakoment">
    <w:name w:val="Odkaz na komentář"/>
    <w:qFormat/>
    <w:rPr>
      <w:sz w:val="16"/>
      <w:szCs w:val="16"/>
    </w:rPr>
  </w:style>
  <w:style w:type="character" w:styleId="TextkomenteChar">
    <w:name w:val="Text komentáře Char"/>
    <w:basedOn w:val="Standardnpsmoodstavce"/>
    <w:qFormat/>
    <w:rPr/>
  </w:style>
  <w:style w:type="character" w:styleId="PedmtkomenteChar">
    <w:name w:val="Předmět komentáře Char"/>
    <w:qFormat/>
    <w:rPr>
      <w:b/>
      <w:bCs/>
    </w:rPr>
  </w:style>
  <w:style w:type="character" w:styleId="ZpatChar">
    <w:name w:val="Zápatí Char"/>
    <w:qFormat/>
    <w:rPr>
      <w:sz w:val="24"/>
      <w:szCs w:val="24"/>
    </w:rPr>
  </w:style>
  <w:style w:type="character" w:styleId="FootnoteAnchor">
    <w:name w:val="Footnote Anchor"/>
    <w:rPr>
      <w:vertAlign w:val="superscript"/>
    </w:rPr>
  </w:style>
  <w:style w:type="character" w:styleId="EndnoteAnchor">
    <w:name w:val="Endnote Anchor"/>
    <w:rPr>
      <w:vertAlign w:val="superscript"/>
    </w:rPr>
  </w:style>
  <w:style w:type="character" w:styleId="EndnoteCharacters">
    <w:name w:val="Endnote Characters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Lohit Devanagari"/>
      <w:sz w:val="28"/>
      <w:szCs w:val="28"/>
    </w:rPr>
  </w:style>
  <w:style w:type="paragraph" w:styleId="TextBody">
    <w:name w:val="Body Text"/>
    <w:basedOn w:val="Normal"/>
    <w:pPr>
      <w:spacing w:before="0" w:after="120"/>
    </w:pPr>
    <w:rPr>
      <w:szCs w:val="20"/>
    </w:rPr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TextBodyIndent">
    <w:name w:val="Body Text Indent"/>
    <w:basedOn w:val="Normal"/>
    <w:pPr>
      <w:ind w:start="708" w:firstLine="357"/>
      <w:jc w:val="both"/>
    </w:pPr>
    <w:rPr>
      <w:szCs w:val="20"/>
    </w:rPr>
  </w:style>
  <w:style w:type="paragraph" w:styleId="Zkladntextodsazen2">
    <w:name w:val="Základní text odsazený 2"/>
    <w:basedOn w:val="Normal"/>
    <w:qFormat/>
    <w:pPr>
      <w:ind w:start="708" w:firstLine="360"/>
      <w:jc w:val="both"/>
    </w:pPr>
    <w:rPr>
      <w:bCs/>
      <w:szCs w:val="20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Footnote">
    <w:name w:val="Footnote Text"/>
    <w:basedOn w:val="Normal"/>
    <w:pPr/>
    <w:rPr>
      <w:sz w:val="20"/>
      <w:szCs w:val="20"/>
      <w:lang w:val="en-US" w:eastAsia="en-US"/>
    </w:rPr>
  </w:style>
  <w:style w:type="paragraph" w:styleId="NormlnIMP">
    <w:name w:val="Normální_IMP"/>
    <w:basedOn w:val="Normal"/>
    <w:qFormat/>
    <w:pPr>
      <w:suppressAutoHyphens w:val="true"/>
      <w:overflowPunct w:val="false"/>
      <w:autoSpaceDE w:val="false"/>
      <w:spacing w:lineRule="auto" w:line="228"/>
      <w:jc w:val="both"/>
      <w:textAlignment w:val="baseline"/>
    </w:pPr>
    <w:rPr>
      <w:szCs w:val="20"/>
    </w:rPr>
  </w:style>
  <w:style w:type="paragraph" w:styleId="Textkomente">
    <w:name w:val="Text komentáře"/>
    <w:basedOn w:val="Normal"/>
    <w:qFormat/>
    <w:pPr/>
    <w:rPr>
      <w:sz w:val="20"/>
      <w:szCs w:val="20"/>
    </w:rPr>
  </w:style>
  <w:style w:type="paragraph" w:styleId="Zkladntextodsazen3">
    <w:name w:val="Základní text odsazený 3"/>
    <w:basedOn w:val="Normal"/>
    <w:qFormat/>
    <w:pPr>
      <w:widowControl w:val="false"/>
      <w:tabs>
        <w:tab w:val="clear" w:pos="708"/>
        <w:tab w:val="left" w:pos="540" w:leader="none"/>
      </w:tabs>
      <w:ind w:start="540" w:hanging="540"/>
      <w:jc w:val="both"/>
    </w:pPr>
    <w:rPr>
      <w:bCs/>
    </w:rPr>
  </w:style>
  <w:style w:type="paragraph" w:styleId="Textbubliny">
    <w:name w:val="Text bubliny"/>
    <w:basedOn w:val="Normal"/>
    <w:qFormat/>
    <w:pPr/>
    <w:rPr>
      <w:rFonts w:ascii="Tahoma" w:hAnsi="Tahoma" w:cs="Tahoma"/>
      <w:sz w:val="16"/>
      <w:szCs w:val="16"/>
    </w:rPr>
  </w:style>
  <w:style w:type="paragraph" w:styleId="Odstavecseseznamem">
    <w:name w:val="Odstavec se seznamem"/>
    <w:basedOn w:val="Normal"/>
    <w:qFormat/>
    <w:pPr>
      <w:spacing w:lineRule="auto" w:line="276" w:before="0" w:after="200"/>
      <w:ind w:start="72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Pedmtkomente">
    <w:name w:val="Předmět komentáře"/>
    <w:basedOn w:val="Textkomente"/>
    <w:next w:val="Textkomente"/>
    <w:qFormat/>
    <w:pPr/>
    <w:rPr>
      <w:b/>
      <w:bCs/>
      <w:lang w:val="en-US"/>
    </w:rPr>
  </w:style>
  <w:style w:type="paragraph" w:styleId="Footer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>
      <w:lang w:val="en-US"/>
    </w:rPr>
  </w:style>
  <w:style w:type="paragraph" w:styleId="Default">
    <w:name w:val="Default"/>
    <w:qFormat/>
    <w:pPr>
      <w:widowControl/>
      <w:autoSpaceDE w:val="false"/>
      <w:bidi w:val="0"/>
    </w:pPr>
    <w:rPr>
      <w:rFonts w:ascii="Arial" w:hAnsi="Arial" w:eastAsia="Times New Roman" w:cs="Arial"/>
      <w:color w:val="000000"/>
      <w:sz w:val="24"/>
      <w:szCs w:val="24"/>
      <w:lang w:val="cs-CZ" w:bidi="ar-SA" w:eastAsia="zh-CN"/>
    </w:rPr>
  </w:style>
  <w:style w:type="paragraph" w:styleId="Nzvylnk">
    <w:name w:val="Názvy článků"/>
    <w:basedOn w:val="Normal"/>
    <w:qFormat/>
    <w:pPr>
      <w:keepNext w:val="true"/>
      <w:keepLines/>
      <w:spacing w:before="60" w:after="160"/>
      <w:jc w:val="center"/>
    </w:pPr>
    <w:rPr>
      <w:b/>
      <w:bCs/>
      <w:szCs w:val="20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  <w:style w:type="numbering" w:styleId="WW8Num31">
    <w:name w:val="WW8Num3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LibreOffice/7.2.1.2$Linux_X86_64 LibreOffice_project/20$Build-2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2023-09-18T11:58:00Z</dcterms:created>
  <dc:creator>DA210036</dc:creator>
  <dc:description/>
  <cp:keywords> </cp:keywords>
  <dc:language>en-US</dc:language>
  <cp:lastModifiedBy>Petra Brabcová</cp:lastModifiedBy>
  <cp:lastPrinted>2023-12-13T09:54:00Z</cp:lastPrinted>
  <dcterms:modified xsi:type="dcterms:W3CDTF">2023-12-13T10:01:00Z</dcterms:modified>
  <cp:revision>13</cp:revision>
  <dc:subject/>
  <dc:title>Vzor obecně závazné vyhlášky obce o stanovení systému shromažďování, sběru, přepravy, třídění, využívání a odstraňování komuná</dc:title>
</cp:coreProperties>
</file>