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OTMAROV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Otmarov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</w:rPr>
        <w:t>Obecně závazná vyhláška obce Otmarov</w:t>
      </w:r>
    </w:p>
    <w:p>
      <w:pPr>
        <w:pStyle w:val="NormlnIMP"/>
        <w:spacing w:lineRule="auto" w:line="240"/>
        <w:jc w:val="center"/>
        <w:rPr/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Zkladntextodsazen2"/>
        <w:ind w:star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Otmarov se na svém zasedání dne 11. prosince 2023 usnesením </w:t>
      </w:r>
    </w:p>
    <w:p>
      <w:pPr>
        <w:pStyle w:val="Zkladntextodsazen2"/>
        <w:ind w:star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č. 4/1/8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ind w:star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stanovuje obecní systém odpadového hospodářství na území obce Otmarov. 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-142" w:leader="none"/>
        </w:tabs>
        <w:autoSpaceDE w:val="false"/>
        <w:ind w:start="0" w:hanging="426"/>
        <w:jc w:val="both"/>
        <w:rPr/>
      </w:pPr>
      <w:r>
        <w:rPr>
          <w:rFonts w:eastAsia="Arial"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-142" w:leader="none"/>
        </w:tabs>
        <w:autoSpaceDE w:val="false"/>
        <w:ind w:start="0" w:hanging="426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Characters"/>
          <w:rStyle w:val="FootnoteAnchor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-142" w:leader="none"/>
        </w:tabs>
        <w:autoSpaceDE w:val="false"/>
        <w:ind w:start="0" w:hanging="426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Odstavecseseznamem"/>
        <w:numPr>
          <w:ilvl w:val="0"/>
          <w:numId w:val="8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Odstavecseseznamem"/>
        <w:numPr>
          <w:ilvl w:val="0"/>
          <w:numId w:val="8"/>
        </w:numPr>
        <w:tabs>
          <w:tab w:val="clear" w:pos="708"/>
          <w:tab w:val="left" w:pos="567" w:leader="none"/>
        </w:tabs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Odstavecseseznamem"/>
        <w:numPr>
          <w:ilvl w:val="0"/>
          <w:numId w:val="8"/>
        </w:numPr>
        <w:tabs>
          <w:tab w:val="clear" w:pos="708"/>
          <w:tab w:val="left" w:pos="567" w:leader="none"/>
        </w:tabs>
        <w:autoSpaceDE w:val="false"/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Odstavecseseznamem"/>
        <w:numPr>
          <w:ilvl w:val="0"/>
          <w:numId w:val="8"/>
        </w:numPr>
        <w:autoSpaceDE w:val="false"/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Odstavecseseznamem"/>
        <w:numPr>
          <w:ilvl w:val="0"/>
          <w:numId w:val="8"/>
        </w:numPr>
        <w:autoSpaceDE w:val="false"/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TextBodyInden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a h).</w:t>
      </w:r>
    </w:p>
    <w:p>
      <w:pPr>
        <w:pStyle w:val="TextBodyIndent"/>
        <w:ind w:star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Inden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 ,…</w:t>
      </w:r>
      <w:r>
        <w:rPr>
          <w:rFonts w:cs="Arial" w:ascii="Arial" w:hAnsi="Arial"/>
          <w:sz w:val="22"/>
          <w:szCs w:val="22"/>
        </w:rPr>
        <w:t xml:space="preserve"> ).</w:t>
      </w:r>
    </w:p>
    <w:p>
      <w:pPr>
        <w:pStyle w:val="TextBodyIndent"/>
        <w:ind w:star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Indent"/>
        <w:ind w:star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Heading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  <w:u w:val="none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se soustřeďují do </w:t>
      </w:r>
      <w:r>
        <w:rPr>
          <w:rFonts w:cs="Arial" w:ascii="Arial" w:hAnsi="Arial"/>
          <w:bCs/>
          <w:sz w:val="22"/>
          <w:szCs w:val="22"/>
        </w:rPr>
        <w:t>zvláštních</w:t>
        <w:tab/>
        <w:t>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iCs/>
          <w:sz w:val="22"/>
          <w:szCs w:val="22"/>
        </w:rPr>
        <w:t>sběrné nádoby, pytle, a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9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star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Sběrné nádoby na papír a plast jsou umístěny za budovou č. p. 24.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Sběrné nádoby na sklo jsou umístěny za budovou č. p. 24 a v blízkosti vjezdu do areálu firmy Stappert, Otmarov 57.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Nádoba a pytle na kov jsou umístěny za budovou č. p. 24.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Nádoba na jedlé oleje a tuky je umístěna za budovou č. p. 24.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Velkoobjemový kontejner na biologický odpad je umístěna v prostoru za budovou č. p. 24.</w:t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lnIMP"/>
        <w:numPr>
          <w:ilvl w:val="0"/>
          <w:numId w:val="9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start="0" w:hanging="0"/>
        <w:textAlignment w:val="auto"/>
        <w:rPr/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Biologické odpady, šedá barva - velkoobjemový kontejner 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Papír, barva modrá, velkoobjemový kontejner s nápisem Papír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Plasty, PET lahve, barva žlutá, velkoobjemový kontejner s nápisem Plasty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Sklo, barva bílá a zelená, velkoobjemové kontejnery s nápisy Sklo směs, Sklo bílé a Sklo barevné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Kovy, barva černá, nádoba 240 l a černé pytle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Jedlé oleje a tuky, barva černá, nádoba 120 l s nápisem Likvidace použitého kuchyňského oleje a tuku</w:t>
      </w:r>
      <w:r>
        <w:rPr>
          <w:rFonts w:cs="Arial" w:ascii="Arial" w:hAnsi="Arial"/>
          <w:i/>
          <w:iCs/>
          <w:sz w:val="22"/>
          <w:szCs w:val="22"/>
        </w:rPr>
        <w:t>.</w:t>
      </w:r>
    </w:p>
    <w:p>
      <w:pPr>
        <w:pStyle w:val="Normal"/>
        <w:ind w:star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 a biologické odpady lze také odevzdávat do nádob na separovaný odpad (papír – modrá, plast – žlutá, biologické odpady – hnědá) o objemu 240 l, které na základě Smlouvě o výpůjčce nemovité věci byly dodány do každé nemovitosti s číslem popisným v obci Otmarov.</w:t>
      </w:r>
    </w:p>
    <w:p>
      <w:pPr>
        <w:pStyle w:val="Default"/>
        <w:ind w:start="360" w:hanging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Default"/>
        <w:ind w:start="360" w:hanging="0"/>
        <w:rPr/>
      </w:pPr>
      <w:r>
        <w:rPr/>
      </w:r>
    </w:p>
    <w:p>
      <w:pPr>
        <w:pStyle w:val="Heading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Heading2"/>
        <w:jc w:val="center"/>
        <w:rPr/>
      </w:pPr>
      <w:r>
        <w:rPr>
          <w:rFonts w:eastAsia="Arial"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start="360"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rozhlase, na výlepových plochách a na stránkách obce.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ind w:star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star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 svozu jsou zveřejňovány v místním rozhlase, na výlepových plochách a na stránkách obce 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lnIMP"/>
        <w:suppressAutoHyphens w:val="false"/>
        <w:overflowPunct w:val="true"/>
        <w:autoSpaceDE w:val="true"/>
        <w:spacing w:lineRule="auto" w:line="24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ind w:star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7"/>
        </w:numPr>
        <w:ind w:start="426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Směsný komunální odpad se odkládá do sběrných nádob. Pro účely této vyhlášky se sběrnými nádobami rozumějí popelnice: </w:t>
      </w:r>
    </w:p>
    <w:p>
      <w:pPr>
        <w:pStyle w:val="Normal"/>
        <w:numPr>
          <w:ilvl w:val="0"/>
          <w:numId w:val="10"/>
        </w:numPr>
        <w:ind w:star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popelnice</w:t>
      </w:r>
    </w:p>
    <w:p>
      <w:pPr>
        <w:pStyle w:val="Normal"/>
        <w:numPr>
          <w:ilvl w:val="0"/>
          <w:numId w:val="10"/>
        </w:numPr>
        <w:ind w:star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numPr>
          <w:ilvl w:val="0"/>
          <w:numId w:val="7"/>
        </w:numPr>
        <w:ind w:start="426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star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2/2021, o stanovení obecního systému odpadového hospodářství, ze dne 18.11.2021.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before="0" w:after="0"/>
        <w:jc w:val="star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1.1.2024. 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eastAsia="Arial" w:cs="Arial" w:ascii="Arial" w:hAnsi="Arial"/>
          <w:bCs/>
          <w:sz w:val="22"/>
          <w:szCs w:val="22"/>
        </w:rPr>
        <w:t xml:space="preserve">     </w:t>
      </w: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 xml:space="preserve">          ..………..………………..</w:t>
      </w:r>
    </w:p>
    <w:p>
      <w:pPr>
        <w:pStyle w:val="Normal"/>
        <w:ind w:firstLine="708"/>
        <w:rPr/>
      </w:pPr>
      <w:r>
        <w:rPr>
          <w:rFonts w:cs="Arial" w:ascii="Arial" w:hAnsi="Arial"/>
          <w:bCs/>
          <w:sz w:val="22"/>
          <w:szCs w:val="22"/>
        </w:rPr>
        <w:t>Petra Brabcová, v. r.</w:t>
        <w:tab/>
        <w:tab/>
        <w:tab/>
        <w:tab/>
        <w:tab/>
        <w:tab/>
        <w:t>Václav Gregorovič, v. r.</w:t>
      </w:r>
    </w:p>
    <w:p>
      <w:pPr>
        <w:pStyle w:val="Normal"/>
        <w:ind w:start="708" w:hanging="0"/>
        <w:rPr/>
      </w:pPr>
      <w:r>
        <w:rPr>
          <w:rFonts w:cs="Arial" w:ascii="Arial" w:hAnsi="Arial"/>
          <w:bCs/>
          <w:sz w:val="22"/>
          <w:szCs w:val="22"/>
        </w:rPr>
        <w:t>místostarostka</w:t>
        <w:tab/>
        <w:tab/>
        <w:tab/>
        <w:tab/>
        <w:tab/>
        <w:tab/>
        <w:tab/>
        <w:t>starosta</w:t>
      </w:r>
    </w:p>
    <w:p>
      <w:pPr>
        <w:pStyle w:val="Normal"/>
        <w:ind w:start="360" w:hanging="0"/>
        <w:jc w:val="center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</w:t>
      </w:r>
      <w:r>
        <w:rPr>
          <w:rFonts w:cs="Arial" w:ascii="Arial" w:hAnsi="Arial"/>
        </w:rPr>
        <w:t xml:space="preserve">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i w:val="false"/>
        <w:rFonts w:cs="Arial"/>
        <w:color w:val="000000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sz w:val="22"/>
        <w:szCs w:val="22"/>
        <w:rFonts w:ascii="Arial" w:hAnsi="Arial" w:cs="Arial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z w:val="22"/>
        <w:szCs w:val="22"/>
        <w:rFonts w:ascii="Arial" w:hAnsi="Arial" w:cs="Arial"/>
        <w:color w:val="000000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rFonts w:cs="Arial"/>
        <w:color w:val="000000"/>
      </w:rPr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i w:val="false"/>
        <w:rFonts w:cs="Arial"/>
      </w:r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dstrike w:val="false"/>
        <w:strike w:val="false"/>
        <w:sz w:val="22"/>
        <w:szCs w:val="22"/>
        <w:rFonts w:ascii="Arial" w:hAnsi="Arial" w:cs="Arial"/>
        <w:color w:val="000000"/>
      </w:rPr>
    </w:lvl>
  </w:abstractNum>
  <w:abstractNum w:abstractNumId="8">
    <w:lvl w:ilvl="0">
      <w:start w:val="1"/>
      <w:numFmt w:val="lowerLetter"/>
      <w:lvlText w:val="%1)"/>
      <w:lvlJc w:val="start"/>
      <w:pPr>
        <w:tabs>
          <w:tab w:val="num" w:pos="0"/>
        </w:tabs>
        <w:ind w:start="786" w:hanging="360"/>
      </w:pPr>
      <w:rPr>
        <w:i/>
        <w:bCs/>
        <w:rFonts w:ascii="Arial" w:hAnsi="Arial" w:eastAsia="Times New Roman" w:cs="Times New Roman"/>
        <w:color w:val="000000"/>
      </w:rPr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sz w:val="22"/>
        <w:u w:val="none"/>
        <w:b w:val="false"/>
        <w:szCs w:val="22"/>
        <w:rFonts w:ascii="Arial" w:hAnsi="Arial" w:cs="Arial"/>
      </w:rPr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708"/>
        </w:tabs>
        <w:ind w:start="360" w:hanging="360"/>
      </w:pPr>
      <w:rPr>
        <w:rFonts w:ascii="Arial" w:hAnsi="Arial" w:eastAsia="Times New Roman" w:cs="Arial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styleId="WW8Num1z0">
    <w:name w:val="WW8Num1z0"/>
    <w:qFormat/>
    <w:rPr>
      <w:rFonts w:cs="Arial"/>
      <w:i w:val="false"/>
      <w:color w:val="00000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Arial" w:hAnsi="Arial" w:cs="Arial"/>
      <w:sz w:val="22"/>
      <w:szCs w:val="22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color w:val="000000"/>
      <w:sz w:val="22"/>
      <w:szCs w:val="22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cs="Arial"/>
      <w:color w:val="000000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cs="Arial"/>
      <w:i w:val="false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Arial" w:hAnsi="Arial" w:cs="Arial"/>
      <w:strike w:val="false"/>
      <w:dstrike w:val="false"/>
      <w:color w:val="000000"/>
      <w:sz w:val="22"/>
      <w:szCs w:val="22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color w:val="000000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i w:val="false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Arial" w:hAnsi="Arial" w:eastAsia="Times New Roman" w:cs="Arial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1z1">
    <w:name w:val="WW8Num21z1"/>
    <w:qFormat/>
    <w:rPr>
      <w:rFonts w:cs="Times New Roman"/>
    </w:rPr>
  </w:style>
  <w:style w:type="character" w:styleId="WW8Num22z0">
    <w:name w:val="WW8Num22z0"/>
    <w:qFormat/>
    <w:rPr>
      <w:rFonts w:ascii="Arial" w:hAnsi="Arial" w:eastAsia="Times New Roman" w:cs="Times New Roman"/>
      <w:bCs/>
      <w:i/>
      <w:color w:val="000000"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Arial" w:hAnsi="Arial" w:cs="Arial"/>
      <w:b w:val="false"/>
      <w:sz w:val="22"/>
      <w:szCs w:val="22"/>
      <w:u w:val="no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strike w:val="false"/>
      <w:dstrike w:val="false"/>
      <w:color w:val="000000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Arial" w:hAnsi="Arial" w:eastAsia="Times New Roman" w:cs="Arial"/>
      <w:color w:val="000000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Standardnpsmoodstavce">
    <w:name w:val="Standardní písmo odstavce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extBodyIndent">
    <w:name w:val="Body Text Indent"/>
    <w:basedOn w:val="Normal"/>
    <w:pPr>
      <w:ind w:start="708" w:firstLine="357"/>
      <w:jc w:val="both"/>
    </w:pPr>
    <w:rPr>
      <w:szCs w:val="20"/>
    </w:rPr>
  </w:style>
  <w:style w:type="paragraph" w:styleId="Zkladntextodsazen2">
    <w:name w:val="Základní text odsazený 2"/>
    <w:basedOn w:val="Normal"/>
    <w:qFormat/>
    <w:pPr>
      <w:ind w:start="708" w:firstLine="360"/>
      <w:jc w:val="both"/>
    </w:pPr>
    <w:rPr>
      <w:bCs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">
    <w:name w:val="Footnote Text"/>
    <w:basedOn w:val="Normal"/>
    <w:pPr/>
    <w:rPr>
      <w:sz w:val="20"/>
      <w:szCs w:val="20"/>
      <w:lang w:val="en-US" w:eastAsia="en-US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Zkladntextodsazen3">
    <w:name w:val="Základní text odsazený 3"/>
    <w:basedOn w:val="Normal"/>
    <w:qFormat/>
    <w:pPr>
      <w:widowControl w:val="false"/>
      <w:tabs>
        <w:tab w:val="clear" w:pos="708"/>
        <w:tab w:val="left" w:pos="540" w:leader="none"/>
      </w:tabs>
      <w:ind w:start="540" w:hanging="540"/>
      <w:jc w:val="both"/>
    </w:pPr>
    <w:rPr>
      <w:bCs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star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edmtkomente">
    <w:name w:val="Předmět komentáře"/>
    <w:basedOn w:val="Textkomente"/>
    <w:next w:val="Textkomente"/>
    <w:qFormat/>
    <w:pPr/>
    <w:rPr>
      <w:b/>
      <w:bCs/>
      <w:lang w:val="en-US"/>
    </w:rPr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val="en-US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cs-CZ" w:bidi="ar-SA" w:eastAsia="zh-CN"/>
    </w:rPr>
  </w:style>
  <w:style w:type="paragraph" w:styleId="Nzvylnk">
    <w:name w:val="Názvy článků"/>
    <w:basedOn w:val="Normal"/>
    <w:qFormat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LibreOffice/7.2.1.2$Linux_X86_64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2023-09-18T11:58:00Z</dcterms:created>
  <dc:creator>DA210036</dc:creator>
  <dc:description/>
  <cp:keywords> </cp:keywords>
  <dc:language>en-US</dc:language>
  <cp:lastModifiedBy>Petra Brabcová</cp:lastModifiedBy>
  <cp:lastPrinted>2023-12-13T09:54:00Z</cp:lastPrinted>
  <dcterms:modified xsi:type="dcterms:W3CDTF">2023-12-13T10:01:00Z</dcterms:modified>
  <cp:revision>13</cp:revision>
  <dc:subject/>
  <dc:title>Vzor obecně závazné vyhlášky obce o stanovení systému shromažďování, sběru, přepravy, třídění, využívání a odstraňování komuná</dc:title>
</cp:coreProperties>
</file>