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5" w:after="396"/>
        <w:ind w:left="4320" w:right="3888" w:hanging="0"/>
        <w:jc w:val="left"/>
        <w:rPr/>
      </w:pPr>
      <w:r>
        <w:rPr/>
        <w:drawing>
          <wp:inline distT="0" distB="0" distL="114935" distR="114935">
            <wp:extent cx="690245" cy="775335"/>
            <wp:effectExtent l="0" t="0" r="0" b="0"/>
            <wp:docPr id="1" name="pic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8"/>
          <w:sz w:val="28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8"/>
          <w:sz w:val="28"/>
          <w:vertAlign w:val="baseline"/>
          <w:lang w:val="cs-CZ"/>
        </w:rPr>
        <w:t>Obec Kamýk nad Vltavou</w:t>
      </w:r>
    </w:p>
    <w:p>
      <w:pPr>
        <w:pStyle w:val="Normal"/>
        <w:spacing w:lineRule="auto" w:line="240" w:before="288" w:after="0"/>
        <w:ind w:left="1440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  <w:t>Obecně závazná vyhláška obce Kamýk nad Vltavou č. 1/2022,</w:t>
      </w:r>
    </w:p>
    <w:p>
      <w:pPr>
        <w:pStyle w:val="Normal"/>
        <w:spacing w:lineRule="auto" w:line="240" w:before="36" w:after="0"/>
        <w:ind w:left="3024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  <w:t>o místním poplatku z pobytu</w:t>
      </w:r>
    </w:p>
    <w:p>
      <w:pPr>
        <w:pStyle w:val="Normal"/>
        <w:spacing w:lineRule="auto" w:line="290" w:before="396" w:after="0"/>
        <w:ind w:left="0" w:right="72" w:hanging="0"/>
        <w:jc w:val="both"/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  <w:t xml:space="preserve">Zastupitelstvo obce Kamýk nad Vltavou se na svém zasedání dne 19.12.2022 usnesením </w:t>
      </w:r>
      <w:r>
        <w:rPr>
          <w:rFonts w:ascii="Arial" w:hAnsi="Arial"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  <w:t xml:space="preserve">č. XX-2/2022 usneslo vydat na základě § 14 zákona č. 565/1990 Sb., o místních poplatcích, ve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znění pozdějších předpisů (dále jen „zákon o místních poplatcích"), a v souladu s § 10 písm. d) </w:t>
      </w:r>
      <w:r>
        <w:rPr>
          <w:rFonts w:ascii="Arial" w:hAnsi="Arial"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 xml:space="preserve">a § 84 odst. 2 písm. h) zákona č. 128/2000 Sb., o obcích (obecní zřízení), ve znění pozdějších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předpisů, tuto obecně závaznou vyhlášku (dále jen „tato vyhláška"):</w:t>
      </w:r>
    </w:p>
    <w:p>
      <w:pPr>
        <w:pStyle w:val="Normal"/>
        <w:spacing w:lineRule="auto" w:line="240" w:before="468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10"/>
          <w:position w:val="0"/>
          <w:sz w:val="23"/>
          <w:sz w:val="23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10"/>
          <w:position w:val="0"/>
          <w:sz w:val="23"/>
          <w:sz w:val="23"/>
          <w:vertAlign w:val="baseline"/>
          <w:lang w:val="cs-CZ"/>
        </w:rPr>
        <w:t>ČI. 1</w:t>
      </w:r>
    </w:p>
    <w:p>
      <w:pPr>
        <w:pStyle w:val="Normal"/>
        <w:spacing w:lineRule="auto" w:line="240" w:before="144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>Úvodní ustanovení</w:t>
      </w:r>
    </w:p>
    <w:p>
      <w:pPr>
        <w:pStyle w:val="Normal"/>
        <w:numPr>
          <w:ilvl w:val="0"/>
          <w:numId w:val="1"/>
        </w:numPr>
        <w:tabs>
          <w:tab w:val="clear" w:pos="720"/>
          <w:tab w:val="decimal" w:pos="648" w:leader="none"/>
        </w:tabs>
        <w:spacing w:lineRule="auto" w:line="360" w:before="180" w:after="0"/>
        <w:jc w:val="left"/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  <w:t xml:space="preserve">Obec Kamýk nad Vltavou touto vyhláškou zavádí místní poplatek z pobytu (dále jen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„poplatek").</w:t>
      </w:r>
    </w:p>
    <w:p>
      <w:pPr>
        <w:pStyle w:val="Normal"/>
        <w:numPr>
          <w:ilvl w:val="0"/>
          <w:numId w:val="1"/>
        </w:numPr>
        <w:tabs>
          <w:tab w:val="clear" w:pos="720"/>
          <w:tab w:val="decimal" w:pos="648" w:leader="none"/>
        </w:tabs>
        <w:spacing w:lineRule="auto" w:line="240" w:before="144" w:after="0"/>
        <w:jc w:val="left"/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  <w:t>Správcem poplatku je obecní úřad Kamýk nad Vltavou.'</w:t>
      </w:r>
    </w:p>
    <w:p>
      <w:pPr>
        <w:pStyle w:val="Normal"/>
        <w:spacing w:lineRule="auto" w:line="240" w:before="684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Čl. 2</w:t>
      </w:r>
    </w:p>
    <w:p>
      <w:pPr>
        <w:pStyle w:val="Normal"/>
        <w:spacing w:lineRule="auto" w:line="240" w:before="144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  <w:t>Předmět, poplatník a plátce poplatku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648" w:leader="none"/>
        </w:tabs>
        <w:spacing w:lineRule="auto" w:line="312" w:before="288" w:after="0"/>
        <w:jc w:val="both"/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Předmětem poplatku je úplatný pobyt trvající nejvýše 60 po sobě jdoucích kalendářních </w:t>
      </w:r>
      <w:r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  <w:t xml:space="preserve">dnů u jednotlivého poskytovatele pobytu. Předmětem poplatku není pobyt, při kterém je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2"/>
          <w:sz w:val="22"/>
          <w:vertAlign w:val="baseline"/>
          <w:lang w:val="cs-CZ"/>
        </w:rPr>
        <w:t>na základě zákona omezována osobní svoboda.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sz w:val="22"/>
          <w:vertAlign w:val="superscript"/>
          <w:lang w:val="cs-CZ"/>
        </w:rPr>
        <w:t>2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648" w:leader="none"/>
        </w:tabs>
        <w:spacing w:lineRule="auto" w:line="312" w:before="180" w:after="0"/>
        <w:jc w:val="left"/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  <w:t xml:space="preserve">Poplatníkem poplatku je osoba, která v obci není přihlášená k trvalému pobytu (dále jen </w:t>
      </w:r>
      <w:r>
        <w:rPr>
          <w:rFonts w:ascii="Arial" w:hAnsi="Arial"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  <w:t>„poplatnik").</w:t>
      </w:r>
      <w:r>
        <w:rPr>
          <w:rFonts w:ascii="Arial" w:hAnsi="Arial"/>
          <w:strike w:val="false"/>
          <w:dstrike w:val="false"/>
          <w:color w:val="000000"/>
          <w:spacing w:val="-2"/>
          <w:w w:val="100"/>
          <w:sz w:val="22"/>
          <w:vertAlign w:val="superscript"/>
          <w:lang w:val="cs-CZ"/>
        </w:rPr>
        <w:t>3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648" w:leader="none"/>
        </w:tabs>
        <w:spacing w:lineRule="auto" w:line="307" w:before="144" w:after="2124"/>
        <w:jc w:val="left"/>
        <w:rPr>
          <w:rFonts w:ascii="Arial" w:hAnsi="Arial"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  <w:t xml:space="preserve">Plátcem poplatku je poskytovatel úplatného pobytu (dále jen „plátce"). Plátce je povinen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vybrat poplatek od poplatníka.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sz w:val="22"/>
          <w:vertAlign w:val="superscript"/>
          <w:lang w:val="cs-CZ"/>
        </w:rPr>
        <w:t>4</w:t>
      </w:r>
    </w:p>
    <w:p>
      <w:pPr>
        <w:pStyle w:val="Normal"/>
        <w:spacing w:lineRule="auto" w:line="240" w:before="108" w:after="0"/>
        <w:ind w:left="0" w:right="0" w:hanging="0"/>
        <w:jc w:val="left"/>
        <w:rPr>
          <w:rFonts w:ascii="Tahoma" w:hAnsi="Tahom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mc:AlternateContent>
          <mc:Choice Requires="wps">
            <w:drawing>
              <wp:anchor behindDoc="0" distT="1905" distB="1905" distL="116205" distR="116205" simplePos="0" locked="0" layoutInCell="0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3720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4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25pt" to="143.5pt,0.25pt" stroked="t" o:allowincell="f" style="position:absolute">
                <v:stroke color="black" weight="43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ahoma" w:hAnsi="Tahom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1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 xml:space="preserve"> § 15 odst. 1 zákona o místních poplatcích</w:t>
      </w:r>
    </w:p>
    <w:p>
      <w:pPr>
        <w:pStyle w:val="Normal"/>
        <w:spacing w:lineRule="auto" w:line="271" w:before="0" w:after="0"/>
        <w:ind w:left="0" w:right="0" w:hanging="0"/>
        <w:jc w:val="center"/>
        <w:rPr>
          <w:rFonts w:ascii="Tahoma" w:hAnsi="Tahom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w:rPr>
          <w:rFonts w:ascii="Tahoma" w:hAnsi="Tahom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2</w:t>
      </w:r>
      <w:r>
        <w:rPr>
          <w:rFonts w:ascii="Arial" w:hAnsi="Arial"/>
          <w:strike w:val="false"/>
          <w:dstrike w:val="false"/>
          <w:color w:val="000000"/>
          <w:spacing w:val="0"/>
          <w:w w:val="110"/>
          <w:position w:val="0"/>
          <w:sz w:val="18"/>
          <w:sz w:val="18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 xml:space="preserve">3a zákona o místních poplatcích </w:t>
        <w:br/>
      </w:r>
      <w:r>
        <w:rPr>
          <w:rFonts w:ascii="Arial" w:hAnsi="Arial"/>
          <w:strike w:val="false"/>
          <w:dstrike w:val="false"/>
          <w:color w:val="000000"/>
          <w:spacing w:val="0"/>
          <w:w w:val="110"/>
          <w:position w:val="0"/>
          <w:sz w:val="18"/>
          <w:sz w:val="18"/>
          <w:vertAlign w:val="baseline"/>
          <w:lang w:val="cs-CZ"/>
        </w:rPr>
        <w:t xml:space="preserve">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3 zákona o místních poplatcích</w:t>
      </w:r>
    </w:p>
    <w:p>
      <w:pPr>
        <w:sectPr>
          <w:type w:val="nextPage"/>
          <w:pgSz w:w="11918" w:h="16854"/>
          <w:pgMar w:left="1317" w:right="1181" w:gutter="0" w:header="0" w:top="840" w:footer="0" w:bottom="94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6" w:before="0" w:after="0"/>
        <w:ind w:left="0" w:right="0" w:hanging="0"/>
        <w:jc w:val="center"/>
        <w:rPr>
          <w:rFonts w:ascii="Tahoma" w:hAnsi="Tahoma"/>
          <w:strike w:val="false"/>
          <w:dstrike w:val="false"/>
          <w:color w:val="000000"/>
          <w:spacing w:val="1"/>
          <w:w w:val="100"/>
          <w:sz w:val="11"/>
          <w:vertAlign w:val="superscript"/>
          <w:lang w:val="cs-CZ"/>
        </w:rPr>
      </w:pPr>
      <w:r>
        <w:rPr>
          <w:rFonts w:ascii="Tahoma" w:hAnsi="Tahoma"/>
          <w:strike w:val="false"/>
          <w:dstrike w:val="false"/>
          <w:color w:val="000000"/>
          <w:spacing w:val="1"/>
          <w:w w:val="100"/>
          <w:sz w:val="11"/>
          <w:vertAlign w:val="superscript"/>
          <w:lang w:val="cs-CZ"/>
        </w:rPr>
        <w:t>4</w:t>
      </w:r>
      <w:r>
        <w:rPr>
          <w:rFonts w:ascii="Arial" w:hAnsi="Arial"/>
          <w:strike w:val="false"/>
          <w:dstrike w:val="false"/>
          <w:color w:val="000000"/>
          <w:spacing w:val="1"/>
          <w:w w:val="110"/>
          <w:position w:val="0"/>
          <w:sz w:val="18"/>
          <w:sz w:val="18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18"/>
          <w:sz w:val="18"/>
          <w:vertAlign w:val="baseline"/>
          <w:lang w:val="cs-CZ"/>
        </w:rPr>
        <w:t>3f zákona o místních poplatcích</w:t>
      </w:r>
    </w:p>
    <w:p>
      <w:pPr>
        <w:pStyle w:val="Normal"/>
        <w:spacing w:lineRule="auto" w:line="240" w:before="17" w:after="504"/>
        <w:ind w:left="4392" w:right="3876" w:hanging="0"/>
        <w:jc w:val="left"/>
        <w:rPr/>
      </w:pPr>
      <w:r>
        <w:rPr/>
        <w:drawing>
          <wp:inline distT="0" distB="0" distL="114935" distR="114935">
            <wp:extent cx="681355" cy="772795"/>
            <wp:effectExtent l="0" t="0" r="0" b="0"/>
            <wp:docPr id="3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10"/>
          <w:position w:val="0"/>
          <w:sz w:val="23"/>
          <w:sz w:val="23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10"/>
          <w:position w:val="0"/>
          <w:sz w:val="23"/>
          <w:sz w:val="23"/>
          <w:vertAlign w:val="baseline"/>
          <w:lang w:val="cs-CZ"/>
        </w:rPr>
        <w:t xml:space="preserve">ČI. 3 </w:t>
        <w:br/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4"/>
          <w:sz w:val="24"/>
          <w:vertAlign w:val="baseline"/>
          <w:lang w:val="cs-CZ"/>
        </w:rPr>
        <w:t>Ohlašovací povinnost</w:t>
      </w:r>
    </w:p>
    <w:p>
      <w:pPr>
        <w:pStyle w:val="Normal"/>
        <w:spacing w:lineRule="auto" w:line="360" w:before="180" w:after="0"/>
        <w:ind w:left="576" w:right="72" w:hanging="504"/>
        <w:jc w:val="both"/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  <w:t xml:space="preserve">(1) Plátce je povinen podat správci poplatku ohlášení nejpozději do 30 dnů od zahájení </w:t>
      </w:r>
      <w:r>
        <w:rPr>
          <w:rFonts w:ascii="Verdana" w:hAnsi="Verdana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vertAlign w:val="baseline"/>
          <w:lang w:val="cs-CZ"/>
        </w:rPr>
        <w:t xml:space="preserve">činnosti spočívající v poskytování úplatného pobytu. Ukončení této činnosti plátce ohlásí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správci poplatku ve lhůtě 30 dnů.</w:t>
      </w:r>
    </w:p>
    <w:p>
      <w:pPr>
        <w:pStyle w:val="Normal"/>
        <w:spacing w:lineRule="auto" w:line="264" w:before="144" w:after="0"/>
        <w:ind w:left="72" w:right="0" w:hanging="0"/>
        <w:jc w:val="left"/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  <w:t>(2) V ohlášení plátce uvede'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60" w:before="144" w:after="0"/>
        <w:jc w:val="both"/>
        <w:rPr>
          <w:rFonts w:ascii="Verdana" w:hAnsi="Verdana"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vertAlign w:val="baseline"/>
          <w:lang w:val="cs-CZ"/>
        </w:rPr>
        <w:t xml:space="preserve">jméno, popřípadě jména, a příjmení nebo název, obecný identifikátor, byl-li přidělen, místo pobytu nebo sídlo, sídlo podnikatele, popřípadě další adresu pro doručování;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 xml:space="preserve">právnická osoba uvede též osoby, které jsou jejím jménem oprávněny jednat v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poplatkových věcech,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24" w:before="144" w:after="0"/>
        <w:jc w:val="both"/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čísla všech svých účtů u poskytovatelů platebních služeb, včetně poskytovatelů </w:t>
      </w:r>
      <w:r>
        <w:rPr>
          <w:rFonts w:ascii="Verdana" w:hAnsi="Verdana"/>
          <w:strike w:val="false"/>
          <w:dstrike w:val="false"/>
          <w:color w:val="000000"/>
          <w:spacing w:val="5"/>
          <w:w w:val="100"/>
          <w:position w:val="0"/>
          <w:sz w:val="20"/>
          <w:sz w:val="20"/>
          <w:vertAlign w:val="baseline"/>
          <w:lang w:val="cs-CZ"/>
        </w:rPr>
        <w:t>těchto služeb v zahraničí, užívaných v souvislosti s podnikatelskou činností,</w:t>
      </w:r>
    </w:p>
    <w:p>
      <w:pPr>
        <w:pStyle w:val="Normal"/>
        <w:spacing w:lineRule="auto" w:line="240" w:before="72" w:after="0"/>
        <w:ind w:left="1080" w:right="0" w:hanging="0"/>
        <w:jc w:val="left"/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v případě, že předmět poplatku souvisí s podnikatelskou činností plátce,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24" w:before="144" w:after="0"/>
        <w:jc w:val="left"/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další údaje rozhodné pro stanovení poplatku, zejména místa a zařízení, případně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též období roku, v nichž poskytuje pobyt.</w:t>
      </w:r>
    </w:p>
    <w:p>
      <w:pPr>
        <w:pStyle w:val="Normal"/>
        <w:spacing w:lineRule="auto" w:line="324" w:before="144" w:after="0"/>
        <w:ind w:left="576" w:right="72" w:hanging="504"/>
        <w:jc w:val="both"/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(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sz w:val="20"/>
          <w:vertAlign w:val="superscript"/>
          <w:lang w:val="cs-CZ"/>
        </w:rPr>
        <w:t>3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) Plátce, který nemá sídlo nebo bydliště na území členského státu Evropské unie, jiného </w:t>
      </w:r>
      <w:r>
        <w:rPr>
          <w:rFonts w:ascii="Verdana" w:hAnsi="Verdana"/>
          <w:strike w:val="false"/>
          <w:dstrike w:val="false"/>
          <w:color w:val="000000"/>
          <w:spacing w:val="6"/>
          <w:w w:val="100"/>
          <w:position w:val="0"/>
          <w:sz w:val="20"/>
          <w:sz w:val="20"/>
          <w:vertAlign w:val="baseline"/>
          <w:lang w:val="cs-CZ"/>
        </w:rPr>
        <w:t xml:space="preserve">smluvního státu Dohody o Evropském hospodářském prostoru nebo Švýcarské </w:t>
      </w:r>
      <w:r>
        <w:rPr>
          <w:rFonts w:ascii="Verdana" w:hAnsi="Verdana"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vertAlign w:val="baseline"/>
          <w:lang w:val="cs-CZ"/>
        </w:rPr>
        <w:t xml:space="preserve">konfederace, uvede kromě údajů požadovaných v odstavci 3 adresu svého zmocněnce v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tuzemsku pro doručování.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sz w:val="20"/>
          <w:vertAlign w:val="superscript"/>
          <w:lang w:val="cs-CZ"/>
        </w:rPr>
        <w:t>6</w:t>
      </w:r>
    </w:p>
    <w:p>
      <w:pPr>
        <w:pStyle w:val="Normal"/>
        <w:spacing w:lineRule="auto" w:line="360" w:before="144" w:after="0"/>
        <w:ind w:left="576" w:right="72" w:hanging="576"/>
        <w:jc w:val="both"/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(4) Dojde-li ke změně údajů uvedených v ohlášení, je plátce povinen tuto změnu oznámit do </w:t>
      </w:r>
      <w:r>
        <w:rPr>
          <w:rFonts w:ascii="Verdana" w:hAnsi="Verdana"/>
          <w:strike w:val="false"/>
          <w:dstrike w:val="false"/>
          <w:color w:val="000000"/>
          <w:spacing w:val="-6"/>
          <w:w w:val="100"/>
          <w:position w:val="0"/>
          <w:sz w:val="20"/>
          <w:sz w:val="20"/>
          <w:vertAlign w:val="baseline"/>
          <w:lang w:val="cs-CZ"/>
        </w:rPr>
        <w:t>15 dnů ode dne, kdy nastala.</w:t>
      </w:r>
      <w:r>
        <w:rPr>
          <w:rFonts w:ascii="Verdana" w:hAnsi="Verdana"/>
          <w:strike w:val="false"/>
          <w:dstrike w:val="false"/>
          <w:color w:val="000000"/>
          <w:spacing w:val="-6"/>
          <w:w w:val="100"/>
          <w:sz w:val="20"/>
          <w:vertAlign w:val="superscript"/>
          <w:lang w:val="cs-CZ"/>
        </w:rPr>
        <w:t>7</w:t>
      </w:r>
    </w:p>
    <w:p>
      <w:pPr>
        <w:pStyle w:val="Normal"/>
        <w:spacing w:lineRule="auto" w:line="360" w:before="144" w:after="1980"/>
        <w:ind w:left="576" w:right="72" w:hanging="576"/>
        <w:jc w:val="both"/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(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sz w:val="20"/>
          <w:vertAlign w:val="superscript"/>
          <w:lang w:val="cs-CZ"/>
        </w:rPr>
        <w:t>5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) Povinnost ohlásit údaj podle odst. 2 nebo jeho změnu se nevztahuje na údaj, který může </w: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 xml:space="preserve">správce poplatku automatizovaným způsobem zjistit z rejstříků nebo evidencí, do nichž </w:t>
      </w:r>
      <w:r>
        <w:rPr>
          <w:rFonts w:ascii="Verdana" w:hAnsi="Verdana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vertAlign w:val="baseline"/>
          <w:lang w:val="cs-CZ"/>
        </w:rPr>
        <w:t xml:space="preserve">má zřízen automatizovaný přístup. Okruh těchto údajů zveřejní správce poplatku na své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úřední desce.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sz w:val="20"/>
          <w:vertAlign w:val="superscript"/>
          <w:lang w:val="cs-CZ"/>
        </w:rPr>
        <w:t>8</w:t>
      </w:r>
    </w:p>
    <w:p>
      <w:pPr>
        <w:pStyle w:val="Normal"/>
        <w:spacing w:lineRule="auto" w:line="240" w:before="72" w:after="0"/>
        <w:ind w:left="144" w:right="0" w:hanging="0"/>
        <w:jc w:val="left"/>
        <w:rPr>
          <w:rFonts w:ascii="Arial" w:hAnsi="Arial"/>
          <w:strike w:val="false"/>
          <w:dstrike w:val="false"/>
          <w:color w:val="000000"/>
          <w:spacing w:val="0"/>
          <w:w w:val="105"/>
          <w:position w:val="0"/>
          <w:sz w:val="17"/>
          <w:sz w:val="17"/>
          <w:vertAlign w:val="baseline"/>
          <w:lang w:val="cs-CZ"/>
        </w:rPr>
      </w:pPr>
      <w:r>
        <mc:AlternateContent>
          <mc:Choice Requires="wps">
            <w:drawing>
              <wp:anchor behindDoc="0" distT="1905" distB="1905" distL="116205" distR="116205" simplePos="0" locked="0" layoutInCell="0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63090" cy="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28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25pt" to="146.6pt,0.25pt" stroked="t" o:allowincell="f" style="position:absolute">
                <v:stroke color="black" weight="43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trike w:val="false"/>
          <w:dstrike w:val="false"/>
          <w:color w:val="000000"/>
          <w:spacing w:val="0"/>
          <w:w w:val="105"/>
          <w:position w:val="0"/>
          <w:sz w:val="17"/>
          <w:sz w:val="17"/>
          <w:vertAlign w:val="baseline"/>
          <w:lang w:val="cs-CZ"/>
        </w:rPr>
        <w:t xml:space="preserve">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14a odst. 2 zákona o místních poplatcích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6</w:t>
      </w:r>
      <w:r>
        <w:rPr>
          <w:rFonts w:ascii="Arial" w:hAnsi="Arial"/>
          <w:strike w:val="false"/>
          <w:dstrike w:val="false"/>
          <w:color w:val="000000"/>
          <w:spacing w:val="0"/>
          <w:w w:val="105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14a odst. 3 zákona o místních poplatcích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7</w:t>
      </w:r>
      <w:r>
        <w:rPr>
          <w:rFonts w:ascii="Arial" w:hAnsi="Arial"/>
          <w:strike w:val="false"/>
          <w:dstrike w:val="false"/>
          <w:color w:val="000000"/>
          <w:spacing w:val="0"/>
          <w:w w:val="105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14a odst. 4 zákona o místních poplatcích</w:t>
      </w:r>
    </w:p>
    <w:p>
      <w:pPr>
        <w:sectPr>
          <w:type w:val="nextPage"/>
          <w:pgSz w:w="11918" w:h="16854"/>
          <w:pgMar w:left="1269" w:right="1229" w:gutter="0" w:header="0" w:top="820" w:footer="0" w:bottom="98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8</w:t>
      </w:r>
      <w:r>
        <w:rPr>
          <w:rFonts w:ascii="Arial" w:hAnsi="Arial"/>
          <w:strike w:val="false"/>
          <w:dstrike w:val="false"/>
          <w:color w:val="000000"/>
          <w:spacing w:val="0"/>
          <w:w w:val="105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14a odst. 5 zákona o místních poplatcích</w:t>
      </w:r>
    </w:p>
    <w:p>
      <w:pPr>
        <w:pStyle w:val="Normal"/>
        <w:spacing w:lineRule="auto" w:line="240" w:before="13" w:after="288"/>
        <w:ind w:left="4392" w:right="3851" w:hanging="0"/>
        <w:jc w:val="left"/>
        <w:rPr/>
      </w:pPr>
      <w:r>
        <w:rPr/>
        <w:drawing>
          <wp:inline distT="0" distB="0" distL="114935" distR="114935">
            <wp:extent cx="687705" cy="768350"/>
            <wp:effectExtent l="0" t="0" r="0" b="0"/>
            <wp:docPr id="5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3"/>
          <w:sz w:val="23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3"/>
          <w:sz w:val="23"/>
          <w:vertAlign w:val="baseline"/>
          <w:lang w:val="cs-CZ"/>
        </w:rPr>
        <w:t xml:space="preserve">Čl. 4 </w:t>
        <w:br/>
      </w:r>
      <w:r>
        <w:rPr>
          <w:rFonts w:ascii="Tahoma" w:hAnsi="Tahoma"/>
          <w:b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  <w:t>Evidenční povinnost</w:t>
      </w:r>
      <w:r>
        <w:rPr>
          <w:rFonts w:ascii="Arial" w:hAnsi="Arial"/>
          <w:b/>
          <w:strike w:val="false"/>
          <w:dstrike w:val="false"/>
          <w:color w:val="000000"/>
          <w:spacing w:val="2"/>
          <w:w w:val="100"/>
          <w:sz w:val="22"/>
          <w:vertAlign w:val="superscript"/>
          <w:lang w:val="cs-CZ"/>
        </w:rPr>
        <w:t>9</w:t>
      </w:r>
    </w:p>
    <w:p>
      <w:pPr>
        <w:pStyle w:val="Normal"/>
        <w:spacing w:lineRule="auto" w:line="312" w:before="108" w:after="0"/>
        <w:ind w:left="576" w:right="0" w:hanging="504"/>
        <w:jc w:val="both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 xml:space="preserve">Plátce je povinen vést v listinné nebo elektronické podobě evidenční knihu za každé zařízení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 xml:space="preserve">nebo místo, kde poskytuje úplatný pobyt. Do evidenční knihy zapisuje údaje týkající se 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fyzické osoby, které poskytuje úplatný pobyt.</w:t>
      </w:r>
    </w:p>
    <w:p>
      <w:pPr>
        <w:pStyle w:val="Normal"/>
        <w:spacing w:lineRule="auto" w:line="290" w:before="144" w:after="0"/>
        <w:ind w:left="7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Údaji podle odstavce 1 jsou</w:t>
      </w:r>
    </w:p>
    <w:p>
      <w:pPr>
        <w:pStyle w:val="Normal"/>
        <w:spacing w:lineRule="auto" w:line="240" w:before="72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den počátku a den konce pobytu,</w:t>
      </w:r>
    </w:p>
    <w:p>
      <w:pPr>
        <w:pStyle w:val="Normal"/>
        <w:spacing w:lineRule="auto" w:line="307" w:before="72" w:after="0"/>
        <w:ind w:left="1152" w:right="72" w:hanging="576"/>
        <w:jc w:val="left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jméno, popřípadě jména, příjmení a adresa místa přihlášení nebo obdobného místa 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v zahraničí,</w:t>
      </w:r>
    </w:p>
    <w:p>
      <w:pPr>
        <w:pStyle w:val="Normal"/>
        <w:spacing w:lineRule="auto" w:line="240" w:before="72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datum narození,</w:t>
      </w:r>
    </w:p>
    <w:p>
      <w:pPr>
        <w:pStyle w:val="Normal"/>
        <w:spacing w:lineRule="auto" w:line="240" w:before="72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číslo a druh průkazu totožnosti, kterým může být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občanský průkaz,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cestovní doklad,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potvrzení o přechodném pobytu na území,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pobytová karta rodinného příslušníka občana Evropské unie,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průkaz o povolení k pobytu,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průkaz o povolení k pobytu pro cizince,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průkaz o povolení k trvalému pobytu,</w:t>
      </w:r>
    </w:p>
    <w:p>
      <w:pPr>
        <w:pStyle w:val="Normal"/>
        <w:spacing w:lineRule="auto" w:line="240" w:before="36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průkaz žadatele o udělení mezinárodní ochrany, nebo</w:t>
      </w:r>
    </w:p>
    <w:p>
      <w:pPr>
        <w:pStyle w:val="Normal"/>
        <w:spacing w:lineRule="auto" w:line="240" w:before="72" w:after="0"/>
        <w:ind w:left="1152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průkaz žadatele o poskytnutí dočasné ochrany, a</w:t>
      </w:r>
    </w:p>
    <w:p>
      <w:pPr>
        <w:pStyle w:val="Normal"/>
        <w:spacing w:lineRule="auto" w:line="240" w:before="72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výše vybraného poplatku, nebo důvod osvobození od poplatku.</w:t>
      </w:r>
    </w:p>
    <w:p>
      <w:pPr>
        <w:pStyle w:val="Normal"/>
        <w:spacing w:lineRule="auto" w:line="307" w:before="180" w:after="0"/>
        <w:ind w:left="576" w:right="72" w:hanging="504"/>
        <w:jc w:val="both"/>
        <w:rPr>
          <w:rFonts w:ascii="Arial" w:hAnsi="Arial"/>
          <w:b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 xml:space="preserve">Zápisy do evidenční knihy musí být vedeny správně, úpině, průkazně, přehledně, </w: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 xml:space="preserve">srozumitelně, způsobem zaručujícím trvalost zápisů a musí být uspořádány postupně 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z časového hlediska.</w:t>
      </w:r>
    </w:p>
    <w:p>
      <w:pPr>
        <w:pStyle w:val="Normal"/>
        <w:spacing w:lineRule="auto" w:line="307" w:before="180" w:after="0"/>
        <w:ind w:left="576" w:right="72" w:hanging="504"/>
        <w:jc w:val="left"/>
        <w:rPr>
          <w:rFonts w:ascii="Arial" w:hAnsi="Arial"/>
          <w:b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  <w:t xml:space="preserve">Plátce je povinen uchovávat evidenční knihu po dobu 6 let ode dne provedení posledního </w:t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zápisu.</w:t>
      </w:r>
    </w:p>
    <w:p>
      <w:pPr>
        <w:pStyle w:val="Normal"/>
        <w:spacing w:lineRule="auto" w:line="240" w:before="432" w:after="0"/>
        <w:ind w:left="0" w:right="0" w:hanging="0"/>
        <w:jc w:val="center"/>
        <w:rPr>
          <w:rFonts w:ascii="Verdana" w:hAnsi="Verdana"/>
          <w:b/>
          <w:b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Verdana" w:hAnsi="Verdana"/>
          <w:b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  <w:t xml:space="preserve">ČI. 5 </w:t>
        <w:br/>
      </w:r>
      <w:r>
        <w:rPr>
          <w:rFonts w:ascii="Tahoma" w:hAnsi="Tahoma"/>
          <w:b/>
          <w:strike w:val="false"/>
          <w:dstrike w:val="false"/>
          <w:color w:val="000000"/>
          <w:spacing w:val="5"/>
          <w:w w:val="100"/>
          <w:position w:val="0"/>
          <w:sz w:val="22"/>
          <w:sz w:val="22"/>
          <w:vertAlign w:val="baseline"/>
          <w:lang w:val="cs-CZ"/>
        </w:rPr>
        <w:t>Evidenční povinnost ve zjednodušeném rozsahu</w:t>
      </w:r>
      <w:r>
        <w:rPr>
          <w:rFonts w:ascii="Arial" w:hAnsi="Arial"/>
          <w:b/>
          <w:strike w:val="false"/>
          <w:dstrike w:val="false"/>
          <w:color w:val="000000"/>
          <w:spacing w:val="5"/>
          <w:w w:val="100"/>
          <w:sz w:val="22"/>
          <w:vertAlign w:val="superscript"/>
          <w:lang w:val="cs-CZ"/>
        </w:rPr>
        <w:t>5</w:t>
      </w:r>
    </w:p>
    <w:p>
      <w:pPr>
        <w:pStyle w:val="Normal"/>
        <w:spacing w:lineRule="auto" w:line="312" w:before="144" w:after="0"/>
        <w:ind w:left="576" w:right="72" w:hanging="504"/>
        <w:jc w:val="both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 xml:space="preserve">Plátce, který jako pořadatel kulturní nebo sportovní akce poskytuje úplatný pobyt účastníkům této akce, může pinit evidenční povinnost ve zjednodušeném rozsahu, pokud důvodně </w: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 xml:space="preserve">předpokládá, že poskytne pobyt nejméně 200 účastníkům této akce, a oznámí záměr </w:t>
      </w:r>
      <w:r>
        <w:rPr>
          <w:rFonts w:ascii="Arial" w:hAnsi="Arial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  <w:t xml:space="preserve">pinit evidenční povinnost ve zjednodušeném rozsahu nejméně 60 dnů přede dnem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zahájení poskytování pobytu správci poplatku.</w:t>
      </w:r>
    </w:p>
    <w:p>
      <w:pPr>
        <w:pStyle w:val="Normal"/>
        <w:spacing w:lineRule="auto" w:line="312" w:before="216" w:after="108"/>
        <w:ind w:left="504" w:right="72" w:hanging="504"/>
        <w:jc w:val="both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 xml:space="preserve">Plátce v oznámení podle odstavce 1 písm. b) odůvodní předpokládaný počet účastníků akce, </w: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>kterým bude poskytnut úplatný pobyt, a uvede o kulturní nebo sportovní akci alespoň</w:t>
      </w:r>
    </w:p>
    <w:p>
      <w:pPr>
        <w:sectPr>
          <w:type w:val="nextPage"/>
          <w:pgSz w:w="11918" w:h="16854"/>
          <w:pgMar w:left="1279" w:right="1219" w:gutter="0" w:header="0" w:top="860" w:footer="0" w:bottom="94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108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5"/>
          <w:w w:val="120"/>
          <w:sz w:val="11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17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15925" cy="6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35pt" to="32.65pt,0.3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" distB="1905" distL="116205" distR="116205" simplePos="0" locked="0" layoutInCell="0" allowOverlap="1" relativeHeight="18">
                <wp:simplePos x="0" y="0"/>
                <wp:positionH relativeFrom="column">
                  <wp:posOffset>1310640</wp:posOffset>
                </wp:positionH>
                <wp:positionV relativeFrom="paragraph">
                  <wp:posOffset>8890</wp:posOffset>
                </wp:positionV>
                <wp:extent cx="536575" cy="6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4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2pt,0.7pt" to="145.35pt,0.7pt" stroked="t" o:allowincell="f" style="position:absolute">
                <v:stroke color="black" weight="43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trike w:val="false"/>
          <w:dstrike w:val="false"/>
          <w:color w:val="000000"/>
          <w:spacing w:val="5"/>
          <w:w w:val="120"/>
          <w:sz w:val="11"/>
          <w:vertAlign w:val="superscript"/>
          <w:lang w:val="cs-CZ"/>
        </w:rPr>
        <w:t>9</w:t>
      </w:r>
      <w:r>
        <w:rPr>
          <w:rFonts w:ascii="Verdana" w:hAnsi="Verdana"/>
          <w:strike w:val="false"/>
          <w:dstrike w:val="false"/>
          <w:color w:val="000000"/>
          <w:spacing w:val="5"/>
          <w:w w:val="100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5"/>
          <w:w w:val="100"/>
          <w:position w:val="0"/>
          <w:sz w:val="17"/>
          <w:sz w:val="17"/>
          <w:vertAlign w:val="baseline"/>
          <w:lang w:val="cs-CZ"/>
        </w:rPr>
        <w:t>3g zákona o místních poplatcích</w:t>
      </w:r>
    </w:p>
    <w:p>
      <w:pPr>
        <w:pStyle w:val="Normal"/>
        <w:spacing w:lineRule="auto" w:line="240" w:before="8" w:after="69"/>
        <w:ind w:left="4392" w:right="3867" w:hanging="0"/>
        <w:jc w:val="left"/>
        <w:rPr/>
      </w:pPr>
      <w:r>
        <w:rPr/>
        <w:drawing>
          <wp:inline distT="0" distB="0" distL="114935" distR="114935">
            <wp:extent cx="688340" cy="770255"/>
            <wp:effectExtent l="0" t="0" r="0" b="0"/>
            <wp:docPr id="8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297" w:before="0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11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11"/>
          <w:w w:val="100"/>
          <w:position w:val="0"/>
          <w:sz w:val="22"/>
          <w:sz w:val="22"/>
          <w:vertAlign w:val="baseline"/>
          <w:lang w:val="cs-CZ"/>
        </w:rPr>
        <w:t xml:space="preserve">údaje o dni počátku a dni konce konání této akce, názvu a druhu této akce, a jednotlivých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zařízeních nebo místech, ve kterých se bude pobyt poskytovat.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648" w:leader="none"/>
        </w:tabs>
        <w:spacing w:lineRule="exact" w:line="315" w:before="108" w:after="0"/>
        <w:jc w:val="both"/>
        <w:rPr>
          <w:rFonts w:ascii="Arial" w:hAnsi="Arial"/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 xml:space="preserve">Správce poplatku rozhodnutím zakáže plátci oznámené pinění evidenční povinnosti ve </w:t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zjednodušeném rozsahu, nelze-li předpokládat spinění podmínek podle odstavce 1. </w:t>
      </w: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  <w:t xml:space="preserve">O zákazu pinění evidenční povinnosti ve zjednodušeném rozsahu rozhodne správce 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poplatku nejpozději do 15 dnů ode dne oznámení podle odstavce 1 písm. b).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648" w:leader="none"/>
        </w:tabs>
        <w:spacing w:lineRule="exact" w:line="299" w:before="144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 xml:space="preserve">Při pinění evidenční povinnosti ve zjednodušeném rozsahu se v evidenční knize vedou </w:t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pouze</w:t>
      </w:r>
    </w:p>
    <w:p>
      <w:pPr>
        <w:pStyle w:val="Normal"/>
        <w:spacing w:lineRule="exact" w:line="309" w:before="72" w:after="0"/>
        <w:ind w:left="1152" w:right="0" w:hanging="576"/>
        <w:jc w:val="both"/>
        <w:rPr>
          <w:rFonts w:ascii="Arial" w:hAnsi="Arial"/>
          <w:b/>
          <w:b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vertAlign w:val="baseline"/>
          <w:lang w:val="cs-CZ"/>
        </w:rPr>
        <w:t xml:space="preserve">a) údaje podle odstavce 2 písm. a) až c) a souhrnné údaje o počtu účastníků, kterým byl </w: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 xml:space="preserve">poskytnut pobyt, a o výši vybraného poplatku v členění podle dne poskytnutí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pobytu, zařízení nebo místa, ve kterých byl pobyt poskytnut, a důvodu osvobození.</w:t>
      </w:r>
    </w:p>
    <w:p>
      <w:pPr>
        <w:pStyle w:val="Normal"/>
        <w:spacing w:lineRule="exact" w:line="362" w:before="36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5"/>
          <w:position w:val="0"/>
          <w:sz w:val="24"/>
          <w:sz w:val="24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5"/>
          <w:position w:val="0"/>
          <w:sz w:val="24"/>
          <w:sz w:val="24"/>
          <w:vertAlign w:val="baseline"/>
          <w:lang w:val="cs-CZ"/>
        </w:rPr>
        <w:t xml:space="preserve">ČI. 6 </w:t>
        <w:br/>
      </w:r>
      <w:r>
        <w:rPr>
          <w:rFonts w:ascii="Verdana" w:hAnsi="Verdana"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vertAlign w:val="baseline"/>
          <w:lang w:val="cs-CZ"/>
        </w:rPr>
        <w:t>Sazba poplatku</w:t>
      </w:r>
    </w:p>
    <w:p>
      <w:pPr>
        <w:pStyle w:val="Normal"/>
        <w:spacing w:lineRule="exact" w:line="524" w:before="108" w:after="0"/>
        <w:ind w:left="4392" w:right="72" w:hanging="3816"/>
        <w:jc w:val="left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Sazba poplatku činí 30,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6"/>
          <w:sz w:val="6"/>
          <w:vertAlign w:val="baseline"/>
          <w:lang w:val="cs-CZ"/>
        </w:rPr>
        <w:t xml:space="preserve">- 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 xml:space="preserve">Kč za každý započatý den pobytu, s výjimkou dne jeho počátku. </w:t>
      </w:r>
      <w:r>
        <w:rPr>
          <w:rFonts w:ascii="Verdana" w:hAnsi="Verdan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Čl. 7</w:t>
      </w:r>
    </w:p>
    <w:p>
      <w:pPr>
        <w:pStyle w:val="Normal"/>
        <w:spacing w:lineRule="exact" w:line="277" w:before="144" w:after="0"/>
        <w:ind w:left="3600" w:right="0" w:hanging="0"/>
        <w:jc w:val="left"/>
        <w:rPr>
          <w:rFonts w:ascii="Verdana" w:hAnsi="Verdana"/>
          <w:b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Verdana" w:hAnsi="Verdana"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vertAlign w:val="baseline"/>
          <w:lang w:val="cs-CZ"/>
        </w:rPr>
        <w:t>Splatnost poplatku</w:t>
      </w:r>
    </w:p>
    <w:p>
      <w:pPr>
        <w:pStyle w:val="Normal"/>
        <w:spacing w:lineRule="exact" w:line="277" w:before="108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  <w:t xml:space="preserve">Plátce odvede vybraný poplatek správci poplatku nejpozději do konce daného 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kalendářního roku.</w:t>
      </w:r>
    </w:p>
    <w:p>
      <w:pPr>
        <w:pStyle w:val="Normal"/>
        <w:spacing w:lineRule="exact" w:line="313" w:before="396" w:after="0"/>
        <w:ind w:left="0" w:right="0" w:hanging="0"/>
        <w:jc w:val="center"/>
        <w:rPr>
          <w:rFonts w:ascii="Verdana" w:hAnsi="Verdana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Verdana" w:hAnsi="Verdan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Cl. 8 </w:t>
        <w:br/>
        <w:t>Osvobození</w:t>
      </w:r>
    </w:p>
    <w:p>
      <w:pPr>
        <w:pStyle w:val="Normal"/>
        <w:spacing w:lineRule="exact" w:line="281" w:before="144" w:after="0"/>
        <w:ind w:left="0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>(1) Od poplatku z pobytu je osvobozena osoba</w:t>
      </w:r>
      <w:r>
        <w:rPr>
          <w:rFonts w:ascii="Verdana" w:hAnsi="Verdana"/>
          <w:b/>
          <w:strike w:val="false"/>
          <w:dstrike w:val="false"/>
          <w:color w:val="000000"/>
          <w:spacing w:val="-3"/>
          <w:w w:val="100"/>
          <w:sz w:val="22"/>
          <w:vertAlign w:val="superscript"/>
          <w:lang w:val="cs-CZ"/>
        </w:rPr>
        <w:t>l°</w:t>
      </w:r>
    </w:p>
    <w:p>
      <w:pPr>
        <w:pStyle w:val="Normal"/>
        <w:spacing w:lineRule="exact" w:line="316" w:before="72" w:after="0"/>
        <w:ind w:left="0" w:right="0" w:firstLine="432"/>
        <w:jc w:val="both"/>
        <w:rPr>
          <w:rFonts w:ascii="Arial" w:hAnsi="Arial"/>
          <w:b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  <w:t xml:space="preserve">nevidomá, osoba, která je považována za závislou na pomoci jiné fyzické osoby podle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zákona upravujícího sociální služby, osoba, která je držitelem průkazu ZTP/P, a její průvodce, mladší 18 let, hospitalizovaná na území obce ve zdravotnickém zařízení poskytovatele lůžkové péče s výjimkou osoby, které je poskytována lázeňská léčebně rehabilitační péče:</w:t>
      </w:r>
    </w:p>
    <w:p>
      <w:pPr>
        <w:pStyle w:val="Normal"/>
        <w:numPr>
          <w:ilvl w:val="0"/>
          <w:numId w:val="5"/>
        </w:numPr>
        <w:tabs>
          <w:tab w:val="clear" w:pos="720"/>
          <w:tab w:val="decimal" w:pos="360" w:leader="none"/>
        </w:tabs>
        <w:spacing w:lineRule="exact" w:line="298" w:before="72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 xml:space="preserve">hrazená jako příspěvková lázeňská léčebně rehabilitační péče podle zákona upravujícího </w:t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veřejné zdravotní pojištění, nebo</w:t>
      </w:r>
    </w:p>
    <w:p>
      <w:pPr>
        <w:pStyle w:val="Normal"/>
        <w:numPr>
          <w:ilvl w:val="0"/>
          <w:numId w:val="5"/>
        </w:numPr>
        <w:tabs>
          <w:tab w:val="clear" w:pos="720"/>
          <w:tab w:val="decimal" w:pos="360" w:leader="none"/>
        </w:tabs>
        <w:spacing w:lineRule="exact" w:line="270" w:before="72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2"/>
          <w:w w:val="100"/>
          <w:position w:val="0"/>
          <w:sz w:val="22"/>
          <w:sz w:val="22"/>
          <w:vertAlign w:val="baseline"/>
          <w:lang w:val="cs-CZ"/>
        </w:rPr>
        <w:t>nehrazená z veřejného zdravotního pojištění,</w:t>
      </w:r>
    </w:p>
    <w:p>
      <w:pPr>
        <w:pStyle w:val="Normal"/>
        <w:spacing w:lineRule="exact" w:line="311" w:before="72" w:after="684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  <w:t>pe</w:t>
        <w:br/>
        <w:t xml:space="preserve">čující o děti na zotavovací akci nebo jiné podobné akci pro děti podle zákona upravujícího </w:t>
        <w:br/>
      </w: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 xml:space="preserve">ochranu veřejného zdraví konaných na území obce nebo vykonávající na území obce sezónní </w:t>
        <w:br/>
      </w:r>
      <w:r>
        <w:rPr>
          <w:rFonts w:ascii="Arial" w:hAnsi="Arial"/>
          <w:b/>
          <w:strike w:val="false"/>
          <w:dstrike w:val="false"/>
          <w:color w:val="000000"/>
          <w:spacing w:val="-1"/>
          <w:w w:val="100"/>
          <w:position w:val="0"/>
          <w:sz w:val="22"/>
          <w:sz w:val="22"/>
          <w:vertAlign w:val="baseline"/>
          <w:lang w:val="cs-CZ"/>
        </w:rPr>
        <w:t>práci" pro právnickou nebo podnikající fyzickou osobu nebo pobývající na území obce ve</w:t>
      </w:r>
    </w:p>
    <w:p>
      <w:pPr>
        <w:sectPr>
          <w:type w:val="nextPage"/>
          <w:pgSz w:w="11918" w:h="16854"/>
          <w:pgMar w:left="1271" w:right="1227" w:gutter="0" w:header="0" w:top="840" w:footer="0" w:bottom="96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40" w:before="0" w:after="0"/>
        <w:ind w:left="0" w:right="576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3"/>
          <w:w w:val="100"/>
          <w:sz w:val="11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61820" cy="6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35pt" to="146.5pt,0.3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sz w:val="11"/>
          <w:vertAlign w:val="superscript"/>
          <w:lang w:val="cs-CZ"/>
        </w:rPr>
        <w:t>1</w:t>
      </w: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18"/>
          <w:sz w:val="18"/>
          <w:vertAlign w:val="baseline"/>
          <w:lang w:val="cs-CZ"/>
        </w:rPr>
        <w:t xml:space="preserve">° § 3b odst. 1 zákona o místních poplatcích </w:t>
      </w: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sz w:val="11"/>
          <w:vertAlign w:val="superscript"/>
          <w:lang w:val="cs-CZ"/>
        </w:rPr>
        <w:t>11</w:t>
      </w: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position w:val="0"/>
          <w:sz w:val="18"/>
          <w:sz w:val="18"/>
          <w:vertAlign w:val="baseline"/>
          <w:lang w:val="cs-CZ"/>
        </w:rPr>
        <w:t xml:space="preserve"> § 3b odst. 3 zákona o místních poplatcích</w:t>
      </w:r>
    </w:p>
    <w:p>
      <w:pPr>
        <w:pStyle w:val="Normal"/>
        <w:spacing w:lineRule="auto" w:line="240" w:before="13" w:after="62"/>
        <w:ind w:left="4392" w:right="3879" w:hanging="0"/>
        <w:jc w:val="left"/>
        <w:rPr/>
      </w:pPr>
      <w:r>
        <w:rPr/>
        <w:drawing>
          <wp:inline distT="0" distB="0" distL="114935" distR="114935">
            <wp:extent cx="688340" cy="770255"/>
            <wp:effectExtent l="0" t="0" r="0" b="0"/>
            <wp:docPr id="10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88" w:before="0" w:after="0"/>
        <w:ind w:left="0" w:right="72" w:firstLine="72"/>
        <w:jc w:val="both"/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  <w:t xml:space="preserve">školském zařízení pro výkon ústavní nebo ochranné výchovy anebo školském zařízení pro </w:t>
      </w:r>
      <w:r>
        <w:rPr>
          <w:rFonts w:ascii="Times New Roman" w:hAnsi="Times New Roman"/>
          <w:strike w:val="false"/>
          <w:dstrike w:val="false"/>
          <w:color w:val="000000"/>
          <w:spacing w:val="-2"/>
          <w:w w:val="100"/>
          <w:position w:val="0"/>
          <w:sz w:val="24"/>
          <w:sz w:val="24"/>
          <w:vertAlign w:val="baseline"/>
          <w:lang w:val="cs-CZ"/>
        </w:rPr>
        <w:t xml:space="preserve">preventivně výchovnou péči anebo v zařízení pro děti vyžadující okamžitou pomoc, v zařízení </w:t>
      </w:r>
      <w:r>
        <w:rPr>
          <w:rFonts w:ascii="Times New Roman" w:hAnsi="Times New Roman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vertAlign w:val="baseline"/>
          <w:lang w:val="cs-CZ"/>
        </w:rPr>
        <w:t xml:space="preserve">poskytujícím ubytování podle zákona upravujícího sociální služby, v zařízení sloužícím </w:t>
      </w: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 xml:space="preserve">k pomoci lidem v ohrožení nebo nouzi provozovaném veřejně prospěšným poplatníkem daně </w:t>
      </w:r>
      <w:r>
        <w:rPr>
          <w:rFonts w:ascii="Times New Roman" w:hAnsi="Times New Roman"/>
          <w:strike w:val="false"/>
          <w:dstrike w:val="false"/>
          <w:color w:val="000000"/>
          <w:spacing w:val="-2"/>
          <w:w w:val="100"/>
          <w:position w:val="0"/>
          <w:sz w:val="24"/>
          <w:sz w:val="24"/>
          <w:vertAlign w:val="baseline"/>
          <w:lang w:val="cs-CZ"/>
        </w:rPr>
        <w:t xml:space="preserve">z příjmů právnických osob, nebo za účelem výkonu záchranných nebo likvidačních prací podle </w:t>
      </w: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>zákona o integrovaném záchranném systému.</w:t>
      </w:r>
    </w:p>
    <w:p>
      <w:pPr>
        <w:pStyle w:val="Normal"/>
        <w:spacing w:lineRule="auto" w:line="290" w:before="36" w:after="0"/>
        <w:ind w:left="576" w:right="72" w:hanging="576"/>
        <w:jc w:val="both"/>
        <w:rPr>
          <w:rFonts w:ascii="Times New Roman" w:hAnsi="Times New Roman"/>
          <w:strike w:val="false"/>
          <w:dstrike w:val="false"/>
          <w:color w:val="000000"/>
          <w:spacing w:val="7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7"/>
          <w:w w:val="100"/>
          <w:position w:val="0"/>
          <w:sz w:val="24"/>
          <w:sz w:val="24"/>
          <w:vertAlign w:val="baseline"/>
          <w:lang w:val="cs-CZ"/>
        </w:rPr>
        <w:t xml:space="preserve">(2) Od poplatku z pobytu je osvobozen příslušník bezpečnostního sboru, voják v činné </w:t>
      </w:r>
      <w:r>
        <w:rPr>
          <w:rFonts w:ascii="Times New Roman" w:hAnsi="Times New Roman"/>
          <w:strike w:val="false"/>
          <w:dstrike w:val="false"/>
          <w:color w:val="000000"/>
          <w:spacing w:val="21"/>
          <w:w w:val="100"/>
          <w:position w:val="0"/>
          <w:sz w:val="24"/>
          <w:sz w:val="24"/>
          <w:vertAlign w:val="baseline"/>
          <w:lang w:val="cs-CZ"/>
        </w:rPr>
        <w:t xml:space="preserve">službě, státní zaměstnanec nebo zaměstnanec České republiky pobývající </w:t>
      </w:r>
      <w:r>
        <w:rPr>
          <w:rFonts w:ascii="Times New Roman" w:hAnsi="Times New Roman"/>
          <w:strike w:val="false"/>
          <w:dstrike w:val="false"/>
          <w:color w:val="000000"/>
          <w:spacing w:val="8"/>
          <w:w w:val="100"/>
          <w:position w:val="0"/>
          <w:sz w:val="24"/>
          <w:sz w:val="24"/>
          <w:vertAlign w:val="baseline"/>
          <w:lang w:val="cs-CZ"/>
        </w:rPr>
        <w:t xml:space="preserve">na území obce v zařízení ve vlastnictví České republiky nebo této obce v souvislosti </w:t>
      </w:r>
      <w:r>
        <w:rPr>
          <w:rFonts w:ascii="Times New Roman" w:hAnsi="Times New Roman"/>
          <w:strike w:val="false"/>
          <w:dstrike w:val="false"/>
          <w:color w:val="000000"/>
          <w:spacing w:val="5"/>
          <w:w w:val="100"/>
          <w:position w:val="0"/>
          <w:sz w:val="24"/>
          <w:sz w:val="24"/>
          <w:vertAlign w:val="baseline"/>
          <w:lang w:val="cs-CZ"/>
        </w:rPr>
        <w:t>s piněním služebních nebo pracovních úkolů.'</w:t>
      </w:r>
    </w:p>
    <w:p>
      <w:pPr>
        <w:pStyle w:val="Normal"/>
        <w:spacing w:lineRule="auto" w:line="360" w:before="54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5"/>
          <w:position w:val="0"/>
          <w:sz w:val="23"/>
          <w:sz w:val="23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5"/>
          <w:position w:val="0"/>
          <w:sz w:val="23"/>
          <w:sz w:val="23"/>
          <w:vertAlign w:val="baseline"/>
          <w:lang w:val="cs-CZ"/>
        </w:rPr>
        <w:t xml:space="preserve">ČI. 9 </w:t>
        <w:br/>
      </w: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Navýšení poplatku</w:t>
      </w:r>
    </w:p>
    <w:p>
      <w:pPr>
        <w:pStyle w:val="Normal"/>
        <w:numPr>
          <w:ilvl w:val="0"/>
          <w:numId w:val="6"/>
        </w:numPr>
        <w:tabs>
          <w:tab w:val="clear" w:pos="720"/>
          <w:tab w:val="decimal" w:pos="648" w:leader="none"/>
        </w:tabs>
        <w:spacing w:lineRule="auto" w:line="288" w:before="216" w:after="0"/>
        <w:jc w:val="left"/>
        <w:rPr>
          <w:rFonts w:ascii="Times New Roman" w:hAnsi="Times New Roman"/>
          <w:strike w:val="false"/>
          <w:dstrike w:val="false"/>
          <w:color w:val="000000"/>
          <w:spacing w:val="-1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-1"/>
          <w:w w:val="100"/>
          <w:position w:val="0"/>
          <w:sz w:val="24"/>
          <w:sz w:val="24"/>
          <w:vertAlign w:val="baseline"/>
          <w:lang w:val="cs-CZ"/>
        </w:rPr>
        <w:t xml:space="preserve">Nebudou-li poplatky odvedeny plátcem včas nebo ve správné výši, vyměří mu správce </w:t>
      </w:r>
      <w:r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  <w:t>poplatku poplatek platebním výměrem k přímé úhradě."</w:t>
      </w:r>
    </w:p>
    <w:p>
      <w:pPr>
        <w:pStyle w:val="Normal"/>
        <w:numPr>
          <w:ilvl w:val="0"/>
          <w:numId w:val="6"/>
        </w:numPr>
        <w:tabs>
          <w:tab w:val="clear" w:pos="720"/>
          <w:tab w:val="decimal" w:pos="648" w:leader="none"/>
        </w:tabs>
        <w:spacing w:lineRule="auto" w:line="288" w:before="108" w:after="0"/>
        <w:jc w:val="left"/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 xml:space="preserve">Včas neodvedené poplatky nebo část těchto poplatků může správce poplatku zvýšit až </w:t>
      </w:r>
      <w:r>
        <w:rPr>
          <w:rFonts w:ascii="Times New Roman" w:hAnsi="Times New Roman"/>
          <w:strike w:val="false"/>
          <w:dstrike w:val="false"/>
          <w:color w:val="000000"/>
          <w:spacing w:val="3"/>
          <w:w w:val="100"/>
          <w:position w:val="0"/>
          <w:sz w:val="24"/>
          <w:sz w:val="24"/>
          <w:vertAlign w:val="baseline"/>
          <w:lang w:val="cs-CZ"/>
        </w:rPr>
        <w:t>na trojnásobek; toto zvýšeni je příslušenstvím poplatku sledujícím jeho osud.'</w:t>
      </w:r>
    </w:p>
    <w:p>
      <w:pPr>
        <w:pStyle w:val="Normal"/>
        <w:spacing w:lineRule="auto" w:line="408" w:before="324" w:after="0"/>
        <w:ind w:left="0" w:right="0" w:hanging="0"/>
        <w:jc w:val="center"/>
        <w:rPr>
          <w:rFonts w:ascii="Arial" w:hAnsi="Arial"/>
          <w:strike w:val="false"/>
          <w:dstrike w:val="false"/>
          <w:color w:val="000000"/>
          <w:spacing w:val="0"/>
          <w:w w:val="95"/>
          <w:position w:val="0"/>
          <w:sz w:val="24"/>
          <w:sz w:val="24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0"/>
          <w:w w:val="95"/>
          <w:position w:val="0"/>
          <w:sz w:val="24"/>
          <w:sz w:val="24"/>
          <w:vertAlign w:val="baseline"/>
          <w:lang w:val="cs-CZ"/>
        </w:rPr>
        <w:t>Č</w:t>
      </w:r>
      <w:r>
        <w:rPr>
          <w:rFonts w:ascii="Tahoma" w:hAnsi="Tahoma"/>
          <w:strike w:val="false"/>
          <w:dstrike w:val="false"/>
          <w:color w:val="000000"/>
          <w:spacing w:val="0"/>
          <w:w w:val="100"/>
          <w:position w:val="0"/>
          <w:sz w:val="23"/>
          <w:sz w:val="23"/>
          <w:vertAlign w:val="baseline"/>
          <w:lang w:val="cs-CZ"/>
        </w:rPr>
        <w:t xml:space="preserve">i. 10 </w:t>
        <w:br/>
      </w:r>
      <w:r>
        <w:rPr>
          <w:rFonts w:ascii="Tahoma" w:hAnsi="Tahoma"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>Přechodné ustanovení</w:t>
      </w:r>
    </w:p>
    <w:p>
      <w:pPr>
        <w:pStyle w:val="Normal"/>
        <w:spacing w:lineRule="auto" w:line="283" w:before="180" w:after="0"/>
        <w:ind w:left="576" w:right="72" w:hanging="0"/>
        <w:jc w:val="both"/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 xml:space="preserve">Osoba, která je plátcem poplatku z pobytu podle této vyhlášky a poskytovala úplatný </w:t>
      </w:r>
      <w:r>
        <w:rPr>
          <w:rFonts w:ascii="Times New Roman" w:hAnsi="Times New Roman"/>
          <w:strike w:val="false"/>
          <w:dstrike w:val="false"/>
          <w:color w:val="000000"/>
          <w:spacing w:val="-2"/>
          <w:w w:val="100"/>
          <w:position w:val="0"/>
          <w:sz w:val="24"/>
          <w:sz w:val="24"/>
          <w:vertAlign w:val="baseline"/>
          <w:lang w:val="cs-CZ"/>
        </w:rPr>
        <w:t xml:space="preserve">pobyt nebo přechodné ubytování za úplatu přede dnem nabytí účinnosti této vyhlášky, je </w:t>
      </w:r>
      <w:r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  <w:t xml:space="preserve">povinna spinit ohlašovací povinnost podle </w:t>
      </w:r>
      <w:r>
        <w:rPr>
          <w:rFonts w:ascii="Times New Roman" w:hAnsi="Times New Roman"/>
          <w:strike w:val="false"/>
          <w:dstrike w:val="false"/>
          <w:color w:val="000000"/>
          <w:spacing w:val="-8"/>
          <w:w w:val="100"/>
          <w:position w:val="0"/>
          <w:sz w:val="23"/>
          <w:sz w:val="23"/>
          <w:vertAlign w:val="baseline"/>
          <w:lang w:val="cs-CZ"/>
        </w:rPr>
        <w:t xml:space="preserve">ČI. </w:t>
      </w:r>
      <w:r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  <w:t xml:space="preserve">3 této vyhlášky do 15 dnů ode dne nabytí </w:t>
      </w: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>její účinnosti.</w:t>
      </w:r>
    </w:p>
    <w:p>
      <w:pPr>
        <w:pStyle w:val="Normal"/>
        <w:spacing w:lineRule="auto" w:line="480" w:before="360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či. 11 </w:t>
        <w:br/>
      </w:r>
      <w:r>
        <w:rPr>
          <w:rFonts w:ascii="Tahoma" w:hAnsi="Tahoma"/>
          <w:b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  <w:t>Zrušovací ustanovení</w:t>
      </w:r>
    </w:p>
    <w:p>
      <w:pPr>
        <w:pStyle w:val="Normal"/>
        <w:spacing w:lineRule="auto" w:line="264" w:before="216" w:after="1296"/>
        <w:ind w:left="576" w:right="72" w:hanging="0"/>
        <w:jc w:val="left"/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</w:pPr>
      <w:r>
        <w:rPr>
          <w:rFonts w:ascii="Times New Roman" w:hAnsi="Times New Roman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vertAlign w:val="baseline"/>
          <w:lang w:val="cs-CZ"/>
        </w:rPr>
        <w:t xml:space="preserve">Zrušuje se obecně závazná vyhláška č. 6/2019 Obecně závazná vyhláška obce Kamýk </w:t>
      </w:r>
      <w:r>
        <w:rPr>
          <w:rFonts w:ascii="Times New Roman" w:hAnsi="Times New Roman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vertAlign w:val="baseline"/>
          <w:lang w:val="cs-CZ"/>
        </w:rPr>
        <w:t>nad Vltavou o místních poplatcích, ze dne 18.11.2019</w:t>
      </w:r>
    </w:p>
    <w:p>
      <w:pPr>
        <w:pStyle w:val="Normal"/>
        <w:spacing w:lineRule="auto" w:line="240" w:before="72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2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51660" cy="6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1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35pt" to="145.7pt,0.3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sz w:val="11"/>
          <w:vertAlign w:val="superscript"/>
          <w:lang w:val="cs-CZ"/>
        </w:rPr>
        <w:t>12</w:t>
      </w:r>
      <w:r>
        <w:rPr>
          <w:rFonts w:ascii="Verdana" w:hAnsi="Verdana"/>
          <w:strike w:val="false"/>
          <w:dstrike w:val="false"/>
          <w:color w:val="000000"/>
          <w:spacing w:val="0"/>
          <w:w w:val="110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8"/>
          <w:sz w:val="18"/>
          <w:vertAlign w:val="baseline"/>
          <w:lang w:val="cs-CZ"/>
        </w:rPr>
        <w:t>3b odst. 2 zákona o místních poplatcích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-1"/>
          <w:w w:val="100"/>
          <w:sz w:val="11"/>
          <w:vertAlign w:val="superscript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-1"/>
          <w:w w:val="100"/>
          <w:sz w:val="11"/>
          <w:vertAlign w:val="superscript"/>
          <w:lang w:val="cs-CZ"/>
        </w:rPr>
        <w:t>13</w:t>
      </w:r>
      <w:r>
        <w:rPr>
          <w:rFonts w:ascii="Verdana" w:hAnsi="Verdana"/>
          <w:strike w:val="false"/>
          <w:dstrike w:val="false"/>
          <w:color w:val="000000"/>
          <w:spacing w:val="-1"/>
          <w:w w:val="110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18"/>
          <w:sz w:val="18"/>
          <w:vertAlign w:val="baseline"/>
          <w:lang w:val="cs-CZ"/>
        </w:rPr>
        <w:t>11 odst. 2 zákona o místních poplatcích</w:t>
      </w:r>
    </w:p>
    <w:p>
      <w:pPr>
        <w:sectPr>
          <w:type w:val="nextPage"/>
          <w:pgSz w:w="11918" w:h="16854"/>
          <w:pgMar w:left="1261" w:right="1237" w:gutter="0" w:header="0" w:top="900" w:footer="0" w:bottom="88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-1"/>
          <w:w w:val="100"/>
          <w:sz w:val="11"/>
          <w:vertAlign w:val="superscript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-1"/>
          <w:w w:val="100"/>
          <w:sz w:val="11"/>
          <w:vertAlign w:val="superscript"/>
          <w:lang w:val="cs-CZ"/>
        </w:rPr>
        <w:t>14</w:t>
      </w:r>
      <w:r>
        <w:rPr>
          <w:rFonts w:ascii="Verdana" w:hAnsi="Verdana"/>
          <w:strike w:val="false"/>
          <w:dstrike w:val="false"/>
          <w:color w:val="000000"/>
          <w:spacing w:val="-1"/>
          <w:w w:val="110"/>
          <w:position w:val="0"/>
          <w:sz w:val="17"/>
          <w:sz w:val="17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18"/>
          <w:sz w:val="18"/>
          <w:vertAlign w:val="baseline"/>
          <w:lang w:val="cs-CZ"/>
        </w:rPr>
        <w:t>11 odst. 3 zákona o místních poplatcích</w:t>
      </w:r>
    </w:p>
    <w:p>
      <w:pPr>
        <w:pStyle w:val="Normal"/>
        <w:spacing w:lineRule="auto" w:line="240" w:before="6" w:after="504"/>
        <w:ind w:left="205" w:right="141" w:hanging="0"/>
        <w:jc w:val="center"/>
        <w:rPr/>
      </w:pPr>
      <w:r>
        <w:rPr/>
        <w:drawing>
          <wp:inline distT="0" distB="0" distL="114935" distR="114935">
            <wp:extent cx="694690" cy="779780"/>
            <wp:effectExtent l="0" t="0" r="0" b="0"/>
            <wp:docPr id="12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144"/>
        <w:ind w:left="0" w:right="0" w:hanging="0"/>
        <w:jc w:val="center"/>
        <w:rPr>
          <w:rFonts w:ascii="Times New Roman" w:hAnsi="Times New Roman"/>
          <w:b/>
          <w:b/>
          <w:strike w:val="false"/>
          <w:dstrike w:val="false"/>
          <w:color w:val="000000"/>
          <w:spacing w:val="0"/>
          <w:w w:val="100"/>
          <w:position w:val="0"/>
          <w:sz w:val="25"/>
          <w:sz w:val="25"/>
          <w:vertAlign w:val="baseline"/>
          <w:lang w:val="cs-CZ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5"/>
          <w:sz w:val="25"/>
          <w:vertAlign w:val="baseline"/>
          <w:lang w:val="cs-CZ"/>
        </w:rPr>
        <w:t xml:space="preserve">ČI. 12 </w:t>
        <w:br/>
      </w:r>
      <w:r>
        <w:rPr>
          <w:rFonts w:ascii="Verdana" w:hAnsi="Verdana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Účinnost</w:t>
      </w:r>
    </w:p>
    <w:p>
      <w:pPr>
        <w:sectPr>
          <w:type w:val="nextPage"/>
          <w:pgSz w:w="11918" w:h="16854"/>
          <w:pgMar w:left="5567" w:right="4851" w:gutter="0" w:header="0" w:top="820" w:footer="0" w:bottom="552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2016"/>
        <w:ind w:left="0" w:right="144" w:hanging="0"/>
        <w:jc w:val="right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Tato vyhláška nabývá účinnosti dnem 1.1.2023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1287780</wp:posOffset>
                </wp:positionH>
                <wp:positionV relativeFrom="page">
                  <wp:posOffset>3747770</wp:posOffset>
                </wp:positionV>
                <wp:extent cx="3075305" cy="13430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60" cy="134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114935" distR="114935">
                                  <wp:extent cx="3074670" cy="1342390"/>
                                  <wp:effectExtent l="0" t="0" r="0" b="0"/>
                                  <wp:docPr id="15" name="Obrázek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Obrázek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4670" cy="1342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101.4pt;margin-top:295.1pt;width:242.05pt;height:105.6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/>
                        <w:drawing>
                          <wp:inline distT="0" distB="0" distL="114935" distR="114935">
                            <wp:extent cx="3074670" cy="1342390"/>
                            <wp:effectExtent l="0" t="0" r="0" b="0"/>
                            <wp:docPr id="16" name="Obrázek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Obrázek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4670" cy="1342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1591945</wp:posOffset>
                </wp:positionH>
                <wp:positionV relativeFrom="page">
                  <wp:posOffset>4465955</wp:posOffset>
                </wp:positionV>
                <wp:extent cx="711200" cy="10795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40" cy="1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hd w:val="solid" w:color="FFFFFF" w:fill="FFFFFF"/>
                              <w:spacing w:lineRule="exact" w:line="160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  <w:t>místostaros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125.35pt;margin-top:351.65pt;width:55.9pt;height:8.4pt;mso-wrap-style:none;v-text-anchor:top;mso-position-horizontal-relative:page;mso-position-vertical-relative:page" type="_x0000_t20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hd w:val="solid" w:color="FFFFFF" w:fill="FFFFFF"/>
                        <w:spacing w:lineRule="exact" w:line="160" w:before="0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000000"/>
                          <w:spacing w:val="-16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000000"/>
                          <w:spacing w:val="-16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  <w:t>místostaros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4792345</wp:posOffset>
                </wp:positionH>
                <wp:positionV relativeFrom="page">
                  <wp:posOffset>4175760</wp:posOffset>
                </wp:positionV>
                <wp:extent cx="1609725" cy="43688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200" cy="43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04" w:before="468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  <w:t>starosta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35pt;margin-top:328.8pt;width:126.65pt;height:34.3pt;mso-wrap-style:none;v-text-anchor:top;mso-position-horizontal-relative:page;mso-position-vertical-relative:page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04" w:before="468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  <w:t>starosta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7620" distB="7620" distL="121920" distR="121920" simplePos="0" locked="0" layoutInCell="0" allowOverlap="1" relativeHeight="22">
                <wp:simplePos x="0" y="0"/>
                <wp:positionH relativeFrom="page">
                  <wp:posOffset>4792345</wp:posOffset>
                </wp:positionH>
                <wp:positionV relativeFrom="page">
                  <wp:posOffset>4184650</wp:posOffset>
                </wp:positionV>
                <wp:extent cx="1610360" cy="63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7.35pt,329.5pt" to="504.05pt,329.5pt" stroked="t" o:allowincell="f" style="position:absolute;mso-position-horizontal-relative:page;mso-position-vertical-relative:page">
                <v:stroke color="black" weight="15840" dashstyle="shortdot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  <w:t>Vyvěšeno na úřední desce dne: 13.12.2022</w:t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894715</wp:posOffset>
                </wp:positionH>
                <wp:positionV relativeFrom="page">
                  <wp:posOffset>3747770</wp:posOffset>
                </wp:positionV>
                <wp:extent cx="3479800" cy="20142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0142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274pt;height:158.6pt;mso-wrap-distance-left:0pt;mso-wrap-distance-right:0pt;mso-wrap-distance-top:0pt;mso-wrap-distance-bottom:0pt;margin-top:295.1pt;mso-position-vertical-relative:page;margin-left:70.45pt;mso-position-horizontal-relative:page">
                <v:textbox inset="0in,0in,0in,0in"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1296" w:after="0"/>
        <w:ind w:left="0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vertAlign w:val="baseline"/>
          <w:lang w:val="cs-CZ"/>
        </w:rPr>
        <w:t>Sejmuto z úřední desky dne: 31.12.2022</w:t>
      </w:r>
    </w:p>
    <w:sectPr>
      <w:type w:val="continuous"/>
      <w:pgSz w:w="11918" w:h="16854"/>
      <w:pgMar w:left="5567" w:right="4851" w:gutter="0" w:header="0" w:top="820" w:footer="0" w:bottom="5524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0"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504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7"/>
        <w:w w:val="100"/>
        <w:rFonts w:ascii="Verdana" w:hAnsi="Verdana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3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-8"/>
        <w:b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-7"/>
        <w:b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4"/>
        <w:sz w:val="24"/>
        <w:spacing w:val="-1"/>
        <w:w w:val="100"/>
        <w:rFonts w:ascii="Times New Roman" w:hAnsi="Times New Roman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bsahrmce">
    <w:name w:val="Obsah rám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7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6</Pages>
  <Words>1312</Words>
  <Characters>7427</Characters>
  <CharactersWithSpaces>8651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