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AF10" w14:textId="77777777" w:rsidR="008C51A3" w:rsidRDefault="00C87D73" w:rsidP="008C51A3">
      <w:r>
        <w:tab/>
      </w:r>
      <w:r>
        <w:tab/>
      </w:r>
      <w:r>
        <w:tab/>
      </w:r>
      <w:r>
        <w:tab/>
      </w:r>
      <w:r>
        <w:tab/>
      </w:r>
      <w:r>
        <w:tab/>
      </w:r>
      <w:r>
        <w:tab/>
      </w:r>
      <w:r>
        <w:tab/>
      </w:r>
      <w:r>
        <w:tab/>
      </w:r>
      <w:r>
        <w:tab/>
        <w:t xml:space="preserve">      </w:t>
      </w:r>
    </w:p>
    <w:p w14:paraId="011FC94A" w14:textId="77777777" w:rsidR="00565A52" w:rsidRPr="00680A2F" w:rsidRDefault="00565A52" w:rsidP="00CF1256">
      <w:pPr>
        <w:jc w:val="both"/>
        <w:rPr>
          <w:color w:val="FF0000"/>
        </w:rPr>
      </w:pP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913"/>
        <w:gridCol w:w="567"/>
        <w:gridCol w:w="2552"/>
        <w:gridCol w:w="4178"/>
      </w:tblGrid>
      <w:tr w:rsidR="00C87D73" w14:paraId="258D05EB" w14:textId="77777777" w:rsidTr="00C87D73">
        <w:trPr>
          <w:cantSplit/>
          <w:trHeight w:val="2238"/>
        </w:trPr>
        <w:tc>
          <w:tcPr>
            <w:tcW w:w="1913" w:type="dxa"/>
            <w:tcBorders>
              <w:top w:val="double" w:sz="4" w:space="0" w:color="auto"/>
              <w:left w:val="double" w:sz="4" w:space="0" w:color="auto"/>
              <w:bottom w:val="nil"/>
              <w:right w:val="nil"/>
            </w:tcBorders>
          </w:tcPr>
          <w:p w14:paraId="3B79D282" w14:textId="77777777" w:rsidR="00C87D73" w:rsidRDefault="00C87D73">
            <w:pPr>
              <w:spacing w:line="276" w:lineRule="auto"/>
              <w:rPr>
                <w:lang w:eastAsia="en-US"/>
              </w:rPr>
            </w:pPr>
            <w:r>
              <w:rPr>
                <w:noProof/>
              </w:rPr>
              <mc:AlternateContent>
                <mc:Choice Requires="wps">
                  <w:drawing>
                    <wp:anchor distT="0" distB="0" distL="114300" distR="114300" simplePos="0" relativeHeight="251659264" behindDoc="0" locked="0" layoutInCell="0" allowOverlap="1" wp14:anchorId="7673BA8D" wp14:editId="50C8B4A0">
                      <wp:simplePos x="0" y="0"/>
                      <wp:positionH relativeFrom="column">
                        <wp:posOffset>14605</wp:posOffset>
                      </wp:positionH>
                      <wp:positionV relativeFrom="paragraph">
                        <wp:posOffset>104140</wp:posOffset>
                      </wp:positionV>
                      <wp:extent cx="1208405" cy="160401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60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8E413" w14:textId="77777777" w:rsidR="00C87D73" w:rsidRDefault="00C87D73" w:rsidP="00C87D73">
                                  <w:r>
                                    <w:rPr>
                                      <w:rFonts w:asciiTheme="minorHAnsi" w:eastAsiaTheme="minorHAnsi" w:hAnsiTheme="minorHAnsi" w:cstheme="minorBidi"/>
                                      <w:noProof/>
                                      <w:sz w:val="20"/>
                                      <w:szCs w:val="20"/>
                                    </w:rPr>
                                    <w:drawing>
                                      <wp:inline distT="0" distB="0" distL="0" distR="0" wp14:anchorId="234F1119" wp14:editId="2B4FB7E9">
                                        <wp:extent cx="1009650" cy="1504950"/>
                                        <wp:effectExtent l="0" t="0" r="0" b="0"/>
                                        <wp:docPr id="2" name="Obrázek 2" descr="Popis: ZNAKM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ZNAKME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504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3BA8D" id="_x0000_t202" coordsize="21600,21600" o:spt="202" path="m,l,21600r21600,l21600,xe">
                      <v:stroke joinstyle="miter"/>
                      <v:path gradientshapeok="t" o:connecttype="rect"/>
                    </v:shapetype>
                    <v:shape id="Textové pole 3" o:spid="_x0000_s1026" type="#_x0000_t202" style="position:absolute;margin-left:1.15pt;margin-top:8.2pt;width:95.15pt;height:1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" o:allowincell="f" stroked="f">
                      <v:textbox>
                        <w:txbxContent>
                          <w:p w14:paraId="7E28E413" w14:textId="77777777" w:rsidR="00C87D73" w:rsidRDefault="00C87D73" w:rsidP="00C87D73">
                            <w:r>
                              <w:rPr>
                                <w:rFonts w:asciiTheme="minorHAnsi" w:eastAsiaTheme="minorHAnsi" w:hAnsiTheme="minorHAnsi" w:cstheme="minorBidi"/>
                                <w:noProof/>
                                <w:sz w:val="20"/>
                                <w:szCs w:val="20"/>
                              </w:rPr>
                              <w:drawing>
                                <wp:inline distT="0" distB="0" distL="0" distR="0" wp14:anchorId="234F1119" wp14:editId="2B4FB7E9">
                                  <wp:extent cx="1009650" cy="1504950"/>
                                  <wp:effectExtent l="0" t="0" r="0" b="0"/>
                                  <wp:docPr id="2" name="Obrázek 2" descr="Popis: ZNAKM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ZNAKME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504950"/>
                                          </a:xfrm>
                                          <a:prstGeom prst="rect">
                                            <a:avLst/>
                                          </a:prstGeom>
                                          <a:noFill/>
                                          <a:ln>
                                            <a:noFill/>
                                          </a:ln>
                                        </pic:spPr>
                                      </pic:pic>
                                    </a:graphicData>
                                  </a:graphic>
                                </wp:inline>
                              </w:drawing>
                            </w:r>
                          </w:p>
                        </w:txbxContent>
                      </v:textbox>
                    </v:shape>
                  </w:pict>
                </mc:Fallback>
              </mc:AlternateContent>
            </w:r>
          </w:p>
          <w:p w14:paraId="4B8D88AA" w14:textId="77777777" w:rsidR="00C87D73" w:rsidRDefault="00C87D73">
            <w:pPr>
              <w:spacing w:line="276" w:lineRule="auto"/>
              <w:rPr>
                <w:lang w:eastAsia="en-US"/>
              </w:rPr>
            </w:pPr>
          </w:p>
        </w:tc>
        <w:tc>
          <w:tcPr>
            <w:tcW w:w="7297" w:type="dxa"/>
            <w:gridSpan w:val="3"/>
            <w:tcBorders>
              <w:top w:val="double" w:sz="4" w:space="0" w:color="auto"/>
              <w:left w:val="nil"/>
              <w:bottom w:val="nil"/>
              <w:right w:val="double" w:sz="4" w:space="0" w:color="auto"/>
            </w:tcBorders>
          </w:tcPr>
          <w:p w14:paraId="0FC0B2FC" w14:textId="77777777" w:rsidR="00C87D73" w:rsidRDefault="00C87D73">
            <w:pPr>
              <w:keepNext/>
              <w:spacing w:line="276" w:lineRule="auto"/>
              <w:jc w:val="center"/>
              <w:outlineLvl w:val="1"/>
              <w:rPr>
                <w:b/>
                <w:lang w:eastAsia="en-US"/>
              </w:rPr>
            </w:pPr>
          </w:p>
          <w:p w14:paraId="6E9F1D20" w14:textId="77777777" w:rsidR="00C87D73" w:rsidRDefault="00C87D73">
            <w:pPr>
              <w:spacing w:line="276" w:lineRule="auto"/>
              <w:jc w:val="center"/>
              <w:rPr>
                <w:b/>
                <w:sz w:val="36"/>
                <w:szCs w:val="36"/>
                <w:lang w:eastAsia="en-US"/>
              </w:rPr>
            </w:pPr>
            <w:r>
              <w:rPr>
                <w:b/>
                <w:sz w:val="36"/>
                <w:szCs w:val="36"/>
                <w:lang w:eastAsia="en-US"/>
              </w:rPr>
              <w:t>Město Ledeč nad Sázavou</w:t>
            </w:r>
          </w:p>
          <w:p w14:paraId="692D3B93" w14:textId="77777777" w:rsidR="00C87D73" w:rsidRDefault="00C87D73">
            <w:pPr>
              <w:keepNext/>
              <w:spacing w:line="276" w:lineRule="auto"/>
              <w:jc w:val="center"/>
              <w:outlineLvl w:val="0"/>
              <w:rPr>
                <w:b/>
                <w:lang w:eastAsia="en-US"/>
              </w:rPr>
            </w:pPr>
            <w:r>
              <w:rPr>
                <w:b/>
                <w:lang w:eastAsia="en-US"/>
              </w:rPr>
              <w:t>Husovo náměstí 7, 584 01 Ledeč nad Sázavou</w:t>
            </w:r>
          </w:p>
          <w:p w14:paraId="0753666D" w14:textId="77777777" w:rsidR="00C87D73" w:rsidRDefault="00C87D73">
            <w:pPr>
              <w:spacing w:line="276" w:lineRule="auto"/>
              <w:jc w:val="center"/>
              <w:rPr>
                <w:lang w:eastAsia="en-US"/>
              </w:rPr>
            </w:pPr>
            <w:r>
              <w:rPr>
                <w:lang w:val="de-DE" w:eastAsia="en-US"/>
              </w:rPr>
              <w:t xml:space="preserve"> </w:t>
            </w:r>
          </w:p>
        </w:tc>
      </w:tr>
      <w:tr w:rsidR="00C87D73" w14:paraId="52CC22C9" w14:textId="77777777" w:rsidTr="00C87D73">
        <w:tc>
          <w:tcPr>
            <w:tcW w:w="2480" w:type="dxa"/>
            <w:gridSpan w:val="2"/>
            <w:tcBorders>
              <w:top w:val="nil"/>
              <w:left w:val="double" w:sz="4" w:space="0" w:color="auto"/>
              <w:bottom w:val="nil"/>
              <w:right w:val="nil"/>
            </w:tcBorders>
          </w:tcPr>
          <w:p w14:paraId="2E28C331" w14:textId="77777777" w:rsidR="00C87D73" w:rsidRDefault="00C87D73">
            <w:pPr>
              <w:spacing w:line="276" w:lineRule="auto"/>
              <w:rPr>
                <w:lang w:eastAsia="en-US"/>
              </w:rPr>
            </w:pPr>
          </w:p>
        </w:tc>
        <w:tc>
          <w:tcPr>
            <w:tcW w:w="2552" w:type="dxa"/>
            <w:tcBorders>
              <w:top w:val="nil"/>
              <w:left w:val="nil"/>
              <w:bottom w:val="nil"/>
              <w:right w:val="nil"/>
            </w:tcBorders>
          </w:tcPr>
          <w:p w14:paraId="6CD4F8D4" w14:textId="77777777" w:rsidR="00C87D73" w:rsidRDefault="00C87D73">
            <w:pPr>
              <w:spacing w:line="276" w:lineRule="auto"/>
              <w:rPr>
                <w:lang w:eastAsia="en-US"/>
              </w:rPr>
            </w:pPr>
          </w:p>
        </w:tc>
        <w:tc>
          <w:tcPr>
            <w:tcW w:w="4178" w:type="dxa"/>
            <w:tcBorders>
              <w:top w:val="nil"/>
              <w:left w:val="nil"/>
              <w:bottom w:val="nil"/>
              <w:right w:val="double" w:sz="4" w:space="0" w:color="auto"/>
            </w:tcBorders>
            <w:hideMark/>
          </w:tcPr>
          <w:p w14:paraId="415AC88A" w14:textId="77777777" w:rsidR="00C87D73" w:rsidRDefault="00C87D73">
            <w:pPr>
              <w:spacing w:line="276" w:lineRule="auto"/>
              <w:rPr>
                <w:lang w:eastAsia="en-US"/>
              </w:rPr>
            </w:pPr>
            <w:r>
              <w:rPr>
                <w:lang w:eastAsia="en-US"/>
              </w:rPr>
              <w:t xml:space="preserve">                         </w:t>
            </w:r>
          </w:p>
        </w:tc>
      </w:tr>
      <w:tr w:rsidR="00C87D73" w14:paraId="256376FD" w14:textId="77777777" w:rsidTr="00C87D73">
        <w:tc>
          <w:tcPr>
            <w:tcW w:w="2480" w:type="dxa"/>
            <w:gridSpan w:val="2"/>
            <w:tcBorders>
              <w:top w:val="nil"/>
              <w:left w:val="double" w:sz="4" w:space="0" w:color="auto"/>
              <w:bottom w:val="double" w:sz="4" w:space="0" w:color="auto"/>
              <w:right w:val="nil"/>
            </w:tcBorders>
          </w:tcPr>
          <w:p w14:paraId="7C5F4BE3" w14:textId="77777777" w:rsidR="00C87D73" w:rsidRDefault="00C87D73">
            <w:pPr>
              <w:spacing w:line="276" w:lineRule="auto"/>
              <w:rPr>
                <w:lang w:eastAsia="en-US"/>
              </w:rPr>
            </w:pPr>
          </w:p>
        </w:tc>
        <w:tc>
          <w:tcPr>
            <w:tcW w:w="2552" w:type="dxa"/>
            <w:tcBorders>
              <w:top w:val="nil"/>
              <w:left w:val="nil"/>
              <w:bottom w:val="double" w:sz="4" w:space="0" w:color="auto"/>
              <w:right w:val="nil"/>
            </w:tcBorders>
          </w:tcPr>
          <w:p w14:paraId="6EEF3F9E" w14:textId="77777777" w:rsidR="00C87D73" w:rsidRDefault="00C87D73">
            <w:pPr>
              <w:spacing w:line="276" w:lineRule="auto"/>
              <w:rPr>
                <w:sz w:val="18"/>
                <w:lang w:eastAsia="en-US"/>
              </w:rPr>
            </w:pPr>
          </w:p>
        </w:tc>
        <w:tc>
          <w:tcPr>
            <w:tcW w:w="4178" w:type="dxa"/>
            <w:tcBorders>
              <w:top w:val="nil"/>
              <w:left w:val="nil"/>
              <w:bottom w:val="double" w:sz="4" w:space="0" w:color="auto"/>
              <w:right w:val="double" w:sz="4" w:space="0" w:color="auto"/>
            </w:tcBorders>
          </w:tcPr>
          <w:p w14:paraId="6B688FD9" w14:textId="77777777" w:rsidR="00C87D73" w:rsidRDefault="00C87D73">
            <w:pPr>
              <w:spacing w:line="276" w:lineRule="auto"/>
              <w:rPr>
                <w:sz w:val="18"/>
                <w:lang w:eastAsia="en-US"/>
              </w:rPr>
            </w:pPr>
          </w:p>
        </w:tc>
      </w:tr>
    </w:tbl>
    <w:p w14:paraId="73D884D3" w14:textId="77777777" w:rsidR="00C87D73" w:rsidRDefault="00C87D73" w:rsidP="00C87D73">
      <w:pPr>
        <w:jc w:val="both"/>
      </w:pPr>
    </w:p>
    <w:p w14:paraId="546C8657" w14:textId="77777777" w:rsidR="00C87D73" w:rsidRDefault="00C87D73" w:rsidP="00C87D73">
      <w:pPr>
        <w:spacing w:after="200" w:line="276" w:lineRule="auto"/>
        <w:jc w:val="center"/>
        <w:rPr>
          <w:rFonts w:eastAsiaTheme="minorHAnsi"/>
          <w:b/>
          <w:sz w:val="32"/>
          <w:szCs w:val="32"/>
          <w:lang w:eastAsia="en-US"/>
        </w:rPr>
      </w:pPr>
    </w:p>
    <w:p w14:paraId="626AA2D3" w14:textId="77777777" w:rsidR="00C87D73" w:rsidRDefault="00C87D73" w:rsidP="00C87D73">
      <w:pPr>
        <w:spacing w:after="200" w:line="276" w:lineRule="auto"/>
        <w:jc w:val="center"/>
        <w:rPr>
          <w:rFonts w:eastAsiaTheme="minorHAnsi"/>
          <w:b/>
          <w:sz w:val="32"/>
          <w:szCs w:val="32"/>
          <w:lang w:eastAsia="en-US"/>
        </w:rPr>
      </w:pPr>
    </w:p>
    <w:p w14:paraId="2FF57615" w14:textId="77777777" w:rsidR="00C87D73" w:rsidRDefault="00C87D73" w:rsidP="00C87D73">
      <w:pPr>
        <w:spacing w:after="200" w:line="276" w:lineRule="auto"/>
        <w:jc w:val="center"/>
        <w:rPr>
          <w:rFonts w:eastAsiaTheme="minorHAnsi"/>
          <w:b/>
          <w:sz w:val="32"/>
          <w:szCs w:val="32"/>
          <w:lang w:eastAsia="en-US"/>
        </w:rPr>
      </w:pPr>
    </w:p>
    <w:p w14:paraId="76BFE003" w14:textId="77777777" w:rsidR="00C87D73" w:rsidRDefault="00C87D73" w:rsidP="00C87D73">
      <w:pPr>
        <w:spacing w:after="200" w:line="276" w:lineRule="auto"/>
        <w:jc w:val="center"/>
        <w:rPr>
          <w:rFonts w:eastAsiaTheme="minorHAnsi"/>
          <w:b/>
          <w:sz w:val="40"/>
          <w:szCs w:val="40"/>
          <w:lang w:eastAsia="en-US"/>
        </w:rPr>
      </w:pPr>
      <w:r>
        <w:rPr>
          <w:rFonts w:eastAsiaTheme="minorHAnsi"/>
          <w:b/>
          <w:sz w:val="40"/>
          <w:szCs w:val="40"/>
          <w:lang w:eastAsia="en-US"/>
        </w:rPr>
        <w:t xml:space="preserve">Nařízení města Ledeč nad Sázavou </w:t>
      </w:r>
    </w:p>
    <w:p w14:paraId="3A01D1DF" w14:textId="5888C434" w:rsidR="00C87D73" w:rsidRDefault="00D21E87" w:rsidP="00C87D73">
      <w:pPr>
        <w:spacing w:after="200" w:line="276" w:lineRule="auto"/>
        <w:jc w:val="center"/>
        <w:rPr>
          <w:rFonts w:eastAsiaTheme="minorHAnsi"/>
          <w:b/>
          <w:sz w:val="40"/>
          <w:szCs w:val="40"/>
          <w:lang w:eastAsia="en-US"/>
        </w:rPr>
      </w:pPr>
      <w:r>
        <w:rPr>
          <w:rFonts w:eastAsiaTheme="minorHAnsi"/>
          <w:b/>
          <w:sz w:val="40"/>
          <w:szCs w:val="40"/>
          <w:lang w:eastAsia="en-US"/>
        </w:rPr>
        <w:t>č. 1</w:t>
      </w:r>
      <w:r w:rsidR="00C87D73">
        <w:rPr>
          <w:rFonts w:eastAsiaTheme="minorHAnsi"/>
          <w:b/>
          <w:sz w:val="40"/>
          <w:szCs w:val="40"/>
          <w:lang w:eastAsia="en-US"/>
        </w:rPr>
        <w:t>/20</w:t>
      </w:r>
      <w:r w:rsidR="00FF78E6">
        <w:rPr>
          <w:rFonts w:eastAsiaTheme="minorHAnsi"/>
          <w:b/>
          <w:sz w:val="40"/>
          <w:szCs w:val="40"/>
          <w:lang w:eastAsia="en-US"/>
        </w:rPr>
        <w:t>23</w:t>
      </w:r>
      <w:r w:rsidR="00C87D73">
        <w:rPr>
          <w:rFonts w:eastAsiaTheme="minorHAnsi"/>
          <w:b/>
          <w:sz w:val="40"/>
          <w:szCs w:val="40"/>
          <w:lang w:eastAsia="en-US"/>
        </w:rPr>
        <w:t>,</w:t>
      </w:r>
    </w:p>
    <w:p w14:paraId="72DD185F" w14:textId="77777777" w:rsidR="00C87D73" w:rsidRDefault="00C87D73" w:rsidP="00C87D73">
      <w:pPr>
        <w:spacing w:after="200" w:line="276" w:lineRule="auto"/>
        <w:jc w:val="center"/>
        <w:rPr>
          <w:rFonts w:eastAsiaTheme="minorHAnsi"/>
          <w:b/>
          <w:sz w:val="32"/>
          <w:szCs w:val="32"/>
          <w:lang w:eastAsia="en-US"/>
        </w:rPr>
      </w:pPr>
    </w:p>
    <w:p w14:paraId="26FCF5D7" w14:textId="77777777" w:rsidR="00C87D73" w:rsidRDefault="00C87D73" w:rsidP="00C87D73">
      <w:pPr>
        <w:spacing w:after="200" w:line="276" w:lineRule="auto"/>
        <w:jc w:val="center"/>
        <w:rPr>
          <w:rFonts w:eastAsiaTheme="minorHAnsi"/>
          <w:b/>
          <w:sz w:val="28"/>
          <w:szCs w:val="28"/>
          <w:lang w:eastAsia="en-US"/>
        </w:rPr>
      </w:pPr>
      <w:r>
        <w:rPr>
          <w:rFonts w:eastAsiaTheme="minorHAnsi"/>
          <w:b/>
          <w:sz w:val="28"/>
          <w:szCs w:val="28"/>
          <w:lang w:eastAsia="en-US"/>
        </w:rPr>
        <w:t>kterým se vymezuje oblast města, ve které lze místní komunikace nebo jejich určené úseky užít ke stání silničního motorového vozidla za sjednanou cenu.</w:t>
      </w:r>
    </w:p>
    <w:p w14:paraId="5170005D" w14:textId="77777777" w:rsidR="00C87D73" w:rsidRDefault="00C87D73" w:rsidP="00C87D73">
      <w:pPr>
        <w:spacing w:after="200" w:line="276" w:lineRule="auto"/>
        <w:jc w:val="center"/>
        <w:rPr>
          <w:rFonts w:eastAsiaTheme="minorHAnsi"/>
          <w:b/>
          <w:sz w:val="28"/>
          <w:szCs w:val="28"/>
          <w:lang w:eastAsia="en-US"/>
        </w:rPr>
      </w:pPr>
    </w:p>
    <w:p w14:paraId="50CABFA8" w14:textId="77777777" w:rsidR="00C87D73" w:rsidRDefault="00C87D73" w:rsidP="00C87D73">
      <w:pPr>
        <w:spacing w:after="200" w:line="276" w:lineRule="auto"/>
        <w:jc w:val="center"/>
        <w:rPr>
          <w:rFonts w:eastAsiaTheme="minorHAnsi"/>
          <w:b/>
          <w:sz w:val="28"/>
          <w:szCs w:val="28"/>
          <w:lang w:eastAsia="en-US"/>
        </w:rPr>
      </w:pPr>
    </w:p>
    <w:p w14:paraId="0D278200" w14:textId="77777777" w:rsidR="00C87D73" w:rsidRDefault="00C87D73" w:rsidP="00C87D73">
      <w:pPr>
        <w:spacing w:after="200" w:line="276" w:lineRule="auto"/>
        <w:jc w:val="center"/>
        <w:rPr>
          <w:rFonts w:eastAsiaTheme="minorHAnsi"/>
          <w:b/>
          <w:sz w:val="28"/>
          <w:szCs w:val="28"/>
          <w:lang w:eastAsia="en-US"/>
        </w:rPr>
      </w:pPr>
    </w:p>
    <w:p w14:paraId="3FB2F80A" w14:textId="77777777" w:rsidR="00C87D73" w:rsidRDefault="00C87D73" w:rsidP="00C87D73">
      <w:pPr>
        <w:spacing w:after="200" w:line="276" w:lineRule="auto"/>
        <w:jc w:val="center"/>
        <w:rPr>
          <w:rFonts w:eastAsiaTheme="minorHAnsi"/>
          <w:b/>
          <w:sz w:val="28"/>
          <w:szCs w:val="28"/>
          <w:lang w:eastAsia="en-US"/>
        </w:rPr>
      </w:pPr>
    </w:p>
    <w:p w14:paraId="4FE280C2" w14:textId="77777777" w:rsidR="00C87D73" w:rsidRDefault="00C87D73" w:rsidP="00C87D73">
      <w:pPr>
        <w:spacing w:after="200" w:line="276" w:lineRule="auto"/>
        <w:jc w:val="center"/>
        <w:rPr>
          <w:rFonts w:eastAsiaTheme="minorHAnsi"/>
          <w:b/>
          <w:sz w:val="28"/>
          <w:szCs w:val="28"/>
          <w:lang w:eastAsia="en-US"/>
        </w:rPr>
      </w:pPr>
    </w:p>
    <w:p w14:paraId="3F72663F" w14:textId="77777777" w:rsidR="00C87D73" w:rsidRDefault="00C87D73" w:rsidP="00C87D73">
      <w:pPr>
        <w:spacing w:after="200" w:line="276" w:lineRule="auto"/>
        <w:jc w:val="center"/>
        <w:rPr>
          <w:rFonts w:eastAsiaTheme="minorHAnsi"/>
          <w:b/>
          <w:sz w:val="28"/>
          <w:szCs w:val="28"/>
          <w:lang w:eastAsia="en-US"/>
        </w:rPr>
      </w:pPr>
    </w:p>
    <w:p w14:paraId="22C95B93" w14:textId="77777777" w:rsidR="00C87D73" w:rsidRDefault="00C87D73" w:rsidP="00C87D73">
      <w:pPr>
        <w:spacing w:after="200" w:line="276" w:lineRule="auto"/>
        <w:jc w:val="center"/>
        <w:rPr>
          <w:rFonts w:eastAsiaTheme="minorHAnsi"/>
          <w:b/>
          <w:sz w:val="28"/>
          <w:szCs w:val="28"/>
          <w:lang w:eastAsia="en-US"/>
        </w:rPr>
      </w:pPr>
    </w:p>
    <w:p w14:paraId="21CAE454" w14:textId="77777777" w:rsidR="00D21E87" w:rsidRDefault="00D21E87" w:rsidP="00C87D73">
      <w:pPr>
        <w:spacing w:after="200" w:line="276" w:lineRule="auto"/>
        <w:jc w:val="center"/>
        <w:rPr>
          <w:rFonts w:eastAsiaTheme="minorHAnsi"/>
          <w:b/>
          <w:sz w:val="28"/>
          <w:szCs w:val="28"/>
          <w:lang w:eastAsia="en-US"/>
        </w:rPr>
      </w:pPr>
    </w:p>
    <w:p w14:paraId="7FA640C1" w14:textId="77777777" w:rsidR="00C87D73" w:rsidRDefault="00C87D73" w:rsidP="00C87D73">
      <w:pPr>
        <w:spacing w:after="200" w:line="276" w:lineRule="auto"/>
        <w:jc w:val="center"/>
        <w:rPr>
          <w:rFonts w:eastAsiaTheme="minorHAnsi"/>
          <w:b/>
          <w:sz w:val="28"/>
          <w:szCs w:val="28"/>
          <w:lang w:eastAsia="en-US"/>
        </w:rPr>
      </w:pPr>
    </w:p>
    <w:p w14:paraId="280F2EF1" w14:textId="0D3CDDCA" w:rsidR="00C87D73" w:rsidRDefault="00C87D73" w:rsidP="00C87D73">
      <w:pPr>
        <w:spacing w:after="200" w:line="276" w:lineRule="auto"/>
        <w:jc w:val="both"/>
        <w:rPr>
          <w:rFonts w:eastAsiaTheme="minorHAnsi"/>
          <w:lang w:eastAsia="en-US"/>
        </w:rPr>
      </w:pPr>
      <w:r>
        <w:rPr>
          <w:rFonts w:eastAsiaTheme="minorHAnsi"/>
          <w:lang w:eastAsia="en-US"/>
        </w:rPr>
        <w:lastRenderedPageBreak/>
        <w:t xml:space="preserve">Rada města Ledeč nad Sázavou na své schůzi konané dne </w:t>
      </w:r>
      <w:r w:rsidR="00FF78E6">
        <w:rPr>
          <w:rFonts w:eastAsiaTheme="minorHAnsi"/>
          <w:lang w:eastAsia="en-US"/>
        </w:rPr>
        <w:t>17</w:t>
      </w:r>
      <w:r w:rsidR="00D21E87">
        <w:rPr>
          <w:rFonts w:eastAsiaTheme="minorHAnsi"/>
          <w:lang w:eastAsia="en-US"/>
        </w:rPr>
        <w:t xml:space="preserve">. </w:t>
      </w:r>
      <w:r w:rsidR="00DA3A91">
        <w:rPr>
          <w:rFonts w:eastAsiaTheme="minorHAnsi"/>
          <w:lang w:eastAsia="en-US"/>
        </w:rPr>
        <w:t>4</w:t>
      </w:r>
      <w:r>
        <w:rPr>
          <w:rFonts w:eastAsiaTheme="minorHAnsi"/>
          <w:lang w:eastAsia="en-US"/>
        </w:rPr>
        <w:t>. 20</w:t>
      </w:r>
      <w:r w:rsidR="00FF78E6">
        <w:rPr>
          <w:rFonts w:eastAsiaTheme="minorHAnsi"/>
          <w:lang w:eastAsia="en-US"/>
        </w:rPr>
        <w:t>23</w:t>
      </w:r>
      <w:r w:rsidR="00D21E87">
        <w:rPr>
          <w:rFonts w:eastAsiaTheme="minorHAnsi"/>
          <w:lang w:eastAsia="en-US"/>
        </w:rPr>
        <w:t xml:space="preserve"> usnesením č. </w:t>
      </w:r>
      <w:r w:rsidR="00132A8D" w:rsidRPr="00132A8D">
        <w:t xml:space="preserve">133/2023/7/RM </w:t>
      </w:r>
      <w:r>
        <w:rPr>
          <w:rFonts w:eastAsiaTheme="minorHAnsi"/>
          <w:lang w:eastAsia="en-US"/>
        </w:rPr>
        <w:t xml:space="preserve">vydala na základě </w:t>
      </w:r>
      <w:proofErr w:type="spellStart"/>
      <w:r>
        <w:rPr>
          <w:rFonts w:eastAsiaTheme="minorHAnsi"/>
          <w:lang w:eastAsia="en-US"/>
        </w:rPr>
        <w:t>ust</w:t>
      </w:r>
      <w:proofErr w:type="spellEnd"/>
      <w:r>
        <w:rPr>
          <w:rFonts w:eastAsiaTheme="minorHAnsi"/>
          <w:lang w:eastAsia="en-US"/>
        </w:rPr>
        <w:t>. § 23 odst. 1 písm. a) zákona č. 13/1997 Sb., o pozemních komunikacích, ve znění pozdějších předpisů, a v souladu s </w:t>
      </w:r>
      <w:proofErr w:type="spellStart"/>
      <w:r>
        <w:rPr>
          <w:rFonts w:eastAsiaTheme="minorHAnsi"/>
          <w:lang w:eastAsia="en-US"/>
        </w:rPr>
        <w:t>ust</w:t>
      </w:r>
      <w:proofErr w:type="spellEnd"/>
      <w:r>
        <w:rPr>
          <w:rFonts w:eastAsiaTheme="minorHAnsi"/>
          <w:lang w:eastAsia="en-US"/>
        </w:rPr>
        <w:t>. § 11 a 102 odst. 2 písm. d) zákona č. 128/2000 Sb., o obcích (obecní zřízení), ve znění pozdějších předpisů, toto nařízení:</w:t>
      </w:r>
    </w:p>
    <w:p w14:paraId="731556D6" w14:textId="77777777" w:rsidR="00132A8D" w:rsidRDefault="00132A8D" w:rsidP="00C87D73">
      <w:pPr>
        <w:spacing w:after="200" w:line="276" w:lineRule="auto"/>
        <w:jc w:val="both"/>
        <w:rPr>
          <w:rFonts w:eastAsiaTheme="minorHAnsi"/>
          <w:lang w:eastAsia="en-US"/>
        </w:rPr>
      </w:pPr>
    </w:p>
    <w:p w14:paraId="69888CB8" w14:textId="77777777" w:rsidR="00C87D73" w:rsidRDefault="00C87D73" w:rsidP="00C87D73">
      <w:pPr>
        <w:spacing w:after="200" w:line="276" w:lineRule="auto"/>
        <w:jc w:val="center"/>
        <w:rPr>
          <w:rFonts w:eastAsiaTheme="minorHAnsi"/>
          <w:b/>
          <w:lang w:eastAsia="en-US"/>
        </w:rPr>
      </w:pPr>
      <w:r>
        <w:rPr>
          <w:rFonts w:eastAsiaTheme="minorHAnsi"/>
          <w:b/>
          <w:lang w:eastAsia="en-US"/>
        </w:rPr>
        <w:t>Článek 1</w:t>
      </w:r>
    </w:p>
    <w:p w14:paraId="368B5F63"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Vymezení oblastí města</w:t>
      </w:r>
    </w:p>
    <w:p w14:paraId="1BD72C10" w14:textId="77777777" w:rsidR="00C87D73" w:rsidRDefault="00C87D73" w:rsidP="00C87D73">
      <w:pPr>
        <w:numPr>
          <w:ilvl w:val="0"/>
          <w:numId w:val="1"/>
        </w:numPr>
        <w:spacing w:after="200" w:line="276" w:lineRule="auto"/>
        <w:contextualSpacing/>
        <w:jc w:val="both"/>
        <w:rPr>
          <w:rFonts w:eastAsiaTheme="minorHAnsi"/>
          <w:lang w:eastAsia="en-US"/>
        </w:rPr>
      </w:pPr>
      <w:r>
        <w:rPr>
          <w:rFonts w:eastAsiaTheme="minorHAnsi"/>
          <w:lang w:eastAsia="en-US"/>
        </w:rPr>
        <w:t>K stání silničního motorového vozidla na dobu časově omezenou, nejvýše však na dobu 24 hodin, za cenu sjednanou v souladu s cenovými předpisy</w:t>
      </w:r>
      <w:r>
        <w:rPr>
          <w:rFonts w:eastAsiaTheme="minorHAnsi"/>
          <w:vertAlign w:val="superscript"/>
          <w:lang w:eastAsia="en-US"/>
        </w:rPr>
        <w:footnoteReference w:id="1"/>
      </w:r>
      <w:r>
        <w:rPr>
          <w:rFonts w:eastAsiaTheme="minorHAnsi"/>
          <w:lang w:eastAsia="en-US"/>
        </w:rPr>
        <w:t xml:space="preserve"> je ve městě určen tento úsek místních komunikací:</w:t>
      </w:r>
    </w:p>
    <w:p w14:paraId="28C22626" w14:textId="77777777" w:rsidR="00DA3A91" w:rsidRDefault="00DA3A91" w:rsidP="00DA3A91">
      <w:pPr>
        <w:spacing w:after="200" w:line="276" w:lineRule="auto"/>
        <w:ind w:left="720"/>
        <w:contextualSpacing/>
        <w:jc w:val="both"/>
        <w:rPr>
          <w:rFonts w:eastAsiaTheme="minorHAnsi"/>
          <w:lang w:eastAsia="en-US"/>
        </w:rPr>
      </w:pPr>
      <w:r w:rsidRPr="003A49D1">
        <w:rPr>
          <w:rFonts w:eastAsiaTheme="minorHAnsi"/>
          <w:b/>
          <w:lang w:eastAsia="en-US"/>
        </w:rPr>
        <w:t>parkoviště na Husově náměstí</w:t>
      </w:r>
      <w:r w:rsidRPr="003A49D1">
        <w:rPr>
          <w:rFonts w:eastAsiaTheme="minorHAnsi"/>
          <w:lang w:eastAsia="en-US"/>
        </w:rPr>
        <w:t xml:space="preserve"> (viz grafická příloha)</w:t>
      </w:r>
    </w:p>
    <w:p w14:paraId="3B3E4C75" w14:textId="77777777" w:rsidR="00DA3A91" w:rsidRDefault="00C87D73" w:rsidP="00C87D73">
      <w:pPr>
        <w:spacing w:after="200" w:line="276" w:lineRule="auto"/>
        <w:jc w:val="both"/>
        <w:rPr>
          <w:rFonts w:eastAsiaTheme="minorHAnsi"/>
          <w:lang w:eastAsia="en-US"/>
        </w:rPr>
      </w:pPr>
      <w:r>
        <w:rPr>
          <w:rFonts w:eastAsiaTheme="minorHAnsi"/>
          <w:lang w:eastAsia="en-US"/>
        </w:rPr>
        <w:t xml:space="preserve"> </w:t>
      </w:r>
      <w:r>
        <w:rPr>
          <w:rFonts w:eastAsiaTheme="minorHAnsi"/>
          <w:lang w:eastAsia="en-US"/>
        </w:rPr>
        <w:tab/>
      </w:r>
      <w:r>
        <w:rPr>
          <w:rFonts w:eastAsiaTheme="minorHAnsi"/>
          <w:b/>
          <w:lang w:eastAsia="en-US"/>
        </w:rPr>
        <w:t xml:space="preserve">parkoviště </w:t>
      </w:r>
      <w:r w:rsidR="00D21E87">
        <w:rPr>
          <w:rFonts w:eastAsiaTheme="minorHAnsi"/>
          <w:b/>
          <w:lang w:eastAsia="en-US"/>
        </w:rPr>
        <w:t>v ulici Nádražní</w:t>
      </w:r>
      <w:r>
        <w:rPr>
          <w:rFonts w:eastAsiaTheme="minorHAnsi"/>
          <w:lang w:eastAsia="en-US"/>
        </w:rPr>
        <w:t xml:space="preserve"> (viz grafická příloha)</w:t>
      </w:r>
      <w:r w:rsidR="00DA3A91">
        <w:rPr>
          <w:rFonts w:eastAsiaTheme="minorHAnsi"/>
          <w:lang w:eastAsia="en-US"/>
        </w:rPr>
        <w:tab/>
      </w:r>
    </w:p>
    <w:p w14:paraId="6007F75F" w14:textId="77777777" w:rsidR="00C87D73" w:rsidRDefault="00C87D73" w:rsidP="00C87D73">
      <w:pPr>
        <w:numPr>
          <w:ilvl w:val="0"/>
          <w:numId w:val="1"/>
        </w:numPr>
        <w:spacing w:after="200" w:line="276" w:lineRule="auto"/>
        <w:contextualSpacing/>
        <w:jc w:val="both"/>
        <w:rPr>
          <w:rFonts w:eastAsiaTheme="minorHAnsi"/>
          <w:lang w:eastAsia="en-US"/>
        </w:rPr>
      </w:pPr>
      <w:r>
        <w:rPr>
          <w:rFonts w:eastAsiaTheme="minorHAnsi"/>
          <w:lang w:eastAsia="en-US"/>
        </w:rPr>
        <w:t>Vymezený úsek místní komunikace (dále jen „parkoviště“) je označen příslušnou dopravní značkou podle zvláštního právního předpisu</w:t>
      </w:r>
      <w:r>
        <w:rPr>
          <w:rFonts w:eastAsiaTheme="minorHAnsi"/>
          <w:vertAlign w:val="superscript"/>
          <w:lang w:eastAsia="en-US"/>
        </w:rPr>
        <w:footnoteReference w:id="2"/>
      </w:r>
      <w:r>
        <w:rPr>
          <w:rFonts w:eastAsiaTheme="minorHAnsi"/>
          <w:lang w:eastAsia="en-US"/>
        </w:rPr>
        <w:t>.</w:t>
      </w:r>
    </w:p>
    <w:p w14:paraId="2CA9F3AB" w14:textId="77777777" w:rsidR="00C87D73" w:rsidRDefault="00C87D73" w:rsidP="00C87D73">
      <w:pPr>
        <w:spacing w:after="200" w:line="276" w:lineRule="auto"/>
        <w:jc w:val="both"/>
        <w:rPr>
          <w:rFonts w:eastAsiaTheme="minorHAnsi"/>
          <w:lang w:eastAsia="en-US"/>
        </w:rPr>
      </w:pPr>
    </w:p>
    <w:p w14:paraId="0EF5C024" w14:textId="77777777" w:rsidR="00C87D73" w:rsidRDefault="00C87D73" w:rsidP="00C87D73">
      <w:pPr>
        <w:spacing w:after="200" w:line="276" w:lineRule="auto"/>
        <w:jc w:val="center"/>
        <w:rPr>
          <w:rFonts w:eastAsiaTheme="minorHAnsi"/>
          <w:b/>
          <w:lang w:eastAsia="en-US"/>
        </w:rPr>
      </w:pPr>
      <w:r>
        <w:rPr>
          <w:rFonts w:eastAsiaTheme="minorHAnsi"/>
          <w:b/>
          <w:lang w:eastAsia="en-US"/>
        </w:rPr>
        <w:t>Článek 2</w:t>
      </w:r>
    </w:p>
    <w:p w14:paraId="04D8D077"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Placení sjednané ceny</w:t>
      </w:r>
    </w:p>
    <w:p w14:paraId="0CC21F3A" w14:textId="77777777" w:rsidR="00C87D73" w:rsidRDefault="00C87D73" w:rsidP="00C87D73">
      <w:pPr>
        <w:numPr>
          <w:ilvl w:val="0"/>
          <w:numId w:val="2"/>
        </w:numPr>
        <w:spacing w:after="200" w:line="276" w:lineRule="auto"/>
        <w:contextualSpacing/>
        <w:jc w:val="both"/>
        <w:rPr>
          <w:rFonts w:eastAsiaTheme="minorHAnsi"/>
          <w:lang w:eastAsia="en-US"/>
        </w:rPr>
      </w:pPr>
      <w:r>
        <w:rPr>
          <w:rFonts w:eastAsiaTheme="minorHAnsi"/>
          <w:lang w:eastAsia="en-US"/>
        </w:rPr>
        <w:t>Parkoviště podle článku 1 odst. 1 tohoto nařízení lze užít ke stání silničních motorových vozidel pouze po zaplacení sjednané ceny dle provozního řádu parkoviště.</w:t>
      </w:r>
    </w:p>
    <w:p w14:paraId="0E34BE2E" w14:textId="77777777" w:rsidR="00C87D73" w:rsidRDefault="00C87D73" w:rsidP="00C87D73">
      <w:pPr>
        <w:numPr>
          <w:ilvl w:val="0"/>
          <w:numId w:val="2"/>
        </w:numPr>
        <w:spacing w:after="200" w:line="276" w:lineRule="auto"/>
        <w:contextualSpacing/>
        <w:jc w:val="both"/>
        <w:rPr>
          <w:rFonts w:eastAsiaTheme="minorHAnsi"/>
          <w:lang w:eastAsia="en-US"/>
        </w:rPr>
      </w:pPr>
      <w:r>
        <w:rPr>
          <w:rFonts w:eastAsiaTheme="minorHAnsi"/>
          <w:lang w:eastAsia="en-US"/>
        </w:rPr>
        <w:t>Sjednaná cena se platí:</w:t>
      </w:r>
    </w:p>
    <w:p w14:paraId="1870907A" w14:textId="77777777" w:rsidR="00DA3A91" w:rsidRPr="00DA3A91" w:rsidRDefault="00DA3A91" w:rsidP="00DA3A91">
      <w:pPr>
        <w:spacing w:after="200" w:line="276" w:lineRule="auto"/>
        <w:ind w:left="1080"/>
        <w:contextualSpacing/>
        <w:jc w:val="both"/>
        <w:rPr>
          <w:rFonts w:eastAsiaTheme="minorHAnsi"/>
          <w:lang w:eastAsia="en-US"/>
        </w:rPr>
      </w:pPr>
      <w:r w:rsidRPr="00DA3A91">
        <w:rPr>
          <w:rFonts w:eastAsiaTheme="minorHAnsi"/>
          <w:lang w:eastAsia="en-US"/>
        </w:rPr>
        <w:t>a)</w:t>
      </w:r>
      <w:r w:rsidRPr="00DA3A91">
        <w:rPr>
          <w:rFonts w:eastAsiaTheme="minorHAnsi"/>
          <w:lang w:eastAsia="en-US"/>
        </w:rPr>
        <w:tab/>
        <w:t>prostřednictvím parkovacích automatů</w:t>
      </w:r>
    </w:p>
    <w:p w14:paraId="316360C7" w14:textId="77777777" w:rsidR="00C87D73" w:rsidRDefault="00DA3A91" w:rsidP="00DA3A91">
      <w:pPr>
        <w:spacing w:after="200" w:line="276" w:lineRule="auto"/>
        <w:ind w:left="1080"/>
        <w:contextualSpacing/>
        <w:jc w:val="both"/>
        <w:rPr>
          <w:rFonts w:eastAsiaTheme="minorHAnsi"/>
          <w:lang w:eastAsia="en-US"/>
        </w:rPr>
      </w:pPr>
      <w:r w:rsidRPr="00DA3A91">
        <w:rPr>
          <w:rFonts w:eastAsiaTheme="minorHAnsi"/>
          <w:lang w:eastAsia="en-US"/>
        </w:rPr>
        <w:t>b)</w:t>
      </w:r>
      <w:r w:rsidRPr="00DA3A91">
        <w:rPr>
          <w:rFonts w:eastAsiaTheme="minorHAnsi"/>
          <w:lang w:eastAsia="en-US"/>
        </w:rPr>
        <w:tab/>
        <w:t>zakoupením roční rezidentní parkovací karty, kterou po zaplacení sjednané ceny vydává Městský úřad Ledeč nad Sázavou, odbor samosprávy, oddělení majetku a investic.</w:t>
      </w:r>
    </w:p>
    <w:p w14:paraId="4C847E92" w14:textId="77777777" w:rsidR="00C87D73" w:rsidRDefault="00C87D73" w:rsidP="00C87D73">
      <w:pPr>
        <w:numPr>
          <w:ilvl w:val="0"/>
          <w:numId w:val="2"/>
        </w:numPr>
        <w:spacing w:after="200" w:line="276" w:lineRule="auto"/>
        <w:contextualSpacing/>
        <w:jc w:val="both"/>
        <w:rPr>
          <w:rFonts w:eastAsiaTheme="minorHAnsi"/>
          <w:lang w:eastAsia="en-US"/>
        </w:rPr>
      </w:pPr>
      <w:r>
        <w:rPr>
          <w:rFonts w:eastAsiaTheme="minorHAnsi"/>
          <w:lang w:eastAsia="en-US"/>
        </w:rPr>
        <w:t>Vlastní způsob úhrady je stanoven v provozním řádu parkoviště.</w:t>
      </w:r>
    </w:p>
    <w:p w14:paraId="11F87D6F" w14:textId="77777777" w:rsidR="00C87D73" w:rsidRDefault="00C87D73" w:rsidP="00C87D73">
      <w:pPr>
        <w:spacing w:after="200" w:line="276" w:lineRule="auto"/>
        <w:ind w:left="720"/>
        <w:contextualSpacing/>
        <w:jc w:val="both"/>
        <w:rPr>
          <w:rFonts w:eastAsiaTheme="minorHAnsi"/>
          <w:lang w:eastAsia="en-US"/>
        </w:rPr>
      </w:pPr>
    </w:p>
    <w:p w14:paraId="04F0CF5D" w14:textId="77777777" w:rsidR="00C87D73" w:rsidRDefault="00C87D73" w:rsidP="00C87D73">
      <w:pPr>
        <w:spacing w:after="200" w:line="276" w:lineRule="auto"/>
        <w:ind w:left="720"/>
        <w:contextualSpacing/>
        <w:jc w:val="both"/>
        <w:rPr>
          <w:rFonts w:eastAsiaTheme="minorHAnsi"/>
          <w:lang w:eastAsia="en-US"/>
        </w:rPr>
      </w:pPr>
    </w:p>
    <w:p w14:paraId="254FD391" w14:textId="77777777" w:rsidR="00C87D73" w:rsidRDefault="00C87D73" w:rsidP="00C87D73">
      <w:pPr>
        <w:spacing w:after="200" w:line="276" w:lineRule="auto"/>
        <w:jc w:val="center"/>
        <w:rPr>
          <w:rFonts w:eastAsiaTheme="minorHAnsi"/>
          <w:b/>
          <w:lang w:eastAsia="en-US"/>
        </w:rPr>
      </w:pPr>
      <w:r>
        <w:rPr>
          <w:rFonts w:eastAsiaTheme="minorHAnsi"/>
          <w:b/>
          <w:lang w:eastAsia="en-US"/>
        </w:rPr>
        <w:t>Článek 3</w:t>
      </w:r>
    </w:p>
    <w:p w14:paraId="02741EAC"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Prokázání zaplacení sjednané ceny</w:t>
      </w:r>
    </w:p>
    <w:p w14:paraId="3BC95A6A" w14:textId="77777777" w:rsidR="00C87D73" w:rsidRDefault="00C87D73" w:rsidP="00C87D73">
      <w:pPr>
        <w:numPr>
          <w:ilvl w:val="0"/>
          <w:numId w:val="4"/>
        </w:numPr>
        <w:spacing w:after="200" w:line="276" w:lineRule="auto"/>
        <w:contextualSpacing/>
        <w:jc w:val="both"/>
        <w:rPr>
          <w:rFonts w:eastAsiaTheme="minorHAnsi"/>
          <w:lang w:eastAsia="en-US"/>
        </w:rPr>
      </w:pPr>
      <w:r>
        <w:rPr>
          <w:rFonts w:eastAsiaTheme="minorHAnsi"/>
          <w:lang w:eastAsia="en-US"/>
        </w:rPr>
        <w:t xml:space="preserve">Zaplacení sjednané ceny se prokáže umístěním platného parkovacího lístku po celou dobu stání silničního motorového vozidla na viditelném místě za předním sklem vozidla tak, aby byly veškeré údaje uvedené na tomto dokladu čitelné z vnějšku vozidla. </w:t>
      </w:r>
    </w:p>
    <w:p w14:paraId="369E7B9D" w14:textId="77777777" w:rsidR="00C87D73" w:rsidRDefault="00C87D73" w:rsidP="00C87D73">
      <w:pPr>
        <w:numPr>
          <w:ilvl w:val="0"/>
          <w:numId w:val="4"/>
        </w:numPr>
        <w:spacing w:after="200" w:line="276" w:lineRule="auto"/>
        <w:contextualSpacing/>
        <w:jc w:val="both"/>
        <w:rPr>
          <w:rFonts w:eastAsiaTheme="minorHAnsi"/>
          <w:lang w:eastAsia="en-US"/>
        </w:rPr>
      </w:pPr>
      <w:r>
        <w:rPr>
          <w:rFonts w:eastAsiaTheme="minorHAnsi"/>
          <w:lang w:eastAsia="en-US"/>
        </w:rPr>
        <w:lastRenderedPageBreak/>
        <w:t>Řidič motocyklu nebo vlastník přípojného vozidla uschová parkovací lístek v případě kontroly se prokáže zaplacením parkovného předložením platného dokladu.</w:t>
      </w:r>
    </w:p>
    <w:p w14:paraId="78F8FE1D" w14:textId="77777777" w:rsidR="00C87D73" w:rsidRDefault="00C87D73" w:rsidP="00C87D73">
      <w:pPr>
        <w:numPr>
          <w:ilvl w:val="0"/>
          <w:numId w:val="4"/>
        </w:numPr>
        <w:spacing w:after="200" w:line="276" w:lineRule="auto"/>
        <w:contextualSpacing/>
        <w:jc w:val="both"/>
        <w:rPr>
          <w:rFonts w:eastAsiaTheme="minorHAnsi"/>
          <w:lang w:eastAsia="en-US"/>
        </w:rPr>
      </w:pPr>
      <w:r>
        <w:rPr>
          <w:rFonts w:eastAsiaTheme="minorHAnsi"/>
          <w:lang w:eastAsia="en-US"/>
        </w:rPr>
        <w:t>Za přípojná vozidla je jejich vlastník povinen zaplatit bez ohledu, zda vozidlo je či není připojeno k silničnímu motorovému vozidlu příslušnou sazbu parkovného.</w:t>
      </w:r>
    </w:p>
    <w:p w14:paraId="033994B3" w14:textId="77777777" w:rsidR="00C87D73" w:rsidRDefault="00C87D73" w:rsidP="00C87D73">
      <w:pPr>
        <w:spacing w:after="200" w:line="276" w:lineRule="auto"/>
        <w:jc w:val="both"/>
        <w:rPr>
          <w:rFonts w:eastAsiaTheme="minorHAnsi"/>
          <w:lang w:eastAsia="en-US"/>
        </w:rPr>
      </w:pPr>
    </w:p>
    <w:p w14:paraId="530A5BBC" w14:textId="77777777" w:rsidR="00C87D73" w:rsidRDefault="00C87D73" w:rsidP="00C87D73">
      <w:pPr>
        <w:spacing w:after="200" w:line="276" w:lineRule="auto"/>
        <w:jc w:val="center"/>
        <w:rPr>
          <w:rFonts w:eastAsiaTheme="minorHAnsi"/>
          <w:b/>
          <w:lang w:eastAsia="en-US"/>
        </w:rPr>
      </w:pPr>
      <w:r>
        <w:rPr>
          <w:rFonts w:eastAsiaTheme="minorHAnsi"/>
          <w:b/>
          <w:lang w:eastAsia="en-US"/>
        </w:rPr>
        <w:t>Článek 4</w:t>
      </w:r>
    </w:p>
    <w:p w14:paraId="4F6E2ACB" w14:textId="77777777" w:rsidR="00C87D73" w:rsidRDefault="00C87D73" w:rsidP="00C87D73">
      <w:pPr>
        <w:spacing w:after="200" w:line="276" w:lineRule="auto"/>
        <w:jc w:val="center"/>
        <w:rPr>
          <w:rFonts w:eastAsiaTheme="minorHAnsi"/>
          <w:b/>
          <w:u w:val="single"/>
          <w:lang w:eastAsia="en-US"/>
        </w:rPr>
      </w:pPr>
      <w:r>
        <w:rPr>
          <w:rFonts w:eastAsiaTheme="minorHAnsi"/>
          <w:b/>
          <w:u w:val="single"/>
          <w:lang w:eastAsia="en-US"/>
        </w:rPr>
        <w:t>Závěrečná ustanovení</w:t>
      </w:r>
    </w:p>
    <w:p w14:paraId="506C8304" w14:textId="77777777" w:rsidR="00C87D73" w:rsidRDefault="00C87D73" w:rsidP="00C87D73">
      <w:pPr>
        <w:numPr>
          <w:ilvl w:val="0"/>
          <w:numId w:val="5"/>
        </w:numPr>
        <w:spacing w:after="200" w:line="276" w:lineRule="auto"/>
        <w:contextualSpacing/>
        <w:jc w:val="both"/>
        <w:rPr>
          <w:rFonts w:eastAsiaTheme="minorHAnsi"/>
          <w:lang w:eastAsia="en-US"/>
        </w:rPr>
      </w:pPr>
      <w:r>
        <w:rPr>
          <w:rFonts w:eastAsiaTheme="minorHAnsi"/>
          <w:lang w:eastAsia="en-US"/>
        </w:rPr>
        <w:t>Dohled nad dodržováním tohoto nařízení provádí Městský úřad Ledeč nad Sázavou.</w:t>
      </w:r>
    </w:p>
    <w:p w14:paraId="6DEAFF0D" w14:textId="77777777" w:rsidR="00C87D73" w:rsidRDefault="00C87D73" w:rsidP="00C87D73">
      <w:pPr>
        <w:numPr>
          <w:ilvl w:val="0"/>
          <w:numId w:val="5"/>
        </w:numPr>
        <w:spacing w:after="200" w:line="276" w:lineRule="auto"/>
        <w:contextualSpacing/>
        <w:jc w:val="both"/>
        <w:rPr>
          <w:rFonts w:eastAsiaTheme="minorHAnsi"/>
          <w:lang w:eastAsia="en-US"/>
        </w:rPr>
      </w:pPr>
      <w:r>
        <w:rPr>
          <w:rFonts w:eastAsiaTheme="minorHAnsi"/>
          <w:lang w:eastAsia="en-US"/>
        </w:rPr>
        <w:t>Porušení tohoto nařízení lze postihovat podle zvláštních předpisů</w:t>
      </w:r>
      <w:r>
        <w:rPr>
          <w:rFonts w:eastAsiaTheme="minorHAnsi"/>
          <w:vertAlign w:val="superscript"/>
          <w:lang w:eastAsia="en-US"/>
        </w:rPr>
        <w:footnoteReference w:id="3"/>
      </w:r>
      <w:r>
        <w:rPr>
          <w:rFonts w:eastAsiaTheme="minorHAnsi"/>
          <w:lang w:eastAsia="en-US"/>
        </w:rPr>
        <w:t>.</w:t>
      </w:r>
    </w:p>
    <w:p w14:paraId="31ABF52A" w14:textId="4F562111" w:rsidR="00DA3A91" w:rsidRPr="00977DC3" w:rsidRDefault="00DA3A91" w:rsidP="00DA3A91">
      <w:pPr>
        <w:numPr>
          <w:ilvl w:val="0"/>
          <w:numId w:val="5"/>
        </w:numPr>
        <w:spacing w:after="200" w:line="276" w:lineRule="auto"/>
        <w:contextualSpacing/>
        <w:jc w:val="both"/>
        <w:rPr>
          <w:rFonts w:eastAsiaTheme="minorHAnsi"/>
          <w:lang w:eastAsia="en-US"/>
        </w:rPr>
      </w:pPr>
      <w:r w:rsidRPr="00977DC3">
        <w:rPr>
          <w:rFonts w:eastAsiaTheme="minorHAnsi"/>
          <w:lang w:eastAsia="en-US"/>
        </w:rPr>
        <w:t xml:space="preserve">Tímto nařízením se ruší Nařízení města Ledeč nad Sázavou č. </w:t>
      </w:r>
      <w:r w:rsidR="00FF78E6" w:rsidRPr="00977DC3">
        <w:rPr>
          <w:rFonts w:eastAsiaTheme="minorHAnsi"/>
          <w:lang w:eastAsia="en-US"/>
        </w:rPr>
        <w:t>1</w:t>
      </w:r>
      <w:r w:rsidRPr="00977DC3">
        <w:rPr>
          <w:rFonts w:eastAsiaTheme="minorHAnsi"/>
          <w:lang w:eastAsia="en-US"/>
        </w:rPr>
        <w:t>/201</w:t>
      </w:r>
      <w:r w:rsidR="00FF78E6" w:rsidRPr="00977DC3">
        <w:rPr>
          <w:rFonts w:eastAsiaTheme="minorHAnsi"/>
          <w:lang w:eastAsia="en-US"/>
        </w:rPr>
        <w:t>8</w:t>
      </w:r>
      <w:r w:rsidRPr="00977DC3">
        <w:rPr>
          <w:rFonts w:eastAsiaTheme="minorHAnsi"/>
          <w:lang w:eastAsia="en-US"/>
        </w:rPr>
        <w:t xml:space="preserve"> ze dne </w:t>
      </w:r>
      <w:r w:rsidR="005049BB" w:rsidRPr="00977DC3">
        <w:rPr>
          <w:rFonts w:eastAsiaTheme="minorHAnsi"/>
          <w:lang w:eastAsia="en-US"/>
        </w:rPr>
        <w:t>4</w:t>
      </w:r>
      <w:r w:rsidRPr="00977DC3">
        <w:rPr>
          <w:rFonts w:eastAsiaTheme="minorHAnsi"/>
          <w:lang w:eastAsia="en-US"/>
        </w:rPr>
        <w:t xml:space="preserve">. </w:t>
      </w:r>
      <w:r w:rsidR="005049BB" w:rsidRPr="00977DC3">
        <w:rPr>
          <w:rFonts w:eastAsiaTheme="minorHAnsi"/>
          <w:lang w:eastAsia="en-US"/>
        </w:rPr>
        <w:t>4</w:t>
      </w:r>
      <w:r w:rsidRPr="00977DC3">
        <w:rPr>
          <w:rFonts w:eastAsiaTheme="minorHAnsi"/>
          <w:lang w:eastAsia="en-US"/>
        </w:rPr>
        <w:t>. 201</w:t>
      </w:r>
      <w:r w:rsidR="005049BB" w:rsidRPr="00977DC3">
        <w:rPr>
          <w:rFonts w:eastAsiaTheme="minorHAnsi"/>
          <w:lang w:eastAsia="en-US"/>
        </w:rPr>
        <w:t>8</w:t>
      </w:r>
      <w:r w:rsidRPr="00977DC3">
        <w:rPr>
          <w:rFonts w:eastAsiaTheme="minorHAnsi"/>
          <w:lang w:eastAsia="en-US"/>
        </w:rPr>
        <w:t xml:space="preserve"> včetně </w:t>
      </w:r>
      <w:r w:rsidR="00885FED" w:rsidRPr="00977DC3">
        <w:rPr>
          <w:rFonts w:eastAsiaTheme="minorHAnsi"/>
          <w:lang w:eastAsia="en-US"/>
        </w:rPr>
        <w:t xml:space="preserve">jeho </w:t>
      </w:r>
      <w:r w:rsidRPr="00977DC3">
        <w:rPr>
          <w:rFonts w:eastAsiaTheme="minorHAnsi"/>
          <w:lang w:eastAsia="en-US"/>
        </w:rPr>
        <w:t>nedílné součásti Provozního řádu placeného parkoviště</w:t>
      </w:r>
      <w:r w:rsidR="00BB4969" w:rsidRPr="00977DC3">
        <w:rPr>
          <w:rFonts w:eastAsiaTheme="minorHAnsi"/>
          <w:lang w:eastAsia="en-US"/>
        </w:rPr>
        <w:t xml:space="preserve"> Města Ledeč nad Sázavou.</w:t>
      </w:r>
    </w:p>
    <w:p w14:paraId="2CE908BA" w14:textId="77777777" w:rsidR="00DA3A91" w:rsidRDefault="00DA3A91" w:rsidP="00DA3A91">
      <w:pPr>
        <w:spacing w:after="200" w:line="276" w:lineRule="auto"/>
        <w:ind w:left="720"/>
        <w:contextualSpacing/>
        <w:jc w:val="both"/>
        <w:rPr>
          <w:rFonts w:eastAsiaTheme="minorHAnsi"/>
          <w:lang w:eastAsia="en-US"/>
        </w:rPr>
      </w:pPr>
    </w:p>
    <w:p w14:paraId="47D8C65D" w14:textId="77777777" w:rsidR="00C87D73" w:rsidRDefault="00C87D73" w:rsidP="00C87D73">
      <w:pPr>
        <w:spacing w:after="200" w:line="276" w:lineRule="auto"/>
        <w:ind w:left="720"/>
        <w:contextualSpacing/>
        <w:jc w:val="both"/>
        <w:rPr>
          <w:rFonts w:eastAsiaTheme="minorHAnsi"/>
          <w:lang w:eastAsia="en-US"/>
        </w:rPr>
      </w:pPr>
    </w:p>
    <w:p w14:paraId="623EB29B" w14:textId="77777777" w:rsidR="00C87D73" w:rsidRDefault="00C87D73" w:rsidP="00DA3A91">
      <w:pPr>
        <w:spacing w:after="200" w:line="276" w:lineRule="auto"/>
        <w:contextualSpacing/>
        <w:jc w:val="center"/>
        <w:rPr>
          <w:rFonts w:eastAsiaTheme="minorHAnsi"/>
          <w:b/>
          <w:lang w:eastAsia="en-US"/>
        </w:rPr>
      </w:pPr>
      <w:r>
        <w:rPr>
          <w:rFonts w:eastAsiaTheme="minorHAnsi"/>
          <w:b/>
          <w:lang w:eastAsia="en-US"/>
        </w:rPr>
        <w:t>Článek 5</w:t>
      </w:r>
    </w:p>
    <w:p w14:paraId="1A56C678" w14:textId="77777777" w:rsidR="00C87D73" w:rsidRDefault="00C87D73" w:rsidP="00C87D73">
      <w:pPr>
        <w:spacing w:after="200" w:line="276" w:lineRule="auto"/>
        <w:ind w:left="720"/>
        <w:contextualSpacing/>
        <w:jc w:val="center"/>
        <w:rPr>
          <w:rFonts w:eastAsiaTheme="minorHAnsi"/>
          <w:b/>
          <w:lang w:eastAsia="en-US"/>
        </w:rPr>
      </w:pPr>
    </w:p>
    <w:p w14:paraId="0E089B20" w14:textId="77777777" w:rsidR="00C87D73" w:rsidRDefault="00C87D73" w:rsidP="00DA3A91">
      <w:pPr>
        <w:spacing w:after="200" w:line="276" w:lineRule="auto"/>
        <w:contextualSpacing/>
        <w:jc w:val="center"/>
        <w:rPr>
          <w:rFonts w:eastAsiaTheme="minorHAnsi"/>
          <w:b/>
          <w:u w:val="single"/>
          <w:lang w:eastAsia="en-US"/>
        </w:rPr>
      </w:pPr>
      <w:r>
        <w:rPr>
          <w:rFonts w:eastAsiaTheme="minorHAnsi"/>
          <w:b/>
          <w:u w:val="single"/>
          <w:lang w:eastAsia="en-US"/>
        </w:rPr>
        <w:t>Účinnost</w:t>
      </w:r>
    </w:p>
    <w:p w14:paraId="7B33D092" w14:textId="77777777" w:rsidR="00C87D73" w:rsidRDefault="00C87D73" w:rsidP="00C87D73">
      <w:pPr>
        <w:spacing w:after="200" w:line="276" w:lineRule="auto"/>
        <w:ind w:left="720"/>
        <w:contextualSpacing/>
        <w:jc w:val="center"/>
        <w:rPr>
          <w:rFonts w:eastAsiaTheme="minorHAnsi"/>
          <w:b/>
          <w:lang w:eastAsia="en-US"/>
        </w:rPr>
      </w:pPr>
    </w:p>
    <w:p w14:paraId="0DD568DA" w14:textId="0FC6BE3D" w:rsidR="00C87D73" w:rsidRPr="00854956" w:rsidRDefault="00C87D73" w:rsidP="00C87D73">
      <w:pPr>
        <w:spacing w:after="200" w:line="276" w:lineRule="auto"/>
        <w:jc w:val="center"/>
        <w:rPr>
          <w:rFonts w:eastAsiaTheme="minorHAnsi"/>
          <w:lang w:eastAsia="en-US"/>
        </w:rPr>
      </w:pPr>
      <w:r>
        <w:rPr>
          <w:rFonts w:eastAsiaTheme="minorHAnsi"/>
          <w:lang w:eastAsia="en-US"/>
        </w:rPr>
        <w:t xml:space="preserve">Toto nařízení města Ledeč nad Sázavou nabývá účinnosti </w:t>
      </w:r>
      <w:r w:rsidRPr="00977DC3">
        <w:rPr>
          <w:rFonts w:eastAsiaTheme="minorHAnsi"/>
          <w:lang w:eastAsia="en-US"/>
        </w:rPr>
        <w:t xml:space="preserve">dne </w:t>
      </w:r>
      <w:r w:rsidR="00977DC3" w:rsidRPr="00977DC3">
        <w:rPr>
          <w:rFonts w:eastAsiaTheme="minorHAnsi"/>
          <w:lang w:eastAsia="en-US"/>
        </w:rPr>
        <w:t>3</w:t>
      </w:r>
      <w:r w:rsidRPr="00977DC3">
        <w:rPr>
          <w:rFonts w:eastAsiaTheme="minorHAnsi"/>
          <w:lang w:eastAsia="en-US"/>
        </w:rPr>
        <w:t xml:space="preserve">. </w:t>
      </w:r>
      <w:r w:rsidR="00977DC3" w:rsidRPr="00977DC3">
        <w:rPr>
          <w:rFonts w:eastAsiaTheme="minorHAnsi"/>
          <w:lang w:eastAsia="en-US"/>
        </w:rPr>
        <w:t>5</w:t>
      </w:r>
      <w:r w:rsidRPr="00977DC3">
        <w:rPr>
          <w:rFonts w:eastAsiaTheme="minorHAnsi"/>
          <w:lang w:eastAsia="en-US"/>
        </w:rPr>
        <w:t>. 20</w:t>
      </w:r>
      <w:r w:rsidR="005049BB" w:rsidRPr="00977DC3">
        <w:rPr>
          <w:rFonts w:eastAsiaTheme="minorHAnsi"/>
          <w:lang w:eastAsia="en-US"/>
        </w:rPr>
        <w:t>23</w:t>
      </w:r>
      <w:r w:rsidRPr="00977DC3">
        <w:rPr>
          <w:rFonts w:eastAsiaTheme="minorHAnsi"/>
          <w:lang w:eastAsia="en-US"/>
        </w:rPr>
        <w:t>.</w:t>
      </w:r>
    </w:p>
    <w:p w14:paraId="4F2437C1" w14:textId="77777777" w:rsidR="00C87D73" w:rsidRDefault="00C87D73" w:rsidP="00C87D73">
      <w:pPr>
        <w:spacing w:after="200" w:line="276" w:lineRule="auto"/>
        <w:jc w:val="both"/>
        <w:rPr>
          <w:rFonts w:eastAsiaTheme="minorHAnsi"/>
          <w:lang w:eastAsia="en-US"/>
        </w:rPr>
      </w:pPr>
    </w:p>
    <w:p w14:paraId="3B7BC8AC" w14:textId="77777777" w:rsidR="00C87D73" w:rsidRDefault="00C87D73" w:rsidP="00C87D73">
      <w:pPr>
        <w:spacing w:after="200" w:line="276" w:lineRule="auto"/>
        <w:jc w:val="both"/>
        <w:rPr>
          <w:rFonts w:eastAsiaTheme="minorHAnsi"/>
          <w:lang w:eastAsia="en-US"/>
        </w:rPr>
      </w:pPr>
    </w:p>
    <w:p w14:paraId="101AB344" w14:textId="77777777" w:rsidR="004479AF" w:rsidRDefault="004479AF" w:rsidP="00C87D73">
      <w:pPr>
        <w:spacing w:after="200" w:line="276" w:lineRule="auto"/>
        <w:jc w:val="both"/>
        <w:rPr>
          <w:rFonts w:eastAsiaTheme="minorHAnsi"/>
          <w:lang w:eastAsia="en-US"/>
        </w:rPr>
      </w:pPr>
    </w:p>
    <w:p w14:paraId="440BCAD6" w14:textId="77777777" w:rsidR="004479AF" w:rsidRDefault="004479AF" w:rsidP="00C87D73">
      <w:pPr>
        <w:spacing w:after="200" w:line="276" w:lineRule="auto"/>
        <w:jc w:val="both"/>
        <w:rPr>
          <w:rFonts w:eastAsiaTheme="minorHAnsi"/>
          <w:lang w:eastAsia="en-US"/>
        </w:rPr>
      </w:pPr>
    </w:p>
    <w:p w14:paraId="16CE34FF" w14:textId="77777777" w:rsidR="00C87D73" w:rsidRDefault="00C87D73" w:rsidP="00C87D73">
      <w:pPr>
        <w:spacing w:after="200" w:line="276" w:lineRule="auto"/>
        <w:jc w:val="both"/>
        <w:rPr>
          <w:rFonts w:eastAsiaTheme="minorHAnsi"/>
          <w:lang w:eastAsia="en-US"/>
        </w:rPr>
      </w:pPr>
    </w:p>
    <w:p w14:paraId="7FD3CB30" w14:textId="0F0B089F" w:rsidR="00C87D73" w:rsidRDefault="00C87D73" w:rsidP="00C87D73">
      <w:pPr>
        <w:spacing w:after="200" w:line="276" w:lineRule="auto"/>
        <w:jc w:val="both"/>
        <w:rPr>
          <w:rFonts w:eastAsiaTheme="minorHAnsi"/>
          <w:b/>
          <w:lang w:eastAsia="en-US"/>
        </w:rPr>
      </w:pPr>
      <w:r>
        <w:rPr>
          <w:rFonts w:eastAsiaTheme="minorHAnsi"/>
          <w:b/>
          <w:lang w:eastAsia="en-US"/>
        </w:rPr>
        <w:t xml:space="preserve">       Ing. </w:t>
      </w:r>
      <w:r w:rsidR="005049BB">
        <w:rPr>
          <w:rFonts w:eastAsiaTheme="minorHAnsi"/>
          <w:b/>
          <w:lang w:eastAsia="en-US"/>
        </w:rPr>
        <w:t>Hana Horáková</w:t>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 xml:space="preserve">                          </w:t>
      </w:r>
      <w:r w:rsidR="005049BB">
        <w:rPr>
          <w:rFonts w:eastAsiaTheme="minorHAnsi"/>
          <w:b/>
          <w:lang w:eastAsia="en-US"/>
        </w:rPr>
        <w:t>Mgr</w:t>
      </w:r>
      <w:r>
        <w:rPr>
          <w:rFonts w:eastAsiaTheme="minorHAnsi"/>
          <w:b/>
          <w:lang w:eastAsia="en-US"/>
        </w:rPr>
        <w:t>.</w:t>
      </w:r>
      <w:r w:rsidR="005049BB">
        <w:rPr>
          <w:rFonts w:eastAsiaTheme="minorHAnsi"/>
          <w:b/>
          <w:lang w:eastAsia="en-US"/>
        </w:rPr>
        <w:t xml:space="preserve"> Michal Simandl</w:t>
      </w:r>
    </w:p>
    <w:p w14:paraId="7B26E53F" w14:textId="71002F67" w:rsidR="00C87D73" w:rsidRDefault="00C87D73" w:rsidP="00C87D73">
      <w:pPr>
        <w:spacing w:after="200" w:line="276" w:lineRule="auto"/>
        <w:jc w:val="both"/>
        <w:rPr>
          <w:rFonts w:eastAsiaTheme="minorHAnsi"/>
          <w:lang w:eastAsia="en-US"/>
        </w:rPr>
      </w:pPr>
      <w:r>
        <w:rPr>
          <w:rFonts w:eastAsiaTheme="minorHAnsi"/>
          <w:lang w:eastAsia="en-US"/>
        </w:rPr>
        <w:t xml:space="preserve">        </w:t>
      </w:r>
      <w:r w:rsidR="005049BB">
        <w:rPr>
          <w:rFonts w:eastAsiaTheme="minorHAnsi"/>
          <w:lang w:eastAsia="en-US"/>
        </w:rPr>
        <w:t xml:space="preserve">  </w:t>
      </w:r>
      <w:r>
        <w:rPr>
          <w:rFonts w:eastAsiaTheme="minorHAnsi"/>
          <w:lang w:eastAsia="en-US"/>
        </w:rPr>
        <w:t xml:space="preserve"> starost</w:t>
      </w:r>
      <w:r w:rsidR="005049BB">
        <w:rPr>
          <w:rFonts w:eastAsiaTheme="minorHAnsi"/>
          <w:lang w:eastAsia="en-US"/>
        </w:rPr>
        <w:t>k</w:t>
      </w:r>
      <w:r>
        <w:rPr>
          <w:rFonts w:eastAsiaTheme="minorHAnsi"/>
          <w:lang w:eastAsia="en-US"/>
        </w:rPr>
        <w:t>a města</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místostaros</w:t>
      </w:r>
      <w:r w:rsidR="005049BB">
        <w:rPr>
          <w:rFonts w:eastAsiaTheme="minorHAnsi"/>
          <w:lang w:eastAsia="en-US"/>
        </w:rPr>
        <w:t>t</w:t>
      </w:r>
      <w:r>
        <w:rPr>
          <w:rFonts w:eastAsiaTheme="minorHAnsi"/>
          <w:lang w:eastAsia="en-US"/>
        </w:rPr>
        <w:t>a města</w:t>
      </w:r>
    </w:p>
    <w:p w14:paraId="1E35A8FC" w14:textId="77777777" w:rsidR="00C87D73" w:rsidRDefault="00C87D73" w:rsidP="00C87D73">
      <w:pPr>
        <w:spacing w:after="200" w:line="276" w:lineRule="auto"/>
        <w:contextualSpacing/>
        <w:jc w:val="both"/>
        <w:rPr>
          <w:rFonts w:eastAsiaTheme="minorHAnsi"/>
          <w:lang w:eastAsia="en-US"/>
        </w:rPr>
      </w:pPr>
    </w:p>
    <w:p w14:paraId="0BA09235" w14:textId="77777777" w:rsidR="00C87D73" w:rsidRDefault="00C87D73" w:rsidP="00C87D73">
      <w:pPr>
        <w:spacing w:after="200" w:line="276" w:lineRule="auto"/>
        <w:contextualSpacing/>
        <w:jc w:val="both"/>
        <w:rPr>
          <w:rFonts w:eastAsiaTheme="minorHAnsi"/>
          <w:lang w:eastAsia="en-US"/>
        </w:rPr>
      </w:pPr>
    </w:p>
    <w:p w14:paraId="2A15B9BF" w14:textId="77777777" w:rsidR="00C87D73" w:rsidRDefault="00C87D73" w:rsidP="00C87D73">
      <w:pPr>
        <w:spacing w:after="200" w:line="276" w:lineRule="auto"/>
        <w:contextualSpacing/>
        <w:jc w:val="both"/>
        <w:rPr>
          <w:rFonts w:eastAsiaTheme="minorHAnsi"/>
          <w:lang w:eastAsia="en-US"/>
        </w:rPr>
      </w:pPr>
    </w:p>
    <w:p w14:paraId="4090DD9C" w14:textId="54A698FD" w:rsidR="00C87D73" w:rsidRDefault="00C87D73" w:rsidP="00C87D73"/>
    <w:p w14:paraId="658B8426" w14:textId="77777777" w:rsidR="007A72A8" w:rsidRDefault="007A72A8" w:rsidP="00C87D73"/>
    <w:p w14:paraId="6B822C15" w14:textId="77777777" w:rsidR="007A72A8" w:rsidRDefault="007A72A8" w:rsidP="00C87D73"/>
    <w:p w14:paraId="293C47F7" w14:textId="77777777" w:rsidR="007A72A8" w:rsidRDefault="007A72A8" w:rsidP="00C87D73"/>
    <w:p w14:paraId="10927760" w14:textId="2F2771EA" w:rsidR="00C87D73" w:rsidRDefault="00C87D73" w:rsidP="00C87D73"/>
    <w:p w14:paraId="69238371" w14:textId="6895664B" w:rsidR="00C87D73" w:rsidRDefault="00C87D73" w:rsidP="00C87D73">
      <w:pPr>
        <w:rPr>
          <w:u w:val="single"/>
        </w:rPr>
      </w:pPr>
      <w:r>
        <w:rPr>
          <w:u w:val="single"/>
        </w:rPr>
        <w:lastRenderedPageBreak/>
        <w:t xml:space="preserve">Grafická příloha k Nařízení města Ledeč nad Sázavou č. </w:t>
      </w:r>
      <w:r w:rsidR="00854260">
        <w:rPr>
          <w:u w:val="single"/>
        </w:rPr>
        <w:t>1/20</w:t>
      </w:r>
      <w:r w:rsidR="005049BB">
        <w:rPr>
          <w:u w:val="single"/>
        </w:rPr>
        <w:t>23</w:t>
      </w:r>
    </w:p>
    <w:p w14:paraId="12766450" w14:textId="77777777" w:rsidR="00C87D73" w:rsidRDefault="00C87D73" w:rsidP="00C87D73"/>
    <w:p w14:paraId="62F317DE" w14:textId="77777777" w:rsidR="00C87D73" w:rsidRPr="00DA3A91" w:rsidRDefault="00C87D73" w:rsidP="00C87D73">
      <w:pPr>
        <w:rPr>
          <w:b/>
        </w:rPr>
      </w:pPr>
    </w:p>
    <w:p w14:paraId="22E79271" w14:textId="77777777" w:rsidR="00DA3A91" w:rsidRDefault="00DA3A91" w:rsidP="00C87D73">
      <w:pPr>
        <w:rPr>
          <w:b/>
        </w:rPr>
      </w:pPr>
    </w:p>
    <w:p w14:paraId="28E9B705" w14:textId="77777777" w:rsidR="00C87D73" w:rsidRPr="00DA3A91" w:rsidRDefault="00DA3A91" w:rsidP="00C87D73">
      <w:pPr>
        <w:rPr>
          <w:b/>
        </w:rPr>
      </w:pPr>
      <w:r>
        <w:rPr>
          <w:b/>
        </w:rPr>
        <w:t xml:space="preserve">Parkoviště na </w:t>
      </w:r>
      <w:r w:rsidRPr="00DA3A91">
        <w:rPr>
          <w:b/>
        </w:rPr>
        <w:t>Husov</w:t>
      </w:r>
      <w:r>
        <w:rPr>
          <w:b/>
        </w:rPr>
        <w:t>ě</w:t>
      </w:r>
      <w:r w:rsidRPr="00DA3A91">
        <w:rPr>
          <w:b/>
        </w:rPr>
        <w:t xml:space="preserve"> náměstí</w:t>
      </w:r>
    </w:p>
    <w:p w14:paraId="291EF69C" w14:textId="77777777" w:rsidR="00240B2B" w:rsidRDefault="00240B2B" w:rsidP="00C87D73"/>
    <w:p w14:paraId="23E79691" w14:textId="0DB67F80" w:rsidR="00240B2B" w:rsidRDefault="00240B2B" w:rsidP="00C87D73"/>
    <w:p w14:paraId="0687EEA1" w14:textId="466F67E9" w:rsidR="00240B2B" w:rsidRDefault="00FC7FF6" w:rsidP="00C87D73">
      <w:r>
        <w:rPr>
          <w:noProof/>
        </w:rPr>
        <w:drawing>
          <wp:inline distT="0" distB="0" distL="0" distR="0" wp14:anchorId="7479BCD6" wp14:editId="7BFF5EF1">
            <wp:extent cx="5760720" cy="262318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623185"/>
                    </a:xfrm>
                    <a:prstGeom prst="rect">
                      <a:avLst/>
                    </a:prstGeom>
                    <a:noFill/>
                    <a:ln>
                      <a:noFill/>
                    </a:ln>
                  </pic:spPr>
                </pic:pic>
              </a:graphicData>
            </a:graphic>
          </wp:inline>
        </w:drawing>
      </w:r>
    </w:p>
    <w:p w14:paraId="27DA4193" w14:textId="77777777" w:rsidR="00240B2B" w:rsidRDefault="00240B2B" w:rsidP="00C87D73"/>
    <w:p w14:paraId="7B1268E2" w14:textId="77777777" w:rsidR="00240B2B" w:rsidRDefault="00240B2B" w:rsidP="00C87D73"/>
    <w:p w14:paraId="0C4EA70E" w14:textId="77777777" w:rsidR="00240B2B" w:rsidRDefault="00240B2B" w:rsidP="00C87D73"/>
    <w:p w14:paraId="406B8ECA" w14:textId="77777777" w:rsidR="00240B2B" w:rsidRDefault="00240B2B" w:rsidP="00C87D73"/>
    <w:p w14:paraId="7951B8E4" w14:textId="77777777" w:rsidR="00DA3A91" w:rsidRDefault="00DA3A91" w:rsidP="00C87D73"/>
    <w:p w14:paraId="4F2EF70B" w14:textId="77777777" w:rsidR="00DA3A91" w:rsidRDefault="00DA3A91" w:rsidP="00C87D73"/>
    <w:p w14:paraId="57C83058" w14:textId="77777777" w:rsidR="00DA3A91" w:rsidRDefault="00DA3A91" w:rsidP="00C87D73"/>
    <w:p w14:paraId="35F38785" w14:textId="77777777" w:rsidR="00DA3A91" w:rsidRDefault="00DA3A91" w:rsidP="00C87D73">
      <w:pPr>
        <w:rPr>
          <w:noProof/>
        </w:rPr>
      </w:pPr>
    </w:p>
    <w:p w14:paraId="5AA2D434" w14:textId="77777777" w:rsidR="00DA3A91" w:rsidRDefault="00DA3A91" w:rsidP="00C87D73">
      <w:pPr>
        <w:rPr>
          <w:noProof/>
        </w:rPr>
      </w:pPr>
    </w:p>
    <w:p w14:paraId="33B3B565" w14:textId="77777777" w:rsidR="00DA3A91" w:rsidRDefault="00DA3A91" w:rsidP="00C87D73">
      <w:pPr>
        <w:rPr>
          <w:b/>
          <w:noProof/>
        </w:rPr>
      </w:pPr>
      <w:r>
        <w:rPr>
          <w:b/>
          <w:noProof/>
        </w:rPr>
        <w:t xml:space="preserve">Parkoviště v </w:t>
      </w:r>
      <w:r w:rsidRPr="00DA3A91">
        <w:rPr>
          <w:b/>
          <w:noProof/>
        </w:rPr>
        <w:t>Ul. Nádražní</w:t>
      </w:r>
    </w:p>
    <w:p w14:paraId="1042A9C1" w14:textId="77777777" w:rsidR="00DA3A91" w:rsidRPr="00DA3A91" w:rsidRDefault="00DA3A91" w:rsidP="00C87D73">
      <w:pPr>
        <w:rPr>
          <w:b/>
          <w:noProof/>
        </w:rPr>
      </w:pPr>
    </w:p>
    <w:p w14:paraId="6876FE38" w14:textId="77777777" w:rsidR="00240B2B" w:rsidRDefault="00DA3A91" w:rsidP="00C87D73">
      <w:r>
        <w:rPr>
          <w:noProof/>
        </w:rPr>
        <w:drawing>
          <wp:inline distT="0" distB="0" distL="0" distR="0" wp14:anchorId="582851DD" wp14:editId="1DD96BCC">
            <wp:extent cx="5753735" cy="2026920"/>
            <wp:effectExtent l="0" t="0" r="0" b="0"/>
            <wp:docPr id="4" name="Obrázek 4" descr="g4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49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735" cy="2026920"/>
                    </a:xfrm>
                    <a:prstGeom prst="rect">
                      <a:avLst/>
                    </a:prstGeom>
                    <a:noFill/>
                    <a:ln>
                      <a:noFill/>
                    </a:ln>
                  </pic:spPr>
                </pic:pic>
              </a:graphicData>
            </a:graphic>
          </wp:inline>
        </w:drawing>
      </w:r>
    </w:p>
    <w:p w14:paraId="38039185" w14:textId="77777777" w:rsidR="00240B2B" w:rsidRDefault="00240B2B" w:rsidP="00C87D73"/>
    <w:p w14:paraId="7BF279B9" w14:textId="77777777" w:rsidR="00240B2B" w:rsidRDefault="00240B2B" w:rsidP="00C87D73"/>
    <w:sectPr w:rsidR="00240B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655C" w14:textId="77777777" w:rsidR="00C34951" w:rsidRDefault="00C34951" w:rsidP="00C87D73">
      <w:r>
        <w:separator/>
      </w:r>
    </w:p>
  </w:endnote>
  <w:endnote w:type="continuationSeparator" w:id="0">
    <w:p w14:paraId="74A841E4" w14:textId="77777777" w:rsidR="00C34951" w:rsidRDefault="00C34951" w:rsidP="00C8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6C1C" w14:textId="77777777" w:rsidR="00C34951" w:rsidRDefault="00C34951" w:rsidP="00C87D73">
      <w:r>
        <w:separator/>
      </w:r>
    </w:p>
  </w:footnote>
  <w:footnote w:type="continuationSeparator" w:id="0">
    <w:p w14:paraId="6236F4BA" w14:textId="77777777" w:rsidR="00C34951" w:rsidRDefault="00C34951" w:rsidP="00C87D73">
      <w:r>
        <w:continuationSeparator/>
      </w:r>
    </w:p>
  </w:footnote>
  <w:footnote w:id="1">
    <w:p w14:paraId="0845EDE2" w14:textId="77777777" w:rsidR="00C87D73" w:rsidRPr="00996FD3" w:rsidRDefault="00C87D73" w:rsidP="00C87D73">
      <w:pPr>
        <w:pStyle w:val="Textpoznpodarou"/>
        <w:jc w:val="both"/>
        <w:rPr>
          <w:rFonts w:ascii="Times New Roman" w:hAnsi="Times New Roman" w:cs="Times New Roman"/>
        </w:rPr>
      </w:pPr>
      <w:r>
        <w:rPr>
          <w:rStyle w:val="Znakapoznpodarou"/>
        </w:rPr>
        <w:footnoteRef/>
      </w:r>
      <w:r>
        <w:t xml:space="preserve"> </w:t>
      </w:r>
      <w:r w:rsidRPr="00996FD3">
        <w:rPr>
          <w:rFonts w:ascii="Times New Roman" w:hAnsi="Times New Roman" w:cs="Times New Roman"/>
        </w:rPr>
        <w:t>Zákon č. 526/1990 Sb., o cenách, ve znění pozdějších předpisů</w:t>
      </w:r>
    </w:p>
  </w:footnote>
  <w:footnote w:id="2">
    <w:p w14:paraId="7DC3991E" w14:textId="77777777" w:rsidR="00C87D73" w:rsidRPr="00996FD3" w:rsidRDefault="00C87D73" w:rsidP="00C87D73">
      <w:pPr>
        <w:pStyle w:val="Textpoznpodarou"/>
        <w:jc w:val="both"/>
        <w:rPr>
          <w:rFonts w:ascii="Times New Roman" w:hAnsi="Times New Roman" w:cs="Times New Roman"/>
          <w:u w:val="single"/>
        </w:rPr>
      </w:pPr>
      <w:r w:rsidRPr="00996FD3">
        <w:rPr>
          <w:rStyle w:val="Znakapoznpodarou"/>
        </w:rPr>
        <w:footnoteRef/>
      </w:r>
      <w:r w:rsidRPr="00996FD3">
        <w:t xml:space="preserve"> </w:t>
      </w:r>
      <w:r w:rsidR="00996FD3" w:rsidRPr="00996FD3">
        <w:rPr>
          <w:rFonts w:ascii="Times New Roman" w:hAnsi="Times New Roman" w:cs="Times New Roman"/>
        </w:rPr>
        <w:t>Z</w:t>
      </w:r>
      <w:r w:rsidRPr="00996FD3">
        <w:rPr>
          <w:rFonts w:ascii="Times New Roman" w:hAnsi="Times New Roman" w:cs="Times New Roman"/>
        </w:rPr>
        <w:t xml:space="preserve">ákon č. 361/2000 , o provozu na pozemních komunikacích, ve znění pozdějších předpisů </w:t>
      </w:r>
    </w:p>
  </w:footnote>
  <w:footnote w:id="3">
    <w:p w14:paraId="53D5FF92" w14:textId="77777777" w:rsidR="00C87D73" w:rsidRPr="00785AFA" w:rsidRDefault="00C87D73" w:rsidP="00240B2B">
      <w:pPr>
        <w:pStyle w:val="Textpoznpodarou"/>
        <w:jc w:val="both"/>
        <w:rPr>
          <w:rFonts w:ascii="Times New Roman" w:hAnsi="Times New Roman" w:cs="Times New Roman"/>
        </w:rPr>
      </w:pPr>
      <w:r>
        <w:rPr>
          <w:rStyle w:val="Znakapoznpodarou"/>
        </w:rPr>
        <w:footnoteRef/>
      </w:r>
      <w:r>
        <w:t xml:space="preserve"> </w:t>
      </w:r>
      <w:r w:rsidRPr="00785AFA">
        <w:rPr>
          <w:rFonts w:ascii="Times New Roman" w:hAnsi="Times New Roman" w:cs="Times New Roman"/>
        </w:rPr>
        <w:t>Např. zákon č. 2</w:t>
      </w:r>
      <w:r w:rsidR="00240B2B" w:rsidRPr="00785AFA">
        <w:rPr>
          <w:rFonts w:ascii="Times New Roman" w:hAnsi="Times New Roman" w:cs="Times New Roman"/>
        </w:rPr>
        <w:t>50</w:t>
      </w:r>
      <w:r w:rsidRPr="00785AFA">
        <w:rPr>
          <w:rFonts w:ascii="Times New Roman" w:hAnsi="Times New Roman" w:cs="Times New Roman"/>
        </w:rPr>
        <w:t>/</w:t>
      </w:r>
      <w:r w:rsidR="00240B2B" w:rsidRPr="00785AFA">
        <w:rPr>
          <w:rFonts w:ascii="Times New Roman" w:hAnsi="Times New Roman" w:cs="Times New Roman"/>
        </w:rPr>
        <w:t>2016</w:t>
      </w:r>
      <w:r w:rsidRPr="00785AFA">
        <w:rPr>
          <w:rFonts w:ascii="Times New Roman" w:hAnsi="Times New Roman" w:cs="Times New Roman"/>
        </w:rPr>
        <w:t xml:space="preserve"> Sb., o</w:t>
      </w:r>
      <w:r w:rsidR="00240B2B" w:rsidRPr="00785AFA">
        <w:rPr>
          <w:rFonts w:ascii="Times New Roman" w:hAnsi="Times New Roman" w:cs="Times New Roman"/>
        </w:rPr>
        <w:t xml:space="preserve"> odpovědnosti za přestupky a řízení </w:t>
      </w:r>
      <w:r w:rsidR="00785AFA">
        <w:rPr>
          <w:rFonts w:ascii="Times New Roman" w:hAnsi="Times New Roman" w:cs="Times New Roman"/>
        </w:rPr>
        <w:t>o</w:t>
      </w:r>
      <w:r w:rsidR="00240B2B" w:rsidRPr="00785AFA">
        <w:rPr>
          <w:rFonts w:ascii="Times New Roman" w:hAnsi="Times New Roman" w:cs="Times New Roman"/>
        </w:rPr>
        <w:t xml:space="preserve"> nich,</w:t>
      </w:r>
      <w:r w:rsidRPr="00785AFA">
        <w:rPr>
          <w:rFonts w:ascii="Times New Roman" w:hAnsi="Times New Roman" w:cs="Times New Roman"/>
        </w:rPr>
        <w:t xml:space="preserve"> ve znění pozdějších předpisů</w:t>
      </w:r>
      <w:r w:rsidR="00240B2B" w:rsidRPr="00785AFA">
        <w:rPr>
          <w:rFonts w:ascii="Times New Roman" w:hAnsi="Times New Roman" w:cs="Times New Roman"/>
        </w:rPr>
        <w:t>, zákon 251/2016, o některých přestupcích, ve znění pozdějších předpisů</w:t>
      </w:r>
      <w:r w:rsidRPr="00785AFA">
        <w:rPr>
          <w:rFonts w:ascii="Times New Roman" w:hAnsi="Times New Roman" w:cs="Times New Roman"/>
        </w:rPr>
        <w:t xml:space="preserve"> a zákon č. 361/2000 Sb., o provozu na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F0C36"/>
    <w:multiLevelType w:val="hybridMultilevel"/>
    <w:tmpl w:val="80083B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A8E1C4F"/>
    <w:multiLevelType w:val="hybridMultilevel"/>
    <w:tmpl w:val="7CD44D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0F41D4E"/>
    <w:multiLevelType w:val="hybridMultilevel"/>
    <w:tmpl w:val="828CB2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77354E"/>
    <w:multiLevelType w:val="hybridMultilevel"/>
    <w:tmpl w:val="05FE54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4EC42F7"/>
    <w:multiLevelType w:val="hybridMultilevel"/>
    <w:tmpl w:val="7F4273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7B350209"/>
    <w:multiLevelType w:val="hybridMultilevel"/>
    <w:tmpl w:val="6EB485E2"/>
    <w:lvl w:ilvl="0" w:tplc="A168959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16cid:durableId="1390878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211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1867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6993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806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7451">
    <w:abstractNumId w:val="4"/>
  </w:num>
  <w:num w:numId="7" w16cid:durableId="548885394">
    <w:abstractNumId w:val="0"/>
  </w:num>
  <w:num w:numId="8" w16cid:durableId="765619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73"/>
    <w:rsid w:val="0002250A"/>
    <w:rsid w:val="00030F1B"/>
    <w:rsid w:val="0003692A"/>
    <w:rsid w:val="000B6F9A"/>
    <w:rsid w:val="00132A8D"/>
    <w:rsid w:val="001A78B4"/>
    <w:rsid w:val="001C7677"/>
    <w:rsid w:val="001E53E6"/>
    <w:rsid w:val="00240B2B"/>
    <w:rsid w:val="003011A8"/>
    <w:rsid w:val="00330E1E"/>
    <w:rsid w:val="003527FF"/>
    <w:rsid w:val="00380BD1"/>
    <w:rsid w:val="00393838"/>
    <w:rsid w:val="003A726C"/>
    <w:rsid w:val="00402149"/>
    <w:rsid w:val="004479AF"/>
    <w:rsid w:val="00453436"/>
    <w:rsid w:val="004B1C53"/>
    <w:rsid w:val="004B6797"/>
    <w:rsid w:val="005049BB"/>
    <w:rsid w:val="00565A52"/>
    <w:rsid w:val="005B1B13"/>
    <w:rsid w:val="006328E7"/>
    <w:rsid w:val="006425B0"/>
    <w:rsid w:val="0065142B"/>
    <w:rsid w:val="00652844"/>
    <w:rsid w:val="00680A2F"/>
    <w:rsid w:val="006B1959"/>
    <w:rsid w:val="006B7463"/>
    <w:rsid w:val="006C7243"/>
    <w:rsid w:val="006E0CE2"/>
    <w:rsid w:val="007161D2"/>
    <w:rsid w:val="00757B99"/>
    <w:rsid w:val="00785AFA"/>
    <w:rsid w:val="007A72A8"/>
    <w:rsid w:val="008027A7"/>
    <w:rsid w:val="00854260"/>
    <w:rsid w:val="00854956"/>
    <w:rsid w:val="008773B3"/>
    <w:rsid w:val="00885FED"/>
    <w:rsid w:val="008903FB"/>
    <w:rsid w:val="008C51A3"/>
    <w:rsid w:val="008D1F78"/>
    <w:rsid w:val="00900CAC"/>
    <w:rsid w:val="0090243A"/>
    <w:rsid w:val="0091020D"/>
    <w:rsid w:val="00977DC3"/>
    <w:rsid w:val="00984E81"/>
    <w:rsid w:val="00996FD3"/>
    <w:rsid w:val="009A7C48"/>
    <w:rsid w:val="00AA2465"/>
    <w:rsid w:val="00AF06A2"/>
    <w:rsid w:val="00B3789D"/>
    <w:rsid w:val="00B41AFB"/>
    <w:rsid w:val="00B74F40"/>
    <w:rsid w:val="00B83514"/>
    <w:rsid w:val="00BB3A74"/>
    <w:rsid w:val="00BB4969"/>
    <w:rsid w:val="00BD7D14"/>
    <w:rsid w:val="00C12263"/>
    <w:rsid w:val="00C34951"/>
    <w:rsid w:val="00C87D73"/>
    <w:rsid w:val="00CA1E2E"/>
    <w:rsid w:val="00CE23CD"/>
    <w:rsid w:val="00CF1256"/>
    <w:rsid w:val="00D20527"/>
    <w:rsid w:val="00D21E87"/>
    <w:rsid w:val="00D73E14"/>
    <w:rsid w:val="00DA3A91"/>
    <w:rsid w:val="00E706EB"/>
    <w:rsid w:val="00E9372E"/>
    <w:rsid w:val="00F02BED"/>
    <w:rsid w:val="00FA761C"/>
    <w:rsid w:val="00FB1774"/>
    <w:rsid w:val="00FC7FF6"/>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D59D"/>
  <w15:docId w15:val="{DBE0A4FD-C6AC-4525-B256-F6525B4F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7D7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87D73"/>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87D73"/>
    <w:rPr>
      <w:sz w:val="20"/>
      <w:szCs w:val="20"/>
    </w:rPr>
  </w:style>
  <w:style w:type="character" w:styleId="Znakapoznpodarou">
    <w:name w:val="footnote reference"/>
    <w:basedOn w:val="Standardnpsmoodstavce"/>
    <w:uiPriority w:val="99"/>
    <w:semiHidden/>
    <w:unhideWhenUsed/>
    <w:rsid w:val="00C87D73"/>
    <w:rPr>
      <w:vertAlign w:val="superscript"/>
    </w:rPr>
  </w:style>
  <w:style w:type="paragraph" w:styleId="Textbubliny">
    <w:name w:val="Balloon Text"/>
    <w:basedOn w:val="Normln"/>
    <w:link w:val="TextbublinyChar"/>
    <w:uiPriority w:val="99"/>
    <w:semiHidden/>
    <w:unhideWhenUsed/>
    <w:rsid w:val="00C87D73"/>
    <w:rPr>
      <w:rFonts w:ascii="Tahoma" w:hAnsi="Tahoma" w:cs="Tahoma"/>
      <w:sz w:val="16"/>
      <w:szCs w:val="16"/>
    </w:rPr>
  </w:style>
  <w:style w:type="character" w:customStyle="1" w:styleId="TextbublinyChar">
    <w:name w:val="Text bubliny Char"/>
    <w:basedOn w:val="Standardnpsmoodstavce"/>
    <w:link w:val="Textbubliny"/>
    <w:uiPriority w:val="99"/>
    <w:semiHidden/>
    <w:rsid w:val="00C87D73"/>
    <w:rPr>
      <w:rFonts w:ascii="Tahoma" w:eastAsia="Times New Roman" w:hAnsi="Tahoma" w:cs="Tahoma"/>
      <w:sz w:val="16"/>
      <w:szCs w:val="16"/>
      <w:lang w:eastAsia="cs-CZ"/>
    </w:rPr>
  </w:style>
  <w:style w:type="paragraph" w:styleId="Odstavecseseznamem">
    <w:name w:val="List Paragraph"/>
    <w:basedOn w:val="Normln"/>
    <w:uiPriority w:val="34"/>
    <w:qFormat/>
    <w:rsid w:val="00642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14691">
      <w:bodyDiv w:val="1"/>
      <w:marLeft w:val="0"/>
      <w:marRight w:val="0"/>
      <w:marTop w:val="0"/>
      <w:marBottom w:val="0"/>
      <w:divBdr>
        <w:top w:val="none" w:sz="0" w:space="0" w:color="auto"/>
        <w:left w:val="none" w:sz="0" w:space="0" w:color="auto"/>
        <w:bottom w:val="none" w:sz="0" w:space="0" w:color="auto"/>
        <w:right w:val="none" w:sz="0" w:space="0" w:color="auto"/>
      </w:divBdr>
    </w:div>
    <w:div w:id="13379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FFEA4-0F70-4BA2-B6C9-B2F9D2A4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433</Words>
  <Characters>2560</Characters>
  <Application>Microsoft Office Word</Application>
  <DocSecurity>4</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Peroutková</dc:creator>
  <cp:lastModifiedBy>Lenka Žáčková</cp:lastModifiedBy>
  <cp:revision>2</cp:revision>
  <cp:lastPrinted>2017-09-13T12:16:00Z</cp:lastPrinted>
  <dcterms:created xsi:type="dcterms:W3CDTF">2023-04-18T08:12:00Z</dcterms:created>
  <dcterms:modified xsi:type="dcterms:W3CDTF">2023-04-18T08:12:00Z</dcterms:modified>
</cp:coreProperties>
</file>